
<file path=[Content_Types].xml><?xml version="1.0" encoding="utf-8"?>
<Types xmlns="http://schemas.openxmlformats.org/package/2006/content-types">
  <Default Extension="xml" ContentType="application/xml"/>
  <Default Extension="wmf" ContentType="image/x-wmf"/>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widowControl/>
        <w:spacing w:line="408" w:lineRule="auto"/>
        <w:jc w:val="center"/>
        <w:rPr>
          <w:rFonts w:ascii="宋体" w:hAnsi="宋体" w:cs="宋体"/>
          <w:b/>
          <w:bCs/>
          <w:kern w:val="0"/>
          <w:sz w:val="52"/>
          <w:szCs w:val="52"/>
        </w:rPr>
      </w:pPr>
    </w:p>
    <w:p>
      <w:pPr>
        <w:widowControl/>
        <w:spacing w:line="408" w:lineRule="auto"/>
        <w:jc w:val="center"/>
        <w:rPr>
          <w:rFonts w:ascii="宋体" w:hAnsi="宋体" w:cs="宋体"/>
          <w:b/>
          <w:bCs/>
          <w:kern w:val="0"/>
          <w:sz w:val="52"/>
          <w:szCs w:val="52"/>
        </w:rPr>
      </w:pPr>
      <w:r>
        <w:rPr>
          <w:rFonts w:hint="eastAsia" w:ascii="宋体" w:hAnsi="宋体" w:cs="宋体"/>
          <w:b/>
          <w:bCs/>
          <w:kern w:val="0"/>
          <w:sz w:val="52"/>
          <w:szCs w:val="52"/>
        </w:rPr>
        <w:t>湖北省企业安全生产标准化</w:t>
      </w:r>
    </w:p>
    <w:p>
      <w:pPr>
        <w:widowControl/>
        <w:rPr>
          <w:rFonts w:ascii="宋体" w:hAnsi="宋体" w:cs="宋体"/>
          <w:kern w:val="0"/>
          <w:sz w:val="24"/>
        </w:rPr>
      </w:pPr>
    </w:p>
    <w:p>
      <w:pPr>
        <w:widowControl/>
        <w:jc w:val="center"/>
        <w:rPr>
          <w:rFonts w:ascii="宋体" w:hAnsi="宋体" w:cs="宋体"/>
          <w:kern w:val="0"/>
          <w:sz w:val="32"/>
          <w:szCs w:val="32"/>
        </w:rPr>
      </w:pPr>
    </w:p>
    <w:p>
      <w:pPr>
        <w:widowControl/>
        <w:jc w:val="center"/>
        <w:rPr>
          <w:rFonts w:ascii="宋体" w:hAnsi="宋体" w:cs="宋体"/>
          <w:b/>
          <w:bCs/>
          <w:kern w:val="0"/>
          <w:sz w:val="72"/>
          <w:szCs w:val="72"/>
        </w:rPr>
      </w:pPr>
      <w:r>
        <w:rPr>
          <w:rFonts w:hint="eastAsia" w:ascii="宋体" w:hAnsi="宋体" w:cs="宋体"/>
          <w:b/>
          <w:bCs/>
          <w:spacing w:val="340"/>
          <w:kern w:val="0"/>
          <w:sz w:val="72"/>
          <w:szCs w:val="72"/>
        </w:rPr>
        <w:t>自评报</w:t>
      </w:r>
      <w:r>
        <w:rPr>
          <w:rFonts w:hint="eastAsia" w:ascii="宋体" w:hAnsi="宋体" w:cs="宋体"/>
          <w:b/>
          <w:bCs/>
          <w:kern w:val="0"/>
          <w:sz w:val="72"/>
          <w:szCs w:val="72"/>
        </w:rPr>
        <w:t>告</w:t>
      </w:r>
    </w:p>
    <w:p>
      <w:pPr>
        <w:widowControl/>
        <w:jc w:val="center"/>
        <w:rPr>
          <w:rFonts w:ascii="宋体" w:hAnsi="宋体" w:cs="宋体"/>
          <w:kern w:val="0"/>
          <w:szCs w:val="21"/>
        </w:rPr>
      </w:pPr>
    </w:p>
    <w:p>
      <w:pPr>
        <w:widowControl/>
        <w:jc w:val="center"/>
        <w:rPr>
          <w:rFonts w:ascii="宋体" w:hAnsi="宋体" w:cs="宋体"/>
          <w:kern w:val="0"/>
          <w:sz w:val="32"/>
          <w:szCs w:val="32"/>
        </w:rPr>
      </w:pPr>
    </w:p>
    <w:p>
      <w:pPr>
        <w:widowControl/>
        <w:jc w:val="center"/>
        <w:rPr>
          <w:rFonts w:ascii="宋体" w:hAnsi="宋体" w:cs="宋体"/>
          <w:kern w:val="0"/>
          <w:sz w:val="32"/>
          <w:szCs w:val="32"/>
        </w:rPr>
      </w:pPr>
    </w:p>
    <w:p>
      <w:pPr>
        <w:widowControl/>
        <w:jc w:val="center"/>
        <w:rPr>
          <w:rFonts w:ascii="宋体" w:hAnsi="宋体" w:cs="宋体"/>
          <w:kern w:val="0"/>
          <w:sz w:val="32"/>
          <w:szCs w:val="32"/>
        </w:rPr>
      </w:pPr>
    </w:p>
    <w:p>
      <w:pPr>
        <w:widowControl/>
        <w:jc w:val="center"/>
        <w:rPr>
          <w:rFonts w:ascii="宋体" w:hAnsi="宋体" w:cs="宋体"/>
          <w:kern w:val="0"/>
          <w:sz w:val="32"/>
          <w:szCs w:val="32"/>
        </w:rPr>
      </w:pPr>
    </w:p>
    <w:p>
      <w:pPr>
        <w:widowControl/>
        <w:rPr>
          <w:rFonts w:ascii="仿宋_GB2312" w:eastAsia="仿宋_GB2312" w:cs="仿宋_GB2312"/>
          <w:kern w:val="0"/>
          <w:sz w:val="32"/>
          <w:szCs w:val="32"/>
          <w:u w:val="single"/>
        </w:rPr>
      </w:pPr>
      <w:r>
        <w:rPr>
          <w:rFonts w:hint="eastAsia" w:ascii="宋体" w:hAnsi="宋体" w:cs="宋体"/>
          <w:kern w:val="0"/>
          <w:sz w:val="32"/>
          <w:szCs w:val="32"/>
        </w:rPr>
        <w:t xml:space="preserve">      申请企业：</w:t>
      </w:r>
      <w:r>
        <w:rPr>
          <w:rFonts w:hint="eastAsia" w:ascii="宋体" w:hAnsi="宋体" w:cs="宋体"/>
          <w:kern w:val="0"/>
          <w:sz w:val="32"/>
          <w:szCs w:val="32"/>
          <w:u w:val="single"/>
        </w:rPr>
        <w:t>老河口华辰化学有限公司</w:t>
      </w:r>
    </w:p>
    <w:p>
      <w:pPr>
        <w:widowControl/>
        <w:spacing w:before="156"/>
        <w:ind w:firstLine="960" w:firstLineChars="300"/>
        <w:rPr>
          <w:rFonts w:ascii="宋体" w:hAnsi="宋体" w:cs="宋体"/>
          <w:kern w:val="0"/>
          <w:sz w:val="32"/>
          <w:szCs w:val="32"/>
        </w:rPr>
      </w:pPr>
      <w:r>
        <w:rPr>
          <w:rFonts w:hint="eastAsia" w:ascii="宋体" w:hAnsi="宋体" w:cs="宋体"/>
          <w:kern w:val="0"/>
          <w:sz w:val="32"/>
          <w:szCs w:val="32"/>
        </w:rPr>
        <w:t>所属行业：</w:t>
      </w:r>
      <w:r>
        <w:rPr>
          <w:rFonts w:hint="eastAsia" w:ascii="宋体" w:hAnsi="宋体" w:cs="宋体"/>
          <w:kern w:val="0"/>
          <w:sz w:val="32"/>
          <w:szCs w:val="32"/>
          <w:u w:val="single"/>
        </w:rPr>
        <w:t xml:space="preserve">化学制造业 </w:t>
      </w:r>
      <w:r>
        <w:rPr>
          <w:rFonts w:hint="eastAsia" w:ascii="宋体" w:hAnsi="宋体" w:cs="宋体"/>
          <w:kern w:val="0"/>
          <w:sz w:val="32"/>
          <w:szCs w:val="32"/>
        </w:rPr>
        <w:t>专业：</w:t>
      </w:r>
    </w:p>
    <w:p>
      <w:pPr>
        <w:widowControl/>
        <w:spacing w:before="156"/>
        <w:ind w:firstLine="960" w:firstLineChars="300"/>
        <w:rPr>
          <w:rFonts w:ascii="宋体" w:hAnsi="宋体" w:cs="宋体"/>
          <w:kern w:val="0"/>
          <w:sz w:val="32"/>
          <w:szCs w:val="32"/>
        </w:rPr>
      </w:pPr>
      <w:r>
        <w:rPr>
          <w:rFonts w:hint="eastAsia" w:ascii="宋体" w:hAnsi="宋体" w:cs="宋体"/>
          <w:kern w:val="0"/>
          <w:sz w:val="32"/>
          <w:szCs w:val="32"/>
        </w:rPr>
        <w:t>自评等级：</w:t>
      </w:r>
      <w:r>
        <w:rPr>
          <w:rFonts w:hint="eastAsia" w:ascii="宋体" w:hAnsi="宋体" w:cs="宋体"/>
          <w:kern w:val="0"/>
          <w:sz w:val="32"/>
          <w:szCs w:val="32"/>
          <w:u w:val="single"/>
        </w:rPr>
        <w:t>三级</w:t>
      </w:r>
      <w:r>
        <w:rPr>
          <w:rFonts w:hint="eastAsia" w:ascii="宋体" w:hAnsi="宋体" w:cs="宋体"/>
          <w:kern w:val="0"/>
          <w:sz w:val="28"/>
          <w:szCs w:val="28"/>
        </w:rPr>
        <w:t>评审性质：复评</w:t>
      </w:r>
      <w:r>
        <w:rPr>
          <w:rFonts w:hint="eastAsia" w:ascii="宋体" w:hAnsi="宋体" w:cs="宋体"/>
          <w:kern w:val="0"/>
          <w:sz w:val="32"/>
          <w:szCs w:val="32"/>
          <w:u w:val="single"/>
        </w:rPr>
        <w:t>√</w:t>
      </w:r>
    </w:p>
    <w:p>
      <w:pPr>
        <w:widowControl/>
        <w:spacing w:before="156"/>
        <w:ind w:firstLine="960" w:firstLineChars="300"/>
        <w:rPr>
          <w:rFonts w:ascii="宋体" w:hAnsi="宋体" w:cs="宋体"/>
          <w:kern w:val="0"/>
          <w:sz w:val="32"/>
          <w:szCs w:val="32"/>
          <w:u w:val="single"/>
        </w:rPr>
      </w:pPr>
      <w:r>
        <w:rPr>
          <w:rFonts w:hint="eastAsia" w:ascii="宋体" w:hAnsi="宋体" w:cs="宋体"/>
          <w:kern w:val="0"/>
          <w:sz w:val="32"/>
          <w:szCs w:val="32"/>
        </w:rPr>
        <w:t>自评日期：</w:t>
      </w:r>
      <w:r>
        <w:rPr>
          <w:rFonts w:hint="eastAsia" w:ascii="宋体" w:hAnsi="宋体" w:cs="宋体"/>
          <w:kern w:val="0"/>
          <w:sz w:val="32"/>
          <w:szCs w:val="32"/>
          <w:u w:val="single"/>
        </w:rPr>
        <w:t>202</w:t>
      </w:r>
      <w:r>
        <w:rPr>
          <w:rFonts w:hint="eastAsia" w:ascii="宋体" w:hAnsi="宋体" w:cs="宋体"/>
          <w:kern w:val="0"/>
          <w:sz w:val="32"/>
          <w:szCs w:val="32"/>
          <w:u w:val="single"/>
          <w:lang w:val="en-US" w:eastAsia="zh-CN"/>
        </w:rPr>
        <w:t>3</w:t>
      </w:r>
      <w:r>
        <w:rPr>
          <w:rFonts w:hint="eastAsia" w:ascii="宋体" w:hAnsi="宋体" w:cs="宋体"/>
          <w:kern w:val="0"/>
          <w:sz w:val="32"/>
          <w:szCs w:val="32"/>
          <w:u w:val="single"/>
        </w:rPr>
        <w:t>年1</w:t>
      </w:r>
      <w:r>
        <w:rPr>
          <w:rFonts w:hint="eastAsia" w:ascii="宋体" w:hAnsi="宋体" w:cs="宋体"/>
          <w:kern w:val="0"/>
          <w:sz w:val="32"/>
          <w:szCs w:val="32"/>
          <w:u w:val="single"/>
          <w:lang w:val="en-US" w:eastAsia="zh-CN"/>
        </w:rPr>
        <w:t>1</w:t>
      </w:r>
      <w:r>
        <w:rPr>
          <w:rFonts w:hint="eastAsia" w:ascii="宋体" w:hAnsi="宋体" w:cs="宋体"/>
          <w:kern w:val="0"/>
          <w:sz w:val="32"/>
          <w:szCs w:val="32"/>
          <w:u w:val="single"/>
        </w:rPr>
        <w:t>月1</w:t>
      </w:r>
      <w:r>
        <w:rPr>
          <w:rFonts w:hint="eastAsia" w:ascii="宋体" w:hAnsi="宋体" w:cs="宋体"/>
          <w:kern w:val="0"/>
          <w:sz w:val="32"/>
          <w:szCs w:val="32"/>
          <w:u w:val="single"/>
          <w:lang w:val="en-US" w:eastAsia="zh-CN"/>
        </w:rPr>
        <w:t>4</w:t>
      </w:r>
      <w:r>
        <w:rPr>
          <w:rFonts w:hint="eastAsia" w:ascii="宋体" w:hAnsi="宋体" w:cs="宋体"/>
          <w:kern w:val="0"/>
          <w:sz w:val="32"/>
          <w:szCs w:val="32"/>
          <w:u w:val="single"/>
        </w:rPr>
        <w:t>日至202</w:t>
      </w:r>
      <w:r>
        <w:rPr>
          <w:rFonts w:hint="eastAsia" w:ascii="宋体" w:hAnsi="宋体" w:cs="宋体"/>
          <w:kern w:val="0"/>
          <w:sz w:val="32"/>
          <w:szCs w:val="32"/>
          <w:u w:val="single"/>
          <w:lang w:val="en-US" w:eastAsia="zh-CN"/>
        </w:rPr>
        <w:t>3</w:t>
      </w:r>
      <w:r>
        <w:rPr>
          <w:rFonts w:hint="eastAsia" w:ascii="宋体" w:hAnsi="宋体" w:cs="宋体"/>
          <w:kern w:val="0"/>
          <w:sz w:val="32"/>
          <w:szCs w:val="32"/>
          <w:u w:val="single"/>
        </w:rPr>
        <w:t>年1</w:t>
      </w:r>
      <w:r>
        <w:rPr>
          <w:rFonts w:hint="eastAsia" w:ascii="宋体" w:hAnsi="宋体" w:cs="宋体"/>
          <w:kern w:val="0"/>
          <w:sz w:val="32"/>
          <w:szCs w:val="32"/>
          <w:u w:val="single"/>
          <w:lang w:val="en-US" w:eastAsia="zh-CN"/>
        </w:rPr>
        <w:t>1</w:t>
      </w:r>
      <w:r>
        <w:rPr>
          <w:rFonts w:hint="eastAsia" w:ascii="宋体" w:hAnsi="宋体" w:cs="宋体"/>
          <w:kern w:val="0"/>
          <w:sz w:val="32"/>
          <w:szCs w:val="32"/>
          <w:u w:val="single"/>
        </w:rPr>
        <w:t>月</w:t>
      </w:r>
      <w:r>
        <w:rPr>
          <w:rFonts w:hint="eastAsia" w:ascii="宋体" w:hAnsi="宋体" w:cs="宋体"/>
          <w:kern w:val="0"/>
          <w:sz w:val="32"/>
          <w:szCs w:val="32"/>
          <w:u w:val="single"/>
          <w:lang w:val="en-US" w:eastAsia="zh-CN"/>
        </w:rPr>
        <w:t>20</w:t>
      </w:r>
      <w:r>
        <w:rPr>
          <w:rFonts w:hint="eastAsia" w:ascii="宋体" w:hAnsi="宋体" w:cs="宋体"/>
          <w:kern w:val="0"/>
          <w:sz w:val="32"/>
          <w:szCs w:val="32"/>
          <w:u w:val="single"/>
        </w:rPr>
        <w:t>日</w:t>
      </w:r>
    </w:p>
    <w:p>
      <w:pPr>
        <w:widowControl/>
        <w:spacing w:before="156"/>
        <w:ind w:firstLine="960" w:firstLineChars="300"/>
        <w:rPr>
          <w:rFonts w:ascii="宋体" w:hAnsi="宋体" w:cs="宋体"/>
          <w:kern w:val="0"/>
          <w:sz w:val="32"/>
          <w:szCs w:val="32"/>
        </w:rPr>
      </w:pPr>
      <w:r>
        <w:rPr>
          <w:rFonts w:hint="eastAsia" w:ascii="宋体" w:hAnsi="宋体" w:cs="宋体"/>
          <w:kern w:val="0"/>
          <w:sz w:val="32"/>
          <w:szCs w:val="32"/>
        </w:rPr>
        <w:t>是否在企业内部公示：</w:t>
      </w:r>
      <w:r>
        <w:rPr>
          <w:rFonts w:hint="eastAsia" w:ascii="宋体" w:hAnsi="宋体" w:cs="宋体"/>
          <w:kern w:val="0"/>
          <w:sz w:val="32"/>
          <w:szCs w:val="32"/>
          <w:bdr w:val="single" w:color="auto" w:sz="4" w:space="0"/>
        </w:rPr>
        <w:t>√</w:t>
      </w:r>
      <w:r>
        <w:rPr>
          <w:rFonts w:hint="eastAsia" w:ascii="宋体" w:hAnsi="宋体" w:cs="宋体"/>
          <w:kern w:val="0"/>
          <w:sz w:val="32"/>
          <w:szCs w:val="32"/>
        </w:rPr>
        <w:t>是     □否</w:t>
      </w:r>
    </w:p>
    <w:p>
      <w:pPr>
        <w:widowControl/>
        <w:spacing w:before="156"/>
        <w:ind w:firstLine="960" w:firstLineChars="300"/>
        <w:rPr>
          <w:rFonts w:ascii="宋体" w:hAnsi="宋体" w:cs="宋体"/>
          <w:kern w:val="0"/>
          <w:sz w:val="32"/>
          <w:szCs w:val="32"/>
        </w:rPr>
      </w:pPr>
      <w:r>
        <w:rPr>
          <w:rFonts w:hint="eastAsia" w:ascii="宋体" w:hAnsi="宋体" w:cs="宋体"/>
          <w:kern w:val="0"/>
          <w:sz w:val="32"/>
          <w:szCs w:val="32"/>
        </w:rPr>
        <w:t xml:space="preserve">是否申请评审：      </w:t>
      </w:r>
      <w:r>
        <w:rPr>
          <w:rFonts w:hint="eastAsia" w:ascii="宋体" w:hAnsi="宋体" w:cs="宋体"/>
          <w:kern w:val="0"/>
          <w:sz w:val="32"/>
          <w:szCs w:val="32"/>
          <w:bdr w:val="single" w:color="auto" w:sz="4" w:space="0"/>
        </w:rPr>
        <w:t>√</w:t>
      </w:r>
      <w:r>
        <w:rPr>
          <w:rFonts w:hint="eastAsia" w:ascii="宋体" w:hAnsi="宋体" w:cs="宋体"/>
          <w:kern w:val="0"/>
          <w:sz w:val="32"/>
          <w:szCs w:val="32"/>
        </w:rPr>
        <w:t>是     □否</w:t>
      </w:r>
    </w:p>
    <w:p>
      <w:pPr>
        <w:widowControl/>
        <w:jc w:val="center"/>
        <w:rPr>
          <w:rFonts w:ascii="宋体" w:hAnsi="宋体" w:cs="宋体"/>
          <w:kern w:val="0"/>
          <w:sz w:val="32"/>
          <w:szCs w:val="32"/>
        </w:rPr>
      </w:pPr>
    </w:p>
    <w:p>
      <w:pPr>
        <w:widowControl/>
        <w:jc w:val="center"/>
        <w:rPr>
          <w:rFonts w:ascii="宋体" w:hAnsi="宋体" w:cs="宋体"/>
          <w:kern w:val="0"/>
          <w:sz w:val="32"/>
          <w:szCs w:val="32"/>
        </w:rPr>
      </w:pPr>
      <w:r>
        <w:rPr>
          <w:rFonts w:hint="eastAsia" w:ascii="宋体" w:hAnsi="宋体" w:cs="宋体"/>
          <w:b/>
          <w:bCs/>
          <w:spacing w:val="10"/>
          <w:kern w:val="0"/>
          <w:sz w:val="32"/>
          <w:szCs w:val="32"/>
        </w:rPr>
        <w:t>湖北省安全生产技术协会监制</w:t>
      </w:r>
    </w:p>
    <w:p>
      <w:pPr>
        <w:widowControl/>
        <w:jc w:val="left"/>
        <w:rPr>
          <w:rFonts w:ascii="宋体" w:hAnsi="宋体"/>
          <w:b/>
          <w:bCs/>
          <w:kern w:val="0"/>
          <w:sz w:val="32"/>
          <w:szCs w:val="32"/>
        </w:rPr>
      </w:pPr>
      <w:r>
        <w:rPr>
          <w:rFonts w:ascii="宋体" w:hAnsi="宋体"/>
          <w:b/>
          <w:bCs/>
          <w:kern w:val="0"/>
          <w:sz w:val="32"/>
          <w:szCs w:val="32"/>
        </w:rPr>
        <w:br w:type="page"/>
      </w:r>
    </w:p>
    <w:p>
      <w:pPr>
        <w:widowControl/>
        <w:spacing w:after="93"/>
        <w:jc w:val="center"/>
        <w:rPr>
          <w:rFonts w:ascii="宋体" w:hAnsi="宋体" w:cs="宋体"/>
          <w:b/>
          <w:bCs/>
          <w:kern w:val="0"/>
          <w:sz w:val="32"/>
          <w:szCs w:val="32"/>
        </w:rPr>
      </w:pPr>
      <w:r>
        <w:rPr>
          <w:rFonts w:hint="eastAsia" w:ascii="宋体" w:hAnsi="宋体" w:cs="宋体"/>
          <w:b/>
          <w:bCs/>
          <w:kern w:val="0"/>
          <w:sz w:val="32"/>
          <w:szCs w:val="32"/>
        </w:rPr>
        <w:t>企业基本情况表</w:t>
      </w:r>
    </w:p>
    <w:tbl>
      <w:tblPr>
        <w:tblStyle w:val="24"/>
        <w:tblW w:w="9288" w:type="dxa"/>
        <w:tblInd w:w="0" w:type="dxa"/>
        <w:tblLayout w:type="fixed"/>
        <w:tblCellMar>
          <w:top w:w="0" w:type="dxa"/>
          <w:left w:w="108" w:type="dxa"/>
          <w:bottom w:w="0" w:type="dxa"/>
          <w:right w:w="108" w:type="dxa"/>
        </w:tblCellMar>
      </w:tblPr>
      <w:tblGrid>
        <w:gridCol w:w="918"/>
        <w:gridCol w:w="588"/>
        <w:gridCol w:w="201"/>
        <w:gridCol w:w="1202"/>
        <w:gridCol w:w="36"/>
        <w:gridCol w:w="1557"/>
        <w:gridCol w:w="995"/>
        <w:gridCol w:w="719"/>
        <w:gridCol w:w="1124"/>
        <w:gridCol w:w="141"/>
        <w:gridCol w:w="426"/>
        <w:gridCol w:w="1381"/>
      </w:tblGrid>
      <w:tr>
        <w:tblPrEx>
          <w:tblCellMar>
            <w:top w:w="0" w:type="dxa"/>
            <w:left w:w="108" w:type="dxa"/>
            <w:bottom w:w="0" w:type="dxa"/>
            <w:right w:w="108" w:type="dxa"/>
          </w:tblCellMar>
        </w:tblPrEx>
        <w:trPr>
          <w:trHeight w:val="531" w:hRule="atLeast"/>
        </w:trPr>
        <w:tc>
          <w:tcPr>
            <w:tcW w:w="150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before="46"/>
              <w:jc w:val="center"/>
              <w:rPr>
                <w:rFonts w:ascii="宋体" w:hAnsi="宋体" w:cs="宋体"/>
                <w:kern w:val="0"/>
                <w:sz w:val="24"/>
              </w:rPr>
            </w:pPr>
            <w:r>
              <w:rPr>
                <w:rFonts w:hint="eastAsia" w:ascii="宋体" w:hAnsi="宋体" w:cs="宋体"/>
                <w:kern w:val="0"/>
                <w:sz w:val="22"/>
                <w:szCs w:val="22"/>
              </w:rPr>
              <w:t>企业名称</w:t>
            </w:r>
          </w:p>
        </w:tc>
        <w:tc>
          <w:tcPr>
            <w:tcW w:w="7782" w:type="dxa"/>
            <w:gridSpan w:val="10"/>
            <w:tcBorders>
              <w:top w:val="single" w:color="000000" w:sz="4" w:space="0"/>
              <w:left w:val="nil"/>
              <w:bottom w:val="single" w:color="000000" w:sz="4" w:space="0"/>
              <w:right w:val="single" w:color="000000" w:sz="4" w:space="0"/>
            </w:tcBorders>
            <w:shd w:val="clear" w:color="auto" w:fill="auto"/>
            <w:vAlign w:val="center"/>
          </w:tcPr>
          <w:p>
            <w:pPr>
              <w:widowControl/>
              <w:spacing w:before="46"/>
              <w:jc w:val="center"/>
              <w:rPr>
                <w:rFonts w:ascii="宋体" w:hAnsi="宋体" w:cs="宋体"/>
                <w:kern w:val="0"/>
                <w:sz w:val="24"/>
              </w:rPr>
            </w:pPr>
            <w:r>
              <w:rPr>
                <w:rFonts w:hint="eastAsia" w:ascii="宋体" w:hAnsi="宋体" w:cs="宋体"/>
                <w:kern w:val="0"/>
                <w:sz w:val="24"/>
              </w:rPr>
              <w:t>老河口华辰化学有限公司</w:t>
            </w:r>
          </w:p>
        </w:tc>
      </w:tr>
      <w:tr>
        <w:tblPrEx>
          <w:tblCellMar>
            <w:top w:w="0" w:type="dxa"/>
            <w:left w:w="108" w:type="dxa"/>
            <w:bottom w:w="0" w:type="dxa"/>
            <w:right w:w="108" w:type="dxa"/>
          </w:tblCellMar>
        </w:tblPrEx>
        <w:trPr>
          <w:trHeight w:val="455" w:hRule="atLeast"/>
        </w:trPr>
        <w:tc>
          <w:tcPr>
            <w:tcW w:w="150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before="46"/>
              <w:jc w:val="center"/>
              <w:rPr>
                <w:rFonts w:ascii="宋体" w:hAnsi="宋体" w:cs="宋体"/>
                <w:kern w:val="0"/>
                <w:sz w:val="24"/>
              </w:rPr>
            </w:pPr>
            <w:r>
              <w:rPr>
                <w:rFonts w:hint="eastAsia" w:ascii="宋体" w:hAnsi="宋体" w:cs="宋体"/>
                <w:kern w:val="0"/>
                <w:sz w:val="24"/>
              </w:rPr>
              <w:t>地    址</w:t>
            </w:r>
          </w:p>
        </w:tc>
        <w:tc>
          <w:tcPr>
            <w:tcW w:w="7782" w:type="dxa"/>
            <w:gridSpan w:val="10"/>
            <w:tcBorders>
              <w:top w:val="single" w:color="000000" w:sz="4" w:space="0"/>
              <w:left w:val="nil"/>
              <w:bottom w:val="single" w:color="000000" w:sz="4" w:space="0"/>
              <w:right w:val="single" w:color="000000" w:sz="4" w:space="0"/>
            </w:tcBorders>
            <w:shd w:val="clear" w:color="auto" w:fill="auto"/>
            <w:vAlign w:val="center"/>
          </w:tcPr>
          <w:p>
            <w:pPr>
              <w:widowControl/>
              <w:spacing w:before="46"/>
              <w:jc w:val="center"/>
              <w:rPr>
                <w:rFonts w:ascii="宋体" w:hAnsi="宋体" w:cs="宋体"/>
                <w:kern w:val="0"/>
                <w:sz w:val="24"/>
              </w:rPr>
            </w:pPr>
            <w:r>
              <w:rPr>
                <w:rFonts w:hint="eastAsia" w:ascii="宋体" w:hAnsi="宋体" w:cs="宋体"/>
                <w:kern w:val="0"/>
                <w:sz w:val="24"/>
              </w:rPr>
              <w:t>老河口市科技产业园区横二路</w:t>
            </w:r>
          </w:p>
        </w:tc>
      </w:tr>
      <w:tr>
        <w:tblPrEx>
          <w:tblCellMar>
            <w:top w:w="0" w:type="dxa"/>
            <w:left w:w="108" w:type="dxa"/>
            <w:bottom w:w="0" w:type="dxa"/>
            <w:right w:w="108" w:type="dxa"/>
          </w:tblCellMar>
        </w:tblPrEx>
        <w:tc>
          <w:tcPr>
            <w:tcW w:w="150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before="46"/>
              <w:jc w:val="center"/>
              <w:rPr>
                <w:rFonts w:ascii="宋体" w:hAnsi="宋体" w:cs="宋体"/>
                <w:kern w:val="0"/>
                <w:sz w:val="24"/>
              </w:rPr>
            </w:pPr>
            <w:r>
              <w:rPr>
                <w:rFonts w:hint="eastAsia" w:ascii="宋体" w:hAnsi="宋体" w:cs="宋体"/>
                <w:kern w:val="0"/>
                <w:sz w:val="24"/>
              </w:rPr>
              <w:t>企业性质</w:t>
            </w:r>
          </w:p>
        </w:tc>
        <w:tc>
          <w:tcPr>
            <w:tcW w:w="7782" w:type="dxa"/>
            <w:gridSpan w:val="10"/>
            <w:tcBorders>
              <w:top w:val="single" w:color="000000" w:sz="4" w:space="0"/>
              <w:left w:val="nil"/>
              <w:bottom w:val="single" w:color="000000" w:sz="4" w:space="0"/>
              <w:right w:val="single" w:color="000000" w:sz="4" w:space="0"/>
            </w:tcBorders>
            <w:shd w:val="clear" w:color="auto" w:fill="auto"/>
            <w:vAlign w:val="center"/>
          </w:tcPr>
          <w:p>
            <w:pPr>
              <w:widowControl/>
              <w:spacing w:before="46"/>
              <w:jc w:val="center"/>
              <w:rPr>
                <w:rFonts w:ascii="宋体" w:hAnsi="宋体" w:cs="宋体"/>
                <w:kern w:val="0"/>
                <w:sz w:val="24"/>
              </w:rPr>
            </w:pPr>
            <w:r>
              <w:rPr>
                <w:rFonts w:hint="eastAsia" w:ascii="宋体" w:hAnsi="宋体" w:cs="宋体"/>
                <w:kern w:val="0"/>
                <w:sz w:val="24"/>
              </w:rPr>
              <w:t xml:space="preserve">□国有  □集体  </w:t>
            </w:r>
            <w:r>
              <w:rPr>
                <w:rFonts w:hint="eastAsia" w:ascii="宋体" w:hAnsi="宋体" w:cs="宋体"/>
                <w:kern w:val="0"/>
                <w:sz w:val="18"/>
                <w:szCs w:val="18"/>
                <w:bdr w:val="single" w:color="auto" w:sz="4" w:space="0"/>
              </w:rPr>
              <w:t>√</w:t>
            </w:r>
            <w:r>
              <w:rPr>
                <w:rFonts w:hint="eastAsia" w:ascii="宋体" w:hAnsi="宋体" w:cs="宋体"/>
                <w:kern w:val="0"/>
                <w:sz w:val="24"/>
              </w:rPr>
              <w:t>民营  □私营  □合资  □独资  □其它</w:t>
            </w:r>
          </w:p>
        </w:tc>
      </w:tr>
      <w:tr>
        <w:tblPrEx>
          <w:tblCellMar>
            <w:top w:w="0" w:type="dxa"/>
            <w:left w:w="108" w:type="dxa"/>
            <w:bottom w:w="0" w:type="dxa"/>
            <w:right w:w="108" w:type="dxa"/>
          </w:tblCellMar>
        </w:tblPrEx>
        <w:tc>
          <w:tcPr>
            <w:tcW w:w="150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before="46"/>
              <w:ind w:left="53" w:right="-53"/>
              <w:jc w:val="center"/>
              <w:rPr>
                <w:rFonts w:ascii="宋体" w:hAnsi="宋体" w:cs="宋体"/>
                <w:kern w:val="0"/>
                <w:sz w:val="24"/>
              </w:rPr>
            </w:pPr>
            <w:r>
              <w:rPr>
                <w:rFonts w:hint="eastAsia" w:ascii="宋体" w:hAnsi="宋体" w:cs="宋体"/>
                <w:spacing w:val="-32"/>
                <w:kern w:val="0"/>
                <w:sz w:val="22"/>
                <w:szCs w:val="22"/>
              </w:rPr>
              <w:t>安全管理机</w:t>
            </w:r>
            <w:r>
              <w:rPr>
                <w:rFonts w:hint="eastAsia" w:ascii="宋体" w:hAnsi="宋体" w:cs="宋体"/>
                <w:kern w:val="0"/>
                <w:sz w:val="22"/>
                <w:szCs w:val="22"/>
              </w:rPr>
              <w:t>构</w:t>
            </w:r>
          </w:p>
        </w:tc>
        <w:tc>
          <w:tcPr>
            <w:tcW w:w="7782" w:type="dxa"/>
            <w:gridSpan w:val="10"/>
            <w:tcBorders>
              <w:top w:val="single" w:color="000000" w:sz="4" w:space="0"/>
              <w:left w:val="nil"/>
              <w:bottom w:val="single" w:color="000000" w:sz="4" w:space="0"/>
              <w:right w:val="single" w:color="000000" w:sz="4" w:space="0"/>
            </w:tcBorders>
            <w:shd w:val="clear" w:color="auto" w:fill="auto"/>
            <w:vAlign w:val="center"/>
          </w:tcPr>
          <w:p>
            <w:pPr>
              <w:widowControl/>
              <w:spacing w:before="46"/>
              <w:jc w:val="center"/>
              <w:rPr>
                <w:rFonts w:ascii="宋体" w:hAnsi="宋体" w:cs="宋体"/>
                <w:kern w:val="0"/>
                <w:sz w:val="24"/>
              </w:rPr>
            </w:pPr>
            <w:r>
              <w:rPr>
                <w:rFonts w:hint="eastAsia" w:ascii="宋体" w:hAnsi="宋体" w:cs="宋体"/>
                <w:kern w:val="0"/>
                <w:sz w:val="24"/>
              </w:rPr>
              <w:t>安环部</w:t>
            </w:r>
          </w:p>
        </w:tc>
      </w:tr>
      <w:tr>
        <w:tblPrEx>
          <w:tblCellMar>
            <w:top w:w="0" w:type="dxa"/>
            <w:left w:w="108" w:type="dxa"/>
            <w:bottom w:w="0" w:type="dxa"/>
            <w:right w:w="108" w:type="dxa"/>
          </w:tblCellMar>
        </w:tblPrEx>
        <w:tc>
          <w:tcPr>
            <w:tcW w:w="150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员工总数</w:t>
            </w:r>
          </w:p>
        </w:tc>
        <w:tc>
          <w:tcPr>
            <w:tcW w:w="1439" w:type="dxa"/>
            <w:gridSpan w:val="3"/>
            <w:tcBorders>
              <w:top w:val="single" w:color="000000" w:sz="4" w:space="0"/>
              <w:left w:val="nil"/>
              <w:bottom w:val="single" w:color="000000" w:sz="4" w:space="0"/>
              <w:right w:val="single" w:color="000000" w:sz="4"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6</w:t>
            </w:r>
            <w:r>
              <w:rPr>
                <w:rFonts w:hint="eastAsia" w:ascii="宋体" w:hAnsi="宋体" w:cs="宋体"/>
                <w:kern w:val="0"/>
                <w:sz w:val="24"/>
                <w:lang w:val="en-US" w:eastAsia="zh-CN"/>
              </w:rPr>
              <w:t>0</w:t>
            </w:r>
            <w:r>
              <w:rPr>
                <w:rFonts w:hint="eastAsia" w:ascii="宋体" w:hAnsi="宋体" w:cs="宋体"/>
                <w:kern w:val="0"/>
                <w:sz w:val="24"/>
              </w:rPr>
              <w:t>人</w:t>
            </w:r>
          </w:p>
        </w:tc>
        <w:tc>
          <w:tcPr>
            <w:tcW w:w="1557" w:type="dxa"/>
            <w:tcBorders>
              <w:top w:val="single" w:color="000000" w:sz="4" w:space="0"/>
              <w:left w:val="nil"/>
              <w:bottom w:val="single" w:color="000000" w:sz="4" w:space="0"/>
              <w:right w:val="single" w:color="000000" w:sz="4" w:space="0"/>
            </w:tcBorders>
            <w:shd w:val="clear" w:color="auto" w:fill="auto"/>
            <w:vAlign w:val="center"/>
          </w:tcPr>
          <w:p>
            <w:pPr>
              <w:widowControl/>
              <w:ind w:left="53" w:right="-53"/>
              <w:jc w:val="center"/>
              <w:rPr>
                <w:rFonts w:ascii="宋体" w:hAnsi="宋体" w:cs="宋体"/>
                <w:kern w:val="0"/>
                <w:sz w:val="24"/>
              </w:rPr>
            </w:pPr>
            <w:r>
              <w:rPr>
                <w:rFonts w:hint="eastAsia" w:ascii="宋体" w:hAnsi="宋体" w:cs="宋体"/>
                <w:kern w:val="0"/>
                <w:sz w:val="24"/>
              </w:rPr>
              <w:t>专职安全管理人员</w:t>
            </w:r>
          </w:p>
        </w:tc>
        <w:tc>
          <w:tcPr>
            <w:tcW w:w="1714" w:type="dxa"/>
            <w:gridSpan w:val="2"/>
            <w:tcBorders>
              <w:top w:val="single" w:color="000000" w:sz="4" w:space="0"/>
              <w:left w:val="nil"/>
              <w:bottom w:val="single" w:color="000000" w:sz="4" w:space="0"/>
              <w:right w:val="single" w:color="000000" w:sz="4"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lang w:val="en-US" w:eastAsia="zh-CN"/>
              </w:rPr>
              <w:t>3</w:t>
            </w:r>
            <w:r>
              <w:rPr>
                <w:rFonts w:hint="eastAsia" w:ascii="宋体" w:hAnsi="宋体" w:cs="宋体"/>
                <w:kern w:val="0"/>
                <w:sz w:val="24"/>
              </w:rPr>
              <w:t>人</w:t>
            </w:r>
          </w:p>
        </w:tc>
        <w:tc>
          <w:tcPr>
            <w:tcW w:w="1691" w:type="dxa"/>
            <w:gridSpan w:val="3"/>
            <w:tcBorders>
              <w:top w:val="single" w:color="000000" w:sz="4" w:space="0"/>
              <w:left w:val="nil"/>
              <w:bottom w:val="single" w:color="000000" w:sz="4" w:space="0"/>
              <w:right w:val="single" w:color="000000" w:sz="4" w:space="0"/>
            </w:tcBorders>
            <w:shd w:val="clear" w:color="auto" w:fill="auto"/>
            <w:vAlign w:val="center"/>
          </w:tcPr>
          <w:p>
            <w:pPr>
              <w:widowControl/>
              <w:rPr>
                <w:rFonts w:ascii="宋体" w:hAnsi="宋体" w:cs="宋体"/>
                <w:kern w:val="0"/>
                <w:sz w:val="24"/>
              </w:rPr>
            </w:pPr>
            <w:r>
              <w:rPr>
                <w:rFonts w:hint="eastAsia" w:ascii="宋体" w:hAnsi="宋体" w:cs="宋体"/>
                <w:kern w:val="0"/>
                <w:sz w:val="24"/>
              </w:rPr>
              <w:t>特种作业人员</w:t>
            </w:r>
          </w:p>
        </w:tc>
        <w:tc>
          <w:tcPr>
            <w:tcW w:w="1381" w:type="dxa"/>
            <w:tcBorders>
              <w:top w:val="single" w:color="000000" w:sz="4" w:space="0"/>
              <w:left w:val="nil"/>
              <w:bottom w:val="single" w:color="000000" w:sz="4" w:space="0"/>
              <w:right w:val="single" w:color="000000" w:sz="4"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lang w:val="en-US" w:eastAsia="zh-CN"/>
              </w:rPr>
              <w:t>15</w:t>
            </w:r>
            <w:r>
              <w:rPr>
                <w:rFonts w:hint="eastAsia" w:ascii="宋体" w:hAnsi="宋体" w:cs="宋体"/>
                <w:kern w:val="0"/>
                <w:sz w:val="24"/>
              </w:rPr>
              <w:t>人</w:t>
            </w:r>
          </w:p>
        </w:tc>
      </w:tr>
      <w:tr>
        <w:tblPrEx>
          <w:tblCellMar>
            <w:top w:w="0" w:type="dxa"/>
            <w:left w:w="108" w:type="dxa"/>
            <w:bottom w:w="0" w:type="dxa"/>
            <w:right w:w="108" w:type="dxa"/>
          </w:tblCellMar>
        </w:tblPrEx>
        <w:trPr>
          <w:trHeight w:val="437" w:hRule="atLeast"/>
        </w:trPr>
        <w:tc>
          <w:tcPr>
            <w:tcW w:w="150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固定资产</w:t>
            </w:r>
          </w:p>
        </w:tc>
        <w:tc>
          <w:tcPr>
            <w:tcW w:w="2996" w:type="dxa"/>
            <w:gridSpan w:val="4"/>
            <w:tcBorders>
              <w:top w:val="single" w:color="000000" w:sz="4" w:space="0"/>
              <w:left w:val="nil"/>
              <w:bottom w:val="single" w:color="000000" w:sz="4" w:space="0"/>
              <w:right w:val="single" w:color="000000" w:sz="4" w:space="0"/>
            </w:tcBorders>
            <w:shd w:val="clear" w:color="auto" w:fill="auto"/>
            <w:vAlign w:val="center"/>
          </w:tcPr>
          <w:p>
            <w:pPr>
              <w:widowControl/>
              <w:ind w:right="210"/>
              <w:jc w:val="center"/>
              <w:rPr>
                <w:rFonts w:ascii="宋体" w:hAnsi="宋体" w:cs="宋体"/>
                <w:kern w:val="0"/>
                <w:sz w:val="24"/>
              </w:rPr>
            </w:pPr>
            <w:r>
              <w:rPr>
                <w:rFonts w:hint="eastAsia" w:ascii="宋体" w:hAnsi="宋体" w:cs="宋体"/>
                <w:kern w:val="0"/>
                <w:sz w:val="24"/>
                <w:lang w:val="en-US" w:eastAsia="zh-CN"/>
              </w:rPr>
              <w:t>3200</w:t>
            </w:r>
            <w:r>
              <w:rPr>
                <w:rFonts w:hint="eastAsia" w:ascii="宋体" w:hAnsi="宋体" w:cs="宋体"/>
                <w:kern w:val="0"/>
                <w:sz w:val="24"/>
              </w:rPr>
              <w:t>万元</w:t>
            </w:r>
          </w:p>
        </w:tc>
        <w:tc>
          <w:tcPr>
            <w:tcW w:w="1714" w:type="dxa"/>
            <w:gridSpan w:val="2"/>
            <w:tcBorders>
              <w:top w:val="single" w:color="000000" w:sz="4" w:space="0"/>
              <w:left w:val="nil"/>
              <w:bottom w:val="single" w:color="000000" w:sz="4" w:space="0"/>
              <w:right w:val="single" w:color="000000" w:sz="4" w:space="0"/>
            </w:tcBorders>
            <w:shd w:val="clear" w:color="auto" w:fill="auto"/>
            <w:vAlign w:val="center"/>
          </w:tcPr>
          <w:p>
            <w:pPr>
              <w:widowControl/>
              <w:ind w:left="105" w:right="-105"/>
              <w:jc w:val="center"/>
              <w:rPr>
                <w:rFonts w:ascii="宋体" w:hAnsi="宋体" w:cs="宋体"/>
                <w:kern w:val="0"/>
                <w:sz w:val="24"/>
              </w:rPr>
            </w:pPr>
            <w:r>
              <w:rPr>
                <w:rFonts w:hint="eastAsia" w:ascii="宋体" w:hAnsi="宋体" w:cs="宋体"/>
                <w:kern w:val="0"/>
                <w:sz w:val="24"/>
              </w:rPr>
              <w:t>主营业务收入</w:t>
            </w:r>
          </w:p>
        </w:tc>
        <w:tc>
          <w:tcPr>
            <w:tcW w:w="3072" w:type="dxa"/>
            <w:gridSpan w:val="4"/>
            <w:tcBorders>
              <w:top w:val="single" w:color="000000" w:sz="4" w:space="0"/>
              <w:left w:val="nil"/>
              <w:bottom w:val="single" w:color="000000" w:sz="4" w:space="0"/>
              <w:right w:val="single" w:color="000000" w:sz="4" w:space="0"/>
            </w:tcBorders>
            <w:shd w:val="clear" w:color="auto" w:fill="auto"/>
            <w:vAlign w:val="center"/>
          </w:tcPr>
          <w:p>
            <w:pPr>
              <w:widowControl/>
              <w:ind w:right="210"/>
              <w:jc w:val="center"/>
              <w:rPr>
                <w:rFonts w:ascii="宋体" w:hAnsi="宋体" w:cs="宋体"/>
                <w:kern w:val="0"/>
                <w:sz w:val="24"/>
              </w:rPr>
            </w:pPr>
            <w:r>
              <w:rPr>
                <w:rFonts w:hint="eastAsia" w:ascii="宋体" w:hAnsi="宋体" w:cs="宋体"/>
                <w:kern w:val="0"/>
                <w:sz w:val="24"/>
              </w:rPr>
              <w:t>1500万元</w:t>
            </w:r>
          </w:p>
        </w:tc>
      </w:tr>
      <w:tr>
        <w:tblPrEx>
          <w:tblCellMar>
            <w:top w:w="0" w:type="dxa"/>
            <w:left w:w="108" w:type="dxa"/>
            <w:bottom w:w="0" w:type="dxa"/>
            <w:right w:w="108" w:type="dxa"/>
          </w:tblCellMar>
        </w:tblPrEx>
        <w:tc>
          <w:tcPr>
            <w:tcW w:w="150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倒班情况</w:t>
            </w:r>
          </w:p>
        </w:tc>
        <w:tc>
          <w:tcPr>
            <w:tcW w:w="2996" w:type="dxa"/>
            <w:gridSpan w:val="4"/>
            <w:tcBorders>
              <w:top w:val="single" w:color="000000" w:sz="4" w:space="0"/>
              <w:left w:val="nil"/>
              <w:bottom w:val="single" w:color="000000" w:sz="4" w:space="0"/>
              <w:right w:val="single" w:color="000000" w:sz="4"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18"/>
                <w:szCs w:val="18"/>
                <w:bdr w:val="single" w:color="auto" w:sz="4" w:space="0"/>
              </w:rPr>
              <w:t>√</w:t>
            </w:r>
            <w:r>
              <w:rPr>
                <w:rFonts w:hint="eastAsia" w:ascii="宋体" w:hAnsi="宋体" w:cs="宋体"/>
                <w:kern w:val="0"/>
                <w:sz w:val="24"/>
              </w:rPr>
              <w:t>有  □没有</w:t>
            </w:r>
          </w:p>
        </w:tc>
        <w:tc>
          <w:tcPr>
            <w:tcW w:w="1714" w:type="dxa"/>
            <w:gridSpan w:val="2"/>
            <w:tcBorders>
              <w:top w:val="single" w:color="000000" w:sz="4" w:space="0"/>
              <w:left w:val="nil"/>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24"/>
                <w:lang w:eastAsia="zh-CN"/>
              </w:rPr>
            </w:pPr>
            <w:r>
              <w:rPr>
                <w:rFonts w:hint="eastAsia" w:ascii="宋体" w:hAnsi="宋体" w:cs="宋体"/>
                <w:kern w:val="0"/>
                <w:sz w:val="24"/>
              </w:rPr>
              <w:t>倒班人数</w:t>
            </w:r>
          </w:p>
          <w:p>
            <w:pPr>
              <w:widowControl/>
              <w:jc w:val="center"/>
              <w:rPr>
                <w:rFonts w:ascii="宋体" w:hAnsi="宋体" w:cs="宋体"/>
                <w:kern w:val="0"/>
                <w:sz w:val="24"/>
              </w:rPr>
            </w:pPr>
            <w:r>
              <w:rPr>
                <w:rFonts w:hint="eastAsia" w:ascii="宋体" w:hAnsi="宋体" w:cs="宋体"/>
                <w:kern w:val="0"/>
                <w:sz w:val="24"/>
              </w:rPr>
              <w:t>及 方 式</w:t>
            </w:r>
          </w:p>
        </w:tc>
        <w:tc>
          <w:tcPr>
            <w:tcW w:w="3072" w:type="dxa"/>
            <w:gridSpan w:val="4"/>
            <w:tcBorders>
              <w:top w:val="single" w:color="000000" w:sz="4" w:space="0"/>
              <w:left w:val="nil"/>
              <w:bottom w:val="single" w:color="000000" w:sz="4" w:space="0"/>
              <w:right w:val="single" w:color="000000" w:sz="4"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三班四运转</w:t>
            </w:r>
          </w:p>
        </w:tc>
      </w:tr>
      <w:tr>
        <w:tblPrEx>
          <w:tblCellMar>
            <w:top w:w="0" w:type="dxa"/>
            <w:left w:w="108" w:type="dxa"/>
            <w:bottom w:w="0" w:type="dxa"/>
            <w:right w:w="108" w:type="dxa"/>
          </w:tblCellMar>
        </w:tblPrEx>
        <w:trPr>
          <w:trHeight w:val="495" w:hRule="atLeast"/>
        </w:trPr>
        <w:tc>
          <w:tcPr>
            <w:tcW w:w="150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before="46"/>
              <w:jc w:val="center"/>
              <w:rPr>
                <w:rFonts w:ascii="宋体" w:hAnsi="宋体" w:cs="宋体"/>
                <w:kern w:val="0"/>
                <w:sz w:val="24"/>
              </w:rPr>
            </w:pPr>
            <w:r>
              <w:rPr>
                <w:rFonts w:hint="eastAsia" w:ascii="宋体" w:hAnsi="宋体" w:cs="宋体"/>
                <w:spacing w:val="-32"/>
                <w:kern w:val="0"/>
                <w:sz w:val="24"/>
              </w:rPr>
              <w:t>法定代表</w:t>
            </w:r>
            <w:r>
              <w:rPr>
                <w:rFonts w:hint="eastAsia" w:ascii="宋体" w:hAnsi="宋体" w:cs="宋体"/>
                <w:kern w:val="0"/>
                <w:sz w:val="24"/>
              </w:rPr>
              <w:t>人</w:t>
            </w:r>
          </w:p>
        </w:tc>
        <w:tc>
          <w:tcPr>
            <w:tcW w:w="1439" w:type="dxa"/>
            <w:gridSpan w:val="3"/>
            <w:tcBorders>
              <w:top w:val="single" w:color="000000" w:sz="4" w:space="0"/>
              <w:left w:val="nil"/>
              <w:bottom w:val="single" w:color="000000" w:sz="4" w:space="0"/>
              <w:right w:val="single" w:color="000000" w:sz="4" w:space="0"/>
            </w:tcBorders>
            <w:shd w:val="clear" w:color="auto" w:fill="auto"/>
            <w:vAlign w:val="center"/>
          </w:tcPr>
          <w:p>
            <w:pPr>
              <w:widowControl/>
              <w:spacing w:before="46"/>
              <w:jc w:val="center"/>
              <w:rPr>
                <w:rFonts w:ascii="宋体" w:hAnsi="宋体" w:cs="宋体"/>
                <w:kern w:val="0"/>
                <w:sz w:val="24"/>
              </w:rPr>
            </w:pPr>
            <w:r>
              <w:rPr>
                <w:rFonts w:hint="eastAsia" w:ascii="宋体" w:hAnsi="宋体" w:cs="宋体"/>
                <w:kern w:val="0"/>
                <w:sz w:val="24"/>
              </w:rPr>
              <w:t>祝  捷</w:t>
            </w:r>
          </w:p>
        </w:tc>
        <w:tc>
          <w:tcPr>
            <w:tcW w:w="1557" w:type="dxa"/>
            <w:tcBorders>
              <w:top w:val="single" w:color="000000" w:sz="4" w:space="0"/>
              <w:left w:val="nil"/>
              <w:bottom w:val="single" w:color="000000" w:sz="4" w:space="0"/>
              <w:right w:val="single" w:color="000000" w:sz="4" w:space="0"/>
            </w:tcBorders>
            <w:shd w:val="clear" w:color="auto" w:fill="auto"/>
            <w:vAlign w:val="center"/>
          </w:tcPr>
          <w:p>
            <w:pPr>
              <w:widowControl/>
              <w:spacing w:before="46"/>
              <w:jc w:val="center"/>
              <w:rPr>
                <w:rFonts w:ascii="宋体" w:hAnsi="宋体" w:cs="宋体"/>
                <w:kern w:val="0"/>
                <w:sz w:val="24"/>
              </w:rPr>
            </w:pPr>
            <w:r>
              <w:rPr>
                <w:rFonts w:hint="eastAsia" w:ascii="宋体" w:hAnsi="宋体" w:cs="宋体"/>
                <w:kern w:val="0"/>
                <w:sz w:val="24"/>
              </w:rPr>
              <w:t>电  话</w:t>
            </w:r>
          </w:p>
        </w:tc>
        <w:tc>
          <w:tcPr>
            <w:tcW w:w="1714" w:type="dxa"/>
            <w:gridSpan w:val="2"/>
            <w:tcBorders>
              <w:top w:val="single" w:color="000000" w:sz="4" w:space="0"/>
              <w:left w:val="nil"/>
              <w:bottom w:val="single" w:color="000000" w:sz="4" w:space="0"/>
              <w:right w:val="single" w:color="000000" w:sz="4" w:space="0"/>
            </w:tcBorders>
            <w:shd w:val="clear" w:color="auto" w:fill="auto"/>
            <w:vAlign w:val="center"/>
          </w:tcPr>
          <w:p>
            <w:pPr>
              <w:widowControl/>
              <w:spacing w:before="46"/>
              <w:jc w:val="center"/>
              <w:rPr>
                <w:rFonts w:ascii="宋体" w:hAnsi="宋体" w:cs="宋体"/>
                <w:kern w:val="0"/>
                <w:sz w:val="24"/>
              </w:rPr>
            </w:pPr>
            <w:r>
              <w:rPr>
                <w:rFonts w:hint="eastAsia" w:ascii="宋体" w:hAnsi="宋体" w:cs="宋体"/>
                <w:kern w:val="0"/>
                <w:sz w:val="24"/>
              </w:rPr>
              <w:t>0710-8250380</w:t>
            </w:r>
          </w:p>
        </w:tc>
        <w:tc>
          <w:tcPr>
            <w:tcW w:w="1265" w:type="dxa"/>
            <w:gridSpan w:val="2"/>
            <w:tcBorders>
              <w:top w:val="single" w:color="000000" w:sz="4" w:space="0"/>
              <w:left w:val="nil"/>
              <w:bottom w:val="single" w:color="000000" w:sz="4" w:space="0"/>
              <w:right w:val="single" w:color="000000" w:sz="4" w:space="0"/>
            </w:tcBorders>
            <w:shd w:val="clear" w:color="auto" w:fill="auto"/>
            <w:vAlign w:val="center"/>
          </w:tcPr>
          <w:p>
            <w:pPr>
              <w:widowControl/>
              <w:spacing w:before="46"/>
              <w:jc w:val="center"/>
              <w:rPr>
                <w:rFonts w:ascii="宋体" w:hAnsi="宋体" w:cs="宋体"/>
                <w:kern w:val="0"/>
                <w:sz w:val="24"/>
              </w:rPr>
            </w:pPr>
            <w:r>
              <w:rPr>
                <w:rFonts w:hint="eastAsia" w:ascii="宋体" w:hAnsi="宋体" w:cs="宋体"/>
                <w:kern w:val="0"/>
                <w:sz w:val="24"/>
              </w:rPr>
              <w:t>传    真</w:t>
            </w:r>
          </w:p>
        </w:tc>
        <w:tc>
          <w:tcPr>
            <w:tcW w:w="1807" w:type="dxa"/>
            <w:gridSpan w:val="2"/>
            <w:tcBorders>
              <w:top w:val="single" w:color="000000" w:sz="4" w:space="0"/>
              <w:left w:val="nil"/>
              <w:bottom w:val="single" w:color="000000" w:sz="4" w:space="0"/>
              <w:right w:val="single" w:color="000000" w:sz="4" w:space="0"/>
            </w:tcBorders>
            <w:shd w:val="clear" w:color="auto" w:fill="auto"/>
            <w:vAlign w:val="center"/>
          </w:tcPr>
          <w:p>
            <w:pPr>
              <w:widowControl/>
              <w:spacing w:before="46"/>
              <w:jc w:val="center"/>
              <w:rPr>
                <w:rFonts w:ascii="宋体" w:hAnsi="宋体" w:cs="宋体"/>
                <w:kern w:val="0"/>
                <w:sz w:val="24"/>
              </w:rPr>
            </w:pPr>
          </w:p>
        </w:tc>
      </w:tr>
      <w:tr>
        <w:tblPrEx>
          <w:tblCellMar>
            <w:top w:w="0" w:type="dxa"/>
            <w:left w:w="108" w:type="dxa"/>
            <w:bottom w:w="0" w:type="dxa"/>
            <w:right w:w="108" w:type="dxa"/>
          </w:tblCellMar>
        </w:tblPrEx>
        <w:trPr>
          <w:trHeight w:val="402" w:hRule="atLeast"/>
        </w:trPr>
        <w:tc>
          <w:tcPr>
            <w:tcW w:w="1506" w:type="dxa"/>
            <w:gridSpan w:val="2"/>
            <w:vMerge w:val="restart"/>
            <w:tcBorders>
              <w:top w:val="nil"/>
              <w:left w:val="single" w:color="000000" w:sz="4" w:space="0"/>
              <w:bottom w:val="single" w:color="000000" w:sz="4" w:space="0"/>
              <w:right w:val="single" w:color="000000" w:sz="4" w:space="0"/>
            </w:tcBorders>
            <w:shd w:val="clear" w:color="auto" w:fill="auto"/>
            <w:vAlign w:val="center"/>
          </w:tcPr>
          <w:p>
            <w:pPr>
              <w:widowControl/>
              <w:spacing w:before="46"/>
              <w:jc w:val="center"/>
              <w:rPr>
                <w:rFonts w:ascii="宋体" w:hAnsi="宋体" w:cs="宋体"/>
                <w:kern w:val="0"/>
                <w:sz w:val="24"/>
              </w:rPr>
            </w:pPr>
            <w:r>
              <w:rPr>
                <w:rFonts w:hint="eastAsia" w:ascii="宋体" w:hAnsi="宋体" w:cs="宋体"/>
                <w:kern w:val="0"/>
                <w:sz w:val="24"/>
              </w:rPr>
              <w:t>联 系 人</w:t>
            </w:r>
          </w:p>
        </w:tc>
        <w:tc>
          <w:tcPr>
            <w:tcW w:w="1439" w:type="dxa"/>
            <w:gridSpan w:val="3"/>
            <w:vMerge w:val="restart"/>
            <w:tcBorders>
              <w:top w:val="nil"/>
              <w:left w:val="nil"/>
              <w:bottom w:val="single" w:color="000000" w:sz="4" w:space="0"/>
              <w:right w:val="single" w:color="000000" w:sz="4" w:space="0"/>
            </w:tcBorders>
            <w:shd w:val="clear" w:color="auto" w:fill="auto"/>
            <w:vAlign w:val="center"/>
          </w:tcPr>
          <w:p>
            <w:pPr>
              <w:widowControl/>
              <w:spacing w:before="46"/>
              <w:jc w:val="center"/>
              <w:rPr>
                <w:rFonts w:ascii="宋体" w:hAnsi="宋体" w:cs="宋体"/>
                <w:kern w:val="0"/>
                <w:sz w:val="24"/>
              </w:rPr>
            </w:pPr>
            <w:r>
              <w:rPr>
                <w:rFonts w:hint="eastAsia" w:ascii="宋体" w:hAnsi="宋体" w:cs="宋体"/>
                <w:kern w:val="0"/>
                <w:sz w:val="24"/>
              </w:rPr>
              <w:t>陈  宏</w:t>
            </w:r>
          </w:p>
        </w:tc>
        <w:tc>
          <w:tcPr>
            <w:tcW w:w="1557" w:type="dxa"/>
            <w:tcBorders>
              <w:top w:val="single" w:color="000000" w:sz="4" w:space="0"/>
              <w:left w:val="nil"/>
              <w:bottom w:val="single" w:color="000000" w:sz="4" w:space="0"/>
              <w:right w:val="single" w:color="000000" w:sz="4" w:space="0"/>
            </w:tcBorders>
            <w:shd w:val="clear" w:color="auto" w:fill="auto"/>
            <w:vAlign w:val="center"/>
          </w:tcPr>
          <w:p>
            <w:pPr>
              <w:widowControl/>
              <w:spacing w:before="46"/>
              <w:jc w:val="center"/>
              <w:rPr>
                <w:rFonts w:ascii="宋体" w:hAnsi="宋体" w:cs="宋体"/>
                <w:kern w:val="0"/>
                <w:sz w:val="24"/>
              </w:rPr>
            </w:pPr>
            <w:r>
              <w:rPr>
                <w:rFonts w:hint="eastAsia" w:ascii="宋体" w:hAnsi="宋体" w:cs="宋体"/>
                <w:kern w:val="0"/>
                <w:sz w:val="24"/>
              </w:rPr>
              <w:t>电  话</w:t>
            </w:r>
          </w:p>
        </w:tc>
        <w:tc>
          <w:tcPr>
            <w:tcW w:w="1714" w:type="dxa"/>
            <w:gridSpan w:val="2"/>
            <w:tcBorders>
              <w:top w:val="single" w:color="000000" w:sz="4" w:space="0"/>
              <w:left w:val="nil"/>
              <w:bottom w:val="single" w:color="000000" w:sz="4" w:space="0"/>
              <w:right w:val="single" w:color="000000" w:sz="4" w:space="0"/>
            </w:tcBorders>
            <w:shd w:val="clear" w:color="auto" w:fill="auto"/>
            <w:vAlign w:val="center"/>
          </w:tcPr>
          <w:p>
            <w:pPr>
              <w:widowControl/>
              <w:spacing w:before="46"/>
              <w:jc w:val="center"/>
              <w:rPr>
                <w:rFonts w:hint="default" w:ascii="宋体" w:hAnsi="宋体" w:eastAsia="宋体" w:cs="宋体"/>
                <w:kern w:val="0"/>
                <w:sz w:val="24"/>
                <w:lang w:val="en-US" w:eastAsia="zh-CN"/>
              </w:rPr>
            </w:pPr>
            <w:r>
              <w:rPr>
                <w:rFonts w:hint="eastAsia" w:ascii="宋体" w:hAnsi="宋体" w:cs="宋体"/>
                <w:kern w:val="0"/>
                <w:sz w:val="24"/>
              </w:rPr>
              <w:t>0710-8250</w:t>
            </w:r>
            <w:r>
              <w:rPr>
                <w:rFonts w:hint="eastAsia" w:ascii="宋体" w:hAnsi="宋体" w:cs="宋体"/>
                <w:kern w:val="0"/>
                <w:sz w:val="24"/>
                <w:lang w:val="en-US" w:eastAsia="zh-CN"/>
              </w:rPr>
              <w:t>225</w:t>
            </w:r>
          </w:p>
        </w:tc>
        <w:tc>
          <w:tcPr>
            <w:tcW w:w="1265" w:type="dxa"/>
            <w:gridSpan w:val="2"/>
            <w:tcBorders>
              <w:top w:val="single" w:color="000000" w:sz="4" w:space="0"/>
              <w:left w:val="nil"/>
              <w:bottom w:val="single" w:color="000000" w:sz="4" w:space="0"/>
              <w:right w:val="single" w:color="000000" w:sz="4" w:space="0"/>
            </w:tcBorders>
            <w:shd w:val="clear" w:color="auto" w:fill="auto"/>
            <w:vAlign w:val="center"/>
          </w:tcPr>
          <w:p>
            <w:pPr>
              <w:widowControl/>
              <w:spacing w:before="46"/>
              <w:jc w:val="center"/>
              <w:rPr>
                <w:rFonts w:ascii="宋体" w:hAnsi="宋体" w:cs="宋体"/>
                <w:kern w:val="0"/>
                <w:sz w:val="24"/>
              </w:rPr>
            </w:pPr>
            <w:r>
              <w:rPr>
                <w:rFonts w:hint="eastAsia" w:ascii="宋体" w:hAnsi="宋体" w:cs="宋体"/>
                <w:kern w:val="0"/>
                <w:sz w:val="24"/>
              </w:rPr>
              <w:t>传    真</w:t>
            </w:r>
          </w:p>
        </w:tc>
        <w:tc>
          <w:tcPr>
            <w:tcW w:w="1807" w:type="dxa"/>
            <w:gridSpan w:val="2"/>
            <w:tcBorders>
              <w:top w:val="single" w:color="000000" w:sz="4" w:space="0"/>
              <w:left w:val="nil"/>
              <w:bottom w:val="single" w:color="000000" w:sz="4" w:space="0"/>
              <w:right w:val="single" w:color="000000" w:sz="4" w:space="0"/>
            </w:tcBorders>
            <w:shd w:val="clear" w:color="auto" w:fill="auto"/>
            <w:vAlign w:val="center"/>
          </w:tcPr>
          <w:p>
            <w:pPr>
              <w:widowControl/>
              <w:spacing w:before="46"/>
              <w:jc w:val="center"/>
              <w:rPr>
                <w:rFonts w:ascii="宋体" w:hAnsi="宋体" w:cs="宋体"/>
                <w:kern w:val="0"/>
                <w:sz w:val="24"/>
              </w:rPr>
            </w:pPr>
            <w:r>
              <w:rPr>
                <w:rFonts w:hint="eastAsia" w:ascii="宋体" w:hAnsi="宋体" w:cs="宋体"/>
                <w:kern w:val="0"/>
                <w:sz w:val="24"/>
              </w:rPr>
              <w:t>0710-8221378</w:t>
            </w:r>
          </w:p>
        </w:tc>
      </w:tr>
      <w:tr>
        <w:tblPrEx>
          <w:tblCellMar>
            <w:top w:w="0" w:type="dxa"/>
            <w:left w:w="108" w:type="dxa"/>
            <w:bottom w:w="0" w:type="dxa"/>
            <w:right w:w="108" w:type="dxa"/>
          </w:tblCellMar>
        </w:tblPrEx>
        <w:trPr>
          <w:trHeight w:val="477" w:hRule="atLeast"/>
        </w:trPr>
        <w:tc>
          <w:tcPr>
            <w:tcW w:w="1506" w:type="dxa"/>
            <w:gridSpan w:val="2"/>
            <w:vMerge w:val="continue"/>
            <w:tcBorders>
              <w:top w:val="nil"/>
              <w:left w:val="single" w:color="000000" w:sz="4" w:space="0"/>
              <w:bottom w:val="single" w:color="000000" w:sz="4" w:space="0"/>
              <w:right w:val="single" w:color="000000" w:sz="4" w:space="0"/>
            </w:tcBorders>
            <w:shd w:val="clear" w:color="auto" w:fill="auto"/>
            <w:vAlign w:val="center"/>
          </w:tcPr>
          <w:p>
            <w:pPr>
              <w:rPr>
                <w:rFonts w:ascii="Calibri" w:hAnsi="Calibri"/>
                <w:szCs w:val="22"/>
              </w:rPr>
            </w:pPr>
          </w:p>
        </w:tc>
        <w:tc>
          <w:tcPr>
            <w:tcW w:w="1439" w:type="dxa"/>
            <w:gridSpan w:val="3"/>
            <w:vMerge w:val="continue"/>
            <w:tcBorders>
              <w:top w:val="nil"/>
              <w:left w:val="nil"/>
              <w:bottom w:val="single" w:color="000000" w:sz="4" w:space="0"/>
              <w:right w:val="single" w:color="000000" w:sz="4" w:space="0"/>
            </w:tcBorders>
            <w:shd w:val="clear" w:color="auto" w:fill="auto"/>
            <w:vAlign w:val="center"/>
          </w:tcPr>
          <w:p>
            <w:pPr>
              <w:rPr>
                <w:rFonts w:ascii="Calibri" w:hAnsi="Calibri"/>
                <w:szCs w:val="22"/>
              </w:rPr>
            </w:pPr>
          </w:p>
        </w:tc>
        <w:tc>
          <w:tcPr>
            <w:tcW w:w="1557" w:type="dxa"/>
            <w:tcBorders>
              <w:top w:val="single" w:color="000000" w:sz="4" w:space="0"/>
              <w:left w:val="nil"/>
              <w:bottom w:val="single" w:color="000000" w:sz="4" w:space="0"/>
              <w:right w:val="single" w:color="000000" w:sz="4" w:space="0"/>
            </w:tcBorders>
            <w:shd w:val="clear" w:color="auto" w:fill="auto"/>
            <w:vAlign w:val="center"/>
          </w:tcPr>
          <w:p>
            <w:pPr>
              <w:widowControl/>
              <w:spacing w:before="46"/>
              <w:jc w:val="center"/>
              <w:rPr>
                <w:rFonts w:ascii="宋体" w:hAnsi="宋体" w:cs="宋体"/>
                <w:kern w:val="0"/>
                <w:sz w:val="24"/>
              </w:rPr>
            </w:pPr>
            <w:r>
              <w:rPr>
                <w:rFonts w:hint="eastAsia" w:ascii="宋体" w:hAnsi="宋体" w:cs="宋体"/>
                <w:kern w:val="0"/>
                <w:sz w:val="24"/>
              </w:rPr>
              <w:t>手  机</w:t>
            </w:r>
          </w:p>
        </w:tc>
        <w:tc>
          <w:tcPr>
            <w:tcW w:w="1714" w:type="dxa"/>
            <w:gridSpan w:val="2"/>
            <w:tcBorders>
              <w:top w:val="single" w:color="000000" w:sz="4" w:space="0"/>
              <w:left w:val="nil"/>
              <w:bottom w:val="single" w:color="000000" w:sz="4" w:space="0"/>
              <w:right w:val="single" w:color="000000" w:sz="4" w:space="0"/>
            </w:tcBorders>
            <w:shd w:val="clear" w:color="auto" w:fill="auto"/>
            <w:vAlign w:val="center"/>
          </w:tcPr>
          <w:p>
            <w:pPr>
              <w:widowControl/>
              <w:spacing w:before="46"/>
              <w:jc w:val="center"/>
              <w:rPr>
                <w:rFonts w:ascii="宋体" w:hAnsi="宋体" w:cs="宋体"/>
                <w:kern w:val="0"/>
                <w:sz w:val="24"/>
              </w:rPr>
            </w:pPr>
            <w:r>
              <w:rPr>
                <w:rFonts w:hint="eastAsia" w:ascii="宋体" w:hAnsi="宋体" w:cs="宋体"/>
                <w:kern w:val="0"/>
                <w:sz w:val="24"/>
              </w:rPr>
              <w:t>15308675000</w:t>
            </w:r>
          </w:p>
        </w:tc>
        <w:tc>
          <w:tcPr>
            <w:tcW w:w="1265" w:type="dxa"/>
            <w:gridSpan w:val="2"/>
            <w:tcBorders>
              <w:top w:val="single" w:color="000000" w:sz="4" w:space="0"/>
              <w:left w:val="nil"/>
              <w:bottom w:val="single" w:color="000000" w:sz="4" w:space="0"/>
              <w:right w:val="single" w:color="000000" w:sz="4" w:space="0"/>
            </w:tcBorders>
            <w:shd w:val="clear" w:color="auto" w:fill="auto"/>
            <w:vAlign w:val="center"/>
          </w:tcPr>
          <w:p>
            <w:pPr>
              <w:widowControl/>
              <w:spacing w:before="46"/>
              <w:jc w:val="center"/>
              <w:rPr>
                <w:rFonts w:ascii="宋体" w:hAnsi="宋体" w:cs="宋体"/>
                <w:kern w:val="0"/>
                <w:sz w:val="24"/>
              </w:rPr>
            </w:pPr>
            <w:r>
              <w:rPr>
                <w:rFonts w:hint="eastAsia" w:ascii="宋体" w:hAnsi="宋体" w:cs="宋体"/>
                <w:kern w:val="0"/>
                <w:sz w:val="24"/>
              </w:rPr>
              <w:t>电子信箱</w:t>
            </w:r>
          </w:p>
        </w:tc>
        <w:tc>
          <w:tcPr>
            <w:tcW w:w="1807" w:type="dxa"/>
            <w:gridSpan w:val="2"/>
            <w:tcBorders>
              <w:top w:val="single" w:color="000000" w:sz="4" w:space="0"/>
              <w:left w:val="nil"/>
              <w:bottom w:val="single" w:color="000000" w:sz="4" w:space="0"/>
              <w:right w:val="single" w:color="000000" w:sz="4" w:space="0"/>
            </w:tcBorders>
            <w:shd w:val="clear" w:color="auto" w:fill="auto"/>
            <w:vAlign w:val="center"/>
          </w:tcPr>
          <w:p>
            <w:pPr>
              <w:widowControl/>
              <w:spacing w:before="46"/>
              <w:jc w:val="center"/>
              <w:rPr>
                <w:rFonts w:ascii="宋体" w:hAnsi="宋体" w:cs="宋体"/>
                <w:kern w:val="0"/>
                <w:sz w:val="24"/>
              </w:rPr>
            </w:pPr>
          </w:p>
        </w:tc>
      </w:tr>
      <w:tr>
        <w:tblPrEx>
          <w:tblCellMar>
            <w:top w:w="0" w:type="dxa"/>
            <w:left w:w="108" w:type="dxa"/>
            <w:bottom w:w="0" w:type="dxa"/>
            <w:right w:w="108" w:type="dxa"/>
          </w:tblCellMar>
        </w:tblPrEx>
        <w:trPr>
          <w:trHeight w:val="383" w:hRule="atLeast"/>
        </w:trPr>
        <w:tc>
          <w:tcPr>
            <w:tcW w:w="150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自评等级</w:t>
            </w:r>
          </w:p>
        </w:tc>
        <w:tc>
          <w:tcPr>
            <w:tcW w:w="7782" w:type="dxa"/>
            <w:gridSpan w:val="10"/>
            <w:tcBorders>
              <w:top w:val="single" w:color="000000" w:sz="4" w:space="0"/>
              <w:left w:val="nil"/>
              <w:bottom w:val="single" w:color="000000" w:sz="4" w:space="0"/>
              <w:right w:val="single" w:color="000000" w:sz="4" w:space="0"/>
            </w:tcBorders>
            <w:shd w:val="clear" w:color="auto" w:fill="auto"/>
            <w:vAlign w:val="center"/>
          </w:tcPr>
          <w:p>
            <w:pPr>
              <w:widowControl/>
              <w:ind w:firstLine="280"/>
              <w:jc w:val="center"/>
              <w:rPr>
                <w:rFonts w:ascii="宋体" w:hAnsi="宋体" w:cs="宋体"/>
                <w:kern w:val="0"/>
                <w:sz w:val="24"/>
              </w:rPr>
            </w:pPr>
            <w:r>
              <w:rPr>
                <w:rFonts w:hint="eastAsia" w:ascii="宋体" w:hAnsi="宋体" w:cs="宋体"/>
                <w:kern w:val="0"/>
                <w:sz w:val="24"/>
              </w:rPr>
              <w:t xml:space="preserve">□一级        □二级        </w:t>
            </w:r>
            <w:r>
              <w:rPr>
                <w:rFonts w:hint="eastAsia" w:ascii="宋体" w:hAnsi="宋体" w:cs="宋体"/>
                <w:kern w:val="0"/>
                <w:sz w:val="18"/>
                <w:szCs w:val="18"/>
                <w:bdr w:val="single" w:color="auto" w:sz="4" w:space="0"/>
              </w:rPr>
              <w:t>√</w:t>
            </w:r>
            <w:r>
              <w:rPr>
                <w:rFonts w:hint="eastAsia" w:ascii="宋体" w:hAnsi="宋体" w:cs="宋体"/>
                <w:kern w:val="0"/>
                <w:sz w:val="24"/>
              </w:rPr>
              <w:t>三级      □小微企业</w:t>
            </w:r>
          </w:p>
        </w:tc>
      </w:tr>
      <w:tr>
        <w:tblPrEx>
          <w:tblCellMar>
            <w:top w:w="0" w:type="dxa"/>
            <w:left w:w="108" w:type="dxa"/>
            <w:bottom w:w="0" w:type="dxa"/>
            <w:right w:w="108" w:type="dxa"/>
          </w:tblCellMar>
        </w:tblPrEx>
        <w:trPr>
          <w:trHeight w:val="535" w:hRule="atLeast"/>
        </w:trPr>
        <w:tc>
          <w:tcPr>
            <w:tcW w:w="9288" w:type="dxa"/>
            <w:gridSpan w:val="1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before="46"/>
              <w:jc w:val="center"/>
              <w:rPr>
                <w:rFonts w:ascii="宋体" w:hAnsi="宋体" w:cs="宋体"/>
                <w:spacing w:val="-16"/>
                <w:kern w:val="0"/>
                <w:sz w:val="24"/>
              </w:rPr>
            </w:pPr>
            <w:r>
              <w:rPr>
                <w:rFonts w:hint="eastAsia" w:ascii="宋体" w:hAnsi="宋体" w:cs="宋体"/>
                <w:spacing w:val="-16"/>
                <w:kern w:val="0"/>
                <w:sz w:val="24"/>
              </w:rPr>
              <w:t xml:space="preserve">本次自评前本专业曾经取得的标准化等级：□一级  □二级  </w:t>
            </w:r>
            <w:r>
              <w:rPr>
                <w:rFonts w:hint="eastAsia" w:ascii="宋体" w:hAnsi="宋体" w:cs="宋体"/>
                <w:kern w:val="0"/>
                <w:sz w:val="18"/>
                <w:szCs w:val="18"/>
                <w:bdr w:val="single" w:color="auto" w:sz="4" w:space="0"/>
              </w:rPr>
              <w:t>√</w:t>
            </w:r>
            <w:r>
              <w:rPr>
                <w:rFonts w:hint="eastAsia" w:ascii="宋体" w:hAnsi="宋体" w:cs="宋体"/>
                <w:spacing w:val="-16"/>
                <w:kern w:val="0"/>
                <w:sz w:val="24"/>
              </w:rPr>
              <w:t>三级   □ 小微企业    □无</w:t>
            </w:r>
          </w:p>
        </w:tc>
      </w:tr>
      <w:tr>
        <w:tblPrEx>
          <w:tblCellMar>
            <w:top w:w="0" w:type="dxa"/>
            <w:left w:w="108" w:type="dxa"/>
            <w:bottom w:w="0" w:type="dxa"/>
            <w:right w:w="108" w:type="dxa"/>
          </w:tblCellMar>
        </w:tblPrEx>
        <w:trPr>
          <w:trHeight w:val="669" w:hRule="atLeast"/>
        </w:trPr>
        <w:tc>
          <w:tcPr>
            <w:tcW w:w="9288" w:type="dxa"/>
            <w:gridSpan w:val="1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before="46"/>
              <w:jc w:val="left"/>
              <w:rPr>
                <w:rFonts w:ascii="宋体" w:hAnsi="宋体" w:cs="宋体"/>
                <w:kern w:val="0"/>
                <w:sz w:val="24"/>
              </w:rPr>
            </w:pPr>
            <w:r>
              <w:rPr>
                <w:rFonts w:hint="eastAsia" w:ascii="宋体" w:hAnsi="宋体" w:cs="宋体"/>
                <w:kern w:val="0"/>
                <w:sz w:val="24"/>
              </w:rPr>
              <w:t>如果企业是某企业集团的成员单位，请注明企业集团名称：否</w:t>
            </w:r>
          </w:p>
        </w:tc>
      </w:tr>
      <w:tr>
        <w:tblPrEx>
          <w:tblCellMar>
            <w:top w:w="0" w:type="dxa"/>
            <w:left w:w="108" w:type="dxa"/>
            <w:bottom w:w="0" w:type="dxa"/>
            <w:right w:w="108" w:type="dxa"/>
          </w:tblCellMar>
        </w:tblPrEx>
        <w:tc>
          <w:tcPr>
            <w:tcW w:w="9288" w:type="dxa"/>
            <w:gridSpan w:val="1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before="46"/>
              <w:ind w:left="384" w:hanging="395"/>
              <w:jc w:val="left"/>
              <w:rPr>
                <w:rFonts w:ascii="宋体" w:hAnsi="宋体" w:cs="宋体"/>
                <w:kern w:val="0"/>
                <w:sz w:val="24"/>
              </w:rPr>
            </w:pPr>
            <w:r>
              <w:rPr>
                <w:rFonts w:hint="eastAsia" w:ascii="宋体" w:hAnsi="宋体" w:cs="宋体"/>
                <w:spacing w:val="-4"/>
                <w:kern w:val="0"/>
                <w:sz w:val="24"/>
              </w:rPr>
              <w:t>如果已取得职业健康安全管理体系认证证书，请注明证书名称和发证机构</w:t>
            </w:r>
            <w:r>
              <w:rPr>
                <w:rFonts w:hint="eastAsia" w:ascii="宋体" w:hAnsi="宋体" w:cs="宋体"/>
                <w:kern w:val="0"/>
                <w:sz w:val="24"/>
              </w:rPr>
              <w:t>：</w:t>
            </w:r>
          </w:p>
          <w:p>
            <w:pPr>
              <w:widowControl/>
              <w:spacing w:before="46"/>
              <w:jc w:val="center"/>
              <w:rPr>
                <w:rFonts w:ascii="宋体" w:hAnsi="宋体" w:cs="宋体"/>
                <w:kern w:val="0"/>
                <w:sz w:val="24"/>
              </w:rPr>
            </w:pPr>
          </w:p>
          <w:p>
            <w:pPr>
              <w:widowControl/>
              <w:spacing w:before="46"/>
              <w:jc w:val="center"/>
              <w:rPr>
                <w:rFonts w:ascii="宋体" w:hAnsi="宋体" w:cs="宋体"/>
                <w:kern w:val="0"/>
                <w:sz w:val="24"/>
              </w:rPr>
            </w:pPr>
          </w:p>
          <w:p>
            <w:pPr>
              <w:widowControl/>
              <w:spacing w:before="46"/>
              <w:jc w:val="center"/>
              <w:rPr>
                <w:rFonts w:ascii="宋体" w:hAnsi="宋体" w:cs="宋体"/>
                <w:kern w:val="0"/>
                <w:sz w:val="24"/>
              </w:rPr>
            </w:pPr>
          </w:p>
          <w:p>
            <w:pPr>
              <w:widowControl/>
              <w:spacing w:before="46"/>
              <w:jc w:val="center"/>
              <w:rPr>
                <w:rFonts w:ascii="宋体" w:hAnsi="宋体" w:cs="宋体"/>
                <w:kern w:val="0"/>
                <w:sz w:val="24"/>
              </w:rPr>
            </w:pPr>
          </w:p>
        </w:tc>
      </w:tr>
      <w:tr>
        <w:tblPrEx>
          <w:tblCellMar>
            <w:top w:w="0" w:type="dxa"/>
            <w:left w:w="108" w:type="dxa"/>
            <w:bottom w:w="0" w:type="dxa"/>
            <w:right w:w="108" w:type="dxa"/>
          </w:tblCellMar>
        </w:tblPrEx>
        <w:tc>
          <w:tcPr>
            <w:tcW w:w="918" w:type="dxa"/>
            <w:vMerge w:val="restart"/>
            <w:tcBorders>
              <w:top w:val="nil"/>
              <w:left w:val="single" w:color="000000" w:sz="4" w:space="0"/>
              <w:bottom w:val="single" w:color="000000" w:sz="4" w:space="0"/>
              <w:right w:val="single" w:color="000000" w:sz="4" w:space="0"/>
            </w:tcBorders>
            <w:shd w:val="clear" w:color="auto" w:fill="auto"/>
            <w:vAlign w:val="center"/>
          </w:tcPr>
          <w:p>
            <w:pPr>
              <w:widowControl/>
              <w:spacing w:before="46"/>
              <w:jc w:val="center"/>
              <w:rPr>
                <w:rFonts w:ascii="宋体" w:hAnsi="宋体" w:cs="宋体"/>
                <w:kern w:val="0"/>
                <w:sz w:val="24"/>
              </w:rPr>
            </w:pPr>
            <w:r>
              <w:rPr>
                <w:rFonts w:hint="eastAsia" w:ascii="宋体" w:hAnsi="宋体" w:cs="宋体"/>
                <w:kern w:val="0"/>
                <w:sz w:val="24"/>
              </w:rPr>
              <w:t>本企业安全生产标准化自评小组主要成员</w:t>
            </w:r>
          </w:p>
        </w:tc>
        <w:tc>
          <w:tcPr>
            <w:tcW w:w="789" w:type="dxa"/>
            <w:gridSpan w:val="2"/>
            <w:tcBorders>
              <w:top w:val="single" w:color="000000" w:sz="4" w:space="0"/>
              <w:left w:val="nil"/>
              <w:bottom w:val="single" w:color="000000" w:sz="4" w:space="0"/>
              <w:right w:val="single" w:color="000000" w:sz="4" w:space="0"/>
            </w:tcBorders>
            <w:shd w:val="clear" w:color="auto" w:fill="auto"/>
            <w:vAlign w:val="center"/>
          </w:tcPr>
          <w:p>
            <w:pPr>
              <w:widowControl/>
              <w:spacing w:before="46"/>
              <w:jc w:val="center"/>
              <w:rPr>
                <w:rFonts w:ascii="宋体" w:hAnsi="宋体" w:cs="宋体"/>
                <w:kern w:val="0"/>
                <w:sz w:val="24"/>
              </w:rPr>
            </w:pPr>
          </w:p>
        </w:tc>
        <w:tc>
          <w:tcPr>
            <w:tcW w:w="1202" w:type="dxa"/>
            <w:tcBorders>
              <w:top w:val="single" w:color="000000" w:sz="4" w:space="0"/>
              <w:left w:val="nil"/>
              <w:bottom w:val="single" w:color="000000" w:sz="4" w:space="0"/>
              <w:right w:val="single" w:color="000000" w:sz="4" w:space="0"/>
            </w:tcBorders>
            <w:shd w:val="clear" w:color="auto" w:fill="auto"/>
            <w:vAlign w:val="center"/>
          </w:tcPr>
          <w:p>
            <w:pPr>
              <w:widowControl/>
              <w:spacing w:before="46"/>
              <w:jc w:val="center"/>
              <w:rPr>
                <w:rFonts w:ascii="宋体" w:hAnsi="宋体" w:cs="宋体"/>
                <w:kern w:val="0"/>
                <w:sz w:val="24"/>
              </w:rPr>
            </w:pPr>
            <w:r>
              <w:rPr>
                <w:rFonts w:hint="eastAsia" w:ascii="宋体" w:hAnsi="宋体" w:cs="宋体"/>
                <w:kern w:val="0"/>
                <w:sz w:val="24"/>
              </w:rPr>
              <w:t>姓名</w:t>
            </w:r>
          </w:p>
        </w:tc>
        <w:tc>
          <w:tcPr>
            <w:tcW w:w="2588" w:type="dxa"/>
            <w:gridSpan w:val="3"/>
            <w:tcBorders>
              <w:top w:val="single" w:color="000000" w:sz="4" w:space="0"/>
              <w:left w:val="nil"/>
              <w:bottom w:val="single" w:color="000000" w:sz="4" w:space="0"/>
              <w:right w:val="single" w:color="000000" w:sz="4" w:space="0"/>
            </w:tcBorders>
            <w:shd w:val="clear" w:color="auto" w:fill="auto"/>
            <w:vAlign w:val="center"/>
          </w:tcPr>
          <w:p>
            <w:pPr>
              <w:widowControl/>
              <w:spacing w:before="46"/>
              <w:jc w:val="center"/>
              <w:rPr>
                <w:rFonts w:ascii="宋体" w:hAnsi="宋体" w:cs="宋体"/>
                <w:kern w:val="0"/>
                <w:sz w:val="24"/>
              </w:rPr>
            </w:pPr>
            <w:r>
              <w:rPr>
                <w:rFonts w:hint="eastAsia" w:ascii="宋体" w:hAnsi="宋体" w:cs="宋体"/>
                <w:kern w:val="0"/>
                <w:sz w:val="24"/>
              </w:rPr>
              <w:t>所在部门 职务</w:t>
            </w:r>
            <w:r>
              <w:rPr>
                <w:rFonts w:hint="eastAsia" w:ascii="仿宋_GB2312" w:eastAsia="仿宋_GB2312" w:cs="仿宋_GB2312"/>
                <w:kern w:val="0"/>
                <w:sz w:val="24"/>
              </w:rPr>
              <w:t>/</w:t>
            </w:r>
            <w:r>
              <w:rPr>
                <w:rFonts w:hint="eastAsia" w:ascii="宋体" w:hAnsi="宋体" w:cs="宋体"/>
                <w:kern w:val="0"/>
                <w:sz w:val="24"/>
              </w:rPr>
              <w:t>职称</w:t>
            </w:r>
          </w:p>
        </w:tc>
        <w:tc>
          <w:tcPr>
            <w:tcW w:w="1843" w:type="dxa"/>
            <w:gridSpan w:val="2"/>
            <w:tcBorders>
              <w:top w:val="single" w:color="000000" w:sz="4" w:space="0"/>
              <w:left w:val="nil"/>
              <w:bottom w:val="single" w:color="000000" w:sz="4" w:space="0"/>
              <w:right w:val="single" w:color="000000" w:sz="4" w:space="0"/>
            </w:tcBorders>
            <w:shd w:val="clear" w:color="auto" w:fill="auto"/>
            <w:vAlign w:val="center"/>
          </w:tcPr>
          <w:p>
            <w:pPr>
              <w:widowControl/>
              <w:spacing w:before="46"/>
              <w:jc w:val="center"/>
              <w:rPr>
                <w:rFonts w:ascii="宋体" w:hAnsi="宋体" w:cs="宋体"/>
                <w:kern w:val="0"/>
                <w:sz w:val="24"/>
              </w:rPr>
            </w:pPr>
            <w:r>
              <w:rPr>
                <w:rFonts w:hint="eastAsia" w:ascii="宋体" w:hAnsi="宋体" w:cs="宋体"/>
                <w:kern w:val="0"/>
                <w:sz w:val="24"/>
              </w:rPr>
              <w:t>电话</w:t>
            </w:r>
          </w:p>
        </w:tc>
        <w:tc>
          <w:tcPr>
            <w:tcW w:w="1948" w:type="dxa"/>
            <w:gridSpan w:val="3"/>
            <w:tcBorders>
              <w:top w:val="single" w:color="000000" w:sz="4" w:space="0"/>
              <w:left w:val="nil"/>
              <w:bottom w:val="single" w:color="000000" w:sz="4" w:space="0"/>
              <w:right w:val="single" w:color="000000" w:sz="4" w:space="0"/>
            </w:tcBorders>
            <w:shd w:val="clear" w:color="auto" w:fill="auto"/>
            <w:vAlign w:val="center"/>
          </w:tcPr>
          <w:p>
            <w:pPr>
              <w:widowControl/>
              <w:spacing w:before="46"/>
              <w:jc w:val="center"/>
              <w:rPr>
                <w:rFonts w:ascii="宋体" w:hAnsi="宋体" w:cs="宋体"/>
                <w:kern w:val="0"/>
                <w:sz w:val="24"/>
              </w:rPr>
            </w:pPr>
            <w:r>
              <w:rPr>
                <w:rFonts w:hint="eastAsia" w:ascii="宋体" w:hAnsi="宋体" w:cs="宋体"/>
                <w:kern w:val="0"/>
                <w:sz w:val="24"/>
              </w:rPr>
              <w:t>备注</w:t>
            </w:r>
          </w:p>
        </w:tc>
      </w:tr>
      <w:tr>
        <w:tblPrEx>
          <w:tblCellMar>
            <w:top w:w="0" w:type="dxa"/>
            <w:left w:w="108" w:type="dxa"/>
            <w:bottom w:w="0" w:type="dxa"/>
            <w:right w:w="108" w:type="dxa"/>
          </w:tblCellMar>
        </w:tblPrEx>
        <w:tc>
          <w:tcPr>
            <w:tcW w:w="918" w:type="dxa"/>
            <w:vMerge w:val="continue"/>
            <w:tcBorders>
              <w:top w:val="nil"/>
              <w:left w:val="single" w:color="000000" w:sz="4" w:space="0"/>
              <w:bottom w:val="single" w:color="000000" w:sz="4" w:space="0"/>
              <w:right w:val="single" w:color="000000" w:sz="4" w:space="0"/>
            </w:tcBorders>
            <w:shd w:val="clear" w:color="auto" w:fill="auto"/>
            <w:vAlign w:val="center"/>
          </w:tcPr>
          <w:p>
            <w:pPr>
              <w:rPr>
                <w:rFonts w:ascii="Calibri" w:hAnsi="Calibri"/>
                <w:szCs w:val="22"/>
              </w:rPr>
            </w:pPr>
          </w:p>
        </w:tc>
        <w:tc>
          <w:tcPr>
            <w:tcW w:w="789" w:type="dxa"/>
            <w:gridSpan w:val="2"/>
            <w:tcBorders>
              <w:top w:val="single" w:color="000000" w:sz="4" w:space="0"/>
              <w:left w:val="nil"/>
              <w:bottom w:val="single" w:color="000000" w:sz="4" w:space="0"/>
              <w:right w:val="single" w:color="000000" w:sz="4" w:space="0"/>
            </w:tcBorders>
            <w:shd w:val="clear" w:color="auto" w:fill="auto"/>
            <w:vAlign w:val="center"/>
          </w:tcPr>
          <w:p>
            <w:pPr>
              <w:widowControl/>
              <w:spacing w:before="46"/>
              <w:jc w:val="center"/>
              <w:rPr>
                <w:rFonts w:ascii="宋体" w:hAnsi="宋体" w:cs="宋体"/>
                <w:kern w:val="0"/>
                <w:sz w:val="24"/>
              </w:rPr>
            </w:pPr>
            <w:r>
              <w:rPr>
                <w:rFonts w:hint="eastAsia" w:ascii="宋体" w:hAnsi="宋体" w:cs="宋体"/>
                <w:kern w:val="0"/>
                <w:sz w:val="24"/>
              </w:rPr>
              <w:t>组长</w:t>
            </w:r>
          </w:p>
        </w:tc>
        <w:tc>
          <w:tcPr>
            <w:tcW w:w="1202" w:type="dxa"/>
            <w:tcBorders>
              <w:top w:val="single" w:color="000000" w:sz="4" w:space="0"/>
              <w:left w:val="nil"/>
              <w:bottom w:val="single" w:color="000000" w:sz="4" w:space="0"/>
              <w:right w:val="single" w:color="000000" w:sz="4" w:space="0"/>
            </w:tcBorders>
            <w:shd w:val="clear" w:color="auto" w:fill="auto"/>
            <w:vAlign w:val="center"/>
          </w:tcPr>
          <w:p>
            <w:pPr>
              <w:widowControl/>
              <w:spacing w:before="46"/>
              <w:jc w:val="center"/>
              <w:rPr>
                <w:rFonts w:ascii="宋体" w:hAnsi="宋体" w:cs="宋体"/>
                <w:kern w:val="0"/>
                <w:sz w:val="24"/>
              </w:rPr>
            </w:pPr>
            <w:r>
              <w:rPr>
                <w:rFonts w:hint="eastAsia" w:ascii="宋体" w:hAnsi="宋体" w:cs="宋体"/>
                <w:kern w:val="0"/>
                <w:sz w:val="24"/>
              </w:rPr>
              <w:t>祝  捷</w:t>
            </w:r>
          </w:p>
        </w:tc>
        <w:tc>
          <w:tcPr>
            <w:tcW w:w="2588" w:type="dxa"/>
            <w:gridSpan w:val="3"/>
            <w:tcBorders>
              <w:top w:val="single" w:color="000000" w:sz="4" w:space="0"/>
              <w:left w:val="nil"/>
              <w:bottom w:val="single" w:color="000000" w:sz="4" w:space="0"/>
              <w:right w:val="single" w:color="000000" w:sz="4" w:space="0"/>
            </w:tcBorders>
            <w:shd w:val="clear" w:color="auto" w:fill="auto"/>
            <w:vAlign w:val="center"/>
          </w:tcPr>
          <w:p>
            <w:pPr>
              <w:widowControl/>
              <w:spacing w:before="46"/>
              <w:jc w:val="center"/>
              <w:rPr>
                <w:rFonts w:ascii="宋体" w:hAnsi="宋体" w:cs="宋体"/>
                <w:kern w:val="0"/>
                <w:sz w:val="24"/>
              </w:rPr>
            </w:pPr>
            <w:r>
              <w:rPr>
                <w:rFonts w:hint="eastAsia" w:ascii="宋体" w:hAnsi="宋体" w:cs="宋体"/>
                <w:kern w:val="0"/>
                <w:sz w:val="24"/>
              </w:rPr>
              <w:t>总经理</w:t>
            </w:r>
          </w:p>
        </w:tc>
        <w:tc>
          <w:tcPr>
            <w:tcW w:w="1843" w:type="dxa"/>
            <w:gridSpan w:val="2"/>
            <w:tcBorders>
              <w:top w:val="single" w:color="000000" w:sz="4" w:space="0"/>
              <w:left w:val="nil"/>
              <w:bottom w:val="single" w:color="000000" w:sz="4" w:space="0"/>
              <w:right w:val="single" w:color="000000" w:sz="4" w:space="0"/>
            </w:tcBorders>
            <w:shd w:val="clear" w:color="auto" w:fill="auto"/>
            <w:vAlign w:val="center"/>
          </w:tcPr>
          <w:p>
            <w:pPr>
              <w:widowControl/>
              <w:spacing w:before="46"/>
              <w:jc w:val="center"/>
              <w:rPr>
                <w:rFonts w:ascii="宋体" w:hAnsi="宋体" w:cs="宋体"/>
                <w:kern w:val="0"/>
                <w:sz w:val="24"/>
              </w:rPr>
            </w:pPr>
            <w:r>
              <w:rPr>
                <w:rFonts w:hint="eastAsia" w:ascii="宋体" w:hAnsi="宋体" w:cs="宋体"/>
                <w:kern w:val="0"/>
                <w:sz w:val="24"/>
              </w:rPr>
              <w:t>13707273186</w:t>
            </w:r>
          </w:p>
        </w:tc>
        <w:tc>
          <w:tcPr>
            <w:tcW w:w="1948" w:type="dxa"/>
            <w:gridSpan w:val="3"/>
            <w:tcBorders>
              <w:top w:val="single" w:color="000000" w:sz="4" w:space="0"/>
              <w:left w:val="nil"/>
              <w:bottom w:val="single" w:color="000000" w:sz="4" w:space="0"/>
              <w:right w:val="single" w:color="000000" w:sz="4" w:space="0"/>
            </w:tcBorders>
            <w:shd w:val="clear" w:color="auto" w:fill="auto"/>
            <w:vAlign w:val="center"/>
          </w:tcPr>
          <w:p>
            <w:pPr>
              <w:widowControl/>
              <w:spacing w:before="46"/>
              <w:jc w:val="center"/>
              <w:rPr>
                <w:rFonts w:ascii="宋体" w:hAnsi="宋体" w:cs="宋体"/>
                <w:kern w:val="0"/>
                <w:sz w:val="24"/>
              </w:rPr>
            </w:pPr>
          </w:p>
        </w:tc>
      </w:tr>
      <w:tr>
        <w:tblPrEx>
          <w:tblCellMar>
            <w:top w:w="0" w:type="dxa"/>
            <w:left w:w="108" w:type="dxa"/>
            <w:bottom w:w="0" w:type="dxa"/>
            <w:right w:w="108" w:type="dxa"/>
          </w:tblCellMar>
        </w:tblPrEx>
        <w:tc>
          <w:tcPr>
            <w:tcW w:w="918" w:type="dxa"/>
            <w:vMerge w:val="continue"/>
            <w:tcBorders>
              <w:top w:val="nil"/>
              <w:left w:val="single" w:color="000000" w:sz="4" w:space="0"/>
              <w:bottom w:val="single" w:color="000000" w:sz="4" w:space="0"/>
              <w:right w:val="single" w:color="000000" w:sz="4" w:space="0"/>
            </w:tcBorders>
            <w:shd w:val="clear" w:color="auto" w:fill="auto"/>
            <w:vAlign w:val="center"/>
          </w:tcPr>
          <w:p>
            <w:pPr>
              <w:rPr>
                <w:rFonts w:ascii="Calibri" w:hAnsi="Calibri"/>
                <w:szCs w:val="22"/>
              </w:rPr>
            </w:pPr>
          </w:p>
        </w:tc>
        <w:tc>
          <w:tcPr>
            <w:tcW w:w="789" w:type="dxa"/>
            <w:gridSpan w:val="2"/>
            <w:vMerge w:val="restart"/>
            <w:tcBorders>
              <w:top w:val="nil"/>
              <w:left w:val="nil"/>
              <w:bottom w:val="single" w:color="000000" w:sz="4" w:space="0"/>
              <w:right w:val="single" w:color="000000" w:sz="4" w:space="0"/>
            </w:tcBorders>
            <w:shd w:val="clear" w:color="auto" w:fill="auto"/>
            <w:vAlign w:val="center"/>
          </w:tcPr>
          <w:p>
            <w:pPr>
              <w:widowControl/>
              <w:spacing w:before="46"/>
              <w:jc w:val="center"/>
              <w:rPr>
                <w:rFonts w:ascii="宋体" w:hAnsi="宋体" w:cs="宋体"/>
                <w:kern w:val="0"/>
                <w:sz w:val="24"/>
              </w:rPr>
            </w:pPr>
            <w:r>
              <w:rPr>
                <w:rFonts w:hint="eastAsia" w:ascii="宋体" w:hAnsi="宋体" w:cs="宋体"/>
                <w:kern w:val="0"/>
                <w:sz w:val="24"/>
              </w:rPr>
              <w:t>成员</w:t>
            </w:r>
          </w:p>
        </w:tc>
        <w:tc>
          <w:tcPr>
            <w:tcW w:w="1202" w:type="dxa"/>
            <w:tcBorders>
              <w:top w:val="single" w:color="000000" w:sz="4" w:space="0"/>
              <w:left w:val="nil"/>
              <w:bottom w:val="single" w:color="000000" w:sz="4" w:space="0"/>
              <w:right w:val="single" w:color="000000" w:sz="4" w:space="0"/>
            </w:tcBorders>
            <w:shd w:val="clear" w:color="auto" w:fill="auto"/>
            <w:vAlign w:val="center"/>
          </w:tcPr>
          <w:p>
            <w:pPr>
              <w:widowControl/>
              <w:spacing w:before="46"/>
              <w:jc w:val="center"/>
              <w:rPr>
                <w:rFonts w:ascii="宋体" w:hAnsi="宋体" w:cs="宋体"/>
                <w:kern w:val="0"/>
                <w:sz w:val="24"/>
              </w:rPr>
            </w:pPr>
            <w:r>
              <w:rPr>
                <w:rFonts w:hint="eastAsia" w:ascii="宋体" w:hAnsi="宋体" w:cs="宋体"/>
                <w:kern w:val="0"/>
                <w:sz w:val="24"/>
              </w:rPr>
              <w:t>张  克</w:t>
            </w:r>
          </w:p>
        </w:tc>
        <w:tc>
          <w:tcPr>
            <w:tcW w:w="2588" w:type="dxa"/>
            <w:gridSpan w:val="3"/>
            <w:tcBorders>
              <w:top w:val="single" w:color="000000" w:sz="4" w:space="0"/>
              <w:left w:val="nil"/>
              <w:bottom w:val="single" w:color="000000" w:sz="4" w:space="0"/>
              <w:right w:val="single" w:color="000000" w:sz="4" w:space="0"/>
            </w:tcBorders>
            <w:shd w:val="clear" w:color="auto" w:fill="auto"/>
            <w:vAlign w:val="center"/>
          </w:tcPr>
          <w:p>
            <w:pPr>
              <w:widowControl/>
              <w:spacing w:before="46"/>
              <w:jc w:val="center"/>
              <w:rPr>
                <w:rFonts w:ascii="宋体" w:hAnsi="宋体" w:cs="宋体"/>
                <w:kern w:val="0"/>
                <w:sz w:val="24"/>
              </w:rPr>
            </w:pPr>
            <w:r>
              <w:rPr>
                <w:rFonts w:hint="eastAsia" w:ascii="宋体" w:hAnsi="宋体" w:cs="宋体"/>
                <w:kern w:val="0"/>
                <w:sz w:val="24"/>
              </w:rPr>
              <w:t>总  工</w:t>
            </w:r>
          </w:p>
        </w:tc>
        <w:tc>
          <w:tcPr>
            <w:tcW w:w="1843" w:type="dxa"/>
            <w:gridSpan w:val="2"/>
            <w:tcBorders>
              <w:top w:val="single" w:color="000000" w:sz="4" w:space="0"/>
              <w:left w:val="nil"/>
              <w:bottom w:val="single" w:color="000000" w:sz="4" w:space="0"/>
              <w:right w:val="single" w:color="000000" w:sz="4" w:space="0"/>
            </w:tcBorders>
            <w:shd w:val="clear" w:color="auto" w:fill="auto"/>
            <w:vAlign w:val="center"/>
          </w:tcPr>
          <w:p>
            <w:pPr>
              <w:widowControl/>
              <w:spacing w:before="46"/>
              <w:jc w:val="center"/>
              <w:rPr>
                <w:rFonts w:ascii="宋体" w:hAnsi="宋体" w:cs="宋体"/>
                <w:kern w:val="0"/>
                <w:sz w:val="24"/>
              </w:rPr>
            </w:pPr>
            <w:r>
              <w:rPr>
                <w:rFonts w:hint="eastAsia" w:ascii="宋体" w:hAnsi="宋体" w:cs="宋体"/>
                <w:kern w:val="0"/>
                <w:sz w:val="24"/>
              </w:rPr>
              <w:t>13797671327</w:t>
            </w:r>
          </w:p>
        </w:tc>
        <w:tc>
          <w:tcPr>
            <w:tcW w:w="1948" w:type="dxa"/>
            <w:gridSpan w:val="3"/>
            <w:tcBorders>
              <w:top w:val="single" w:color="000000" w:sz="4" w:space="0"/>
              <w:left w:val="nil"/>
              <w:bottom w:val="single" w:color="000000" w:sz="4" w:space="0"/>
              <w:right w:val="single" w:color="000000" w:sz="4" w:space="0"/>
            </w:tcBorders>
            <w:shd w:val="clear" w:color="auto" w:fill="auto"/>
            <w:vAlign w:val="center"/>
          </w:tcPr>
          <w:p>
            <w:pPr>
              <w:widowControl/>
              <w:spacing w:before="46"/>
              <w:jc w:val="center"/>
              <w:rPr>
                <w:rFonts w:ascii="宋体" w:hAnsi="宋体" w:cs="宋体"/>
                <w:kern w:val="0"/>
                <w:sz w:val="24"/>
              </w:rPr>
            </w:pPr>
          </w:p>
        </w:tc>
      </w:tr>
      <w:tr>
        <w:tblPrEx>
          <w:tblCellMar>
            <w:top w:w="0" w:type="dxa"/>
            <w:left w:w="108" w:type="dxa"/>
            <w:bottom w:w="0" w:type="dxa"/>
            <w:right w:w="108" w:type="dxa"/>
          </w:tblCellMar>
        </w:tblPrEx>
        <w:tc>
          <w:tcPr>
            <w:tcW w:w="918" w:type="dxa"/>
            <w:vMerge w:val="continue"/>
            <w:tcBorders>
              <w:top w:val="nil"/>
              <w:left w:val="single" w:color="000000" w:sz="4" w:space="0"/>
              <w:bottom w:val="single" w:color="000000" w:sz="4" w:space="0"/>
              <w:right w:val="single" w:color="000000" w:sz="4" w:space="0"/>
            </w:tcBorders>
            <w:shd w:val="clear" w:color="auto" w:fill="auto"/>
            <w:vAlign w:val="center"/>
          </w:tcPr>
          <w:p>
            <w:pPr>
              <w:rPr>
                <w:rFonts w:ascii="Calibri" w:hAnsi="Calibri"/>
                <w:szCs w:val="22"/>
              </w:rPr>
            </w:pPr>
          </w:p>
        </w:tc>
        <w:tc>
          <w:tcPr>
            <w:tcW w:w="789" w:type="dxa"/>
            <w:gridSpan w:val="2"/>
            <w:vMerge w:val="continue"/>
            <w:tcBorders>
              <w:top w:val="nil"/>
              <w:left w:val="nil"/>
              <w:bottom w:val="single" w:color="000000" w:sz="4" w:space="0"/>
              <w:right w:val="single" w:color="000000" w:sz="4" w:space="0"/>
            </w:tcBorders>
            <w:shd w:val="clear" w:color="auto" w:fill="auto"/>
            <w:vAlign w:val="center"/>
          </w:tcPr>
          <w:p>
            <w:pPr>
              <w:rPr>
                <w:rFonts w:ascii="Calibri" w:hAnsi="Calibri"/>
                <w:szCs w:val="22"/>
              </w:rPr>
            </w:pPr>
          </w:p>
        </w:tc>
        <w:tc>
          <w:tcPr>
            <w:tcW w:w="1202" w:type="dxa"/>
            <w:tcBorders>
              <w:top w:val="single" w:color="000000" w:sz="4" w:space="0"/>
              <w:left w:val="nil"/>
              <w:bottom w:val="single" w:color="000000" w:sz="4" w:space="0"/>
              <w:right w:val="single" w:color="000000" w:sz="4" w:space="0"/>
            </w:tcBorders>
            <w:shd w:val="clear" w:color="auto" w:fill="auto"/>
            <w:vAlign w:val="center"/>
          </w:tcPr>
          <w:p>
            <w:pPr>
              <w:widowControl/>
              <w:spacing w:before="46"/>
              <w:jc w:val="center"/>
              <w:rPr>
                <w:rFonts w:hint="eastAsia" w:ascii="宋体" w:hAnsi="宋体" w:eastAsia="宋体" w:cs="宋体"/>
                <w:kern w:val="0"/>
                <w:sz w:val="24"/>
                <w:lang w:val="en-US" w:eastAsia="zh-CN"/>
              </w:rPr>
            </w:pPr>
            <w:r>
              <w:rPr>
                <w:rFonts w:hint="eastAsia" w:ascii="宋体" w:hAnsi="宋体" w:cs="宋体"/>
                <w:kern w:val="0"/>
                <w:sz w:val="24"/>
                <w:lang w:val="en-US" w:eastAsia="zh-CN"/>
              </w:rPr>
              <w:t>陈利平</w:t>
            </w:r>
          </w:p>
        </w:tc>
        <w:tc>
          <w:tcPr>
            <w:tcW w:w="2588" w:type="dxa"/>
            <w:gridSpan w:val="3"/>
            <w:tcBorders>
              <w:top w:val="single" w:color="000000" w:sz="4" w:space="0"/>
              <w:left w:val="nil"/>
              <w:bottom w:val="single" w:color="000000" w:sz="4" w:space="0"/>
              <w:right w:val="single" w:color="000000" w:sz="4" w:space="0"/>
            </w:tcBorders>
            <w:shd w:val="clear" w:color="auto" w:fill="auto"/>
            <w:vAlign w:val="center"/>
          </w:tcPr>
          <w:p>
            <w:pPr>
              <w:widowControl/>
              <w:spacing w:before="46"/>
              <w:jc w:val="center"/>
              <w:rPr>
                <w:rFonts w:ascii="宋体" w:hAnsi="宋体" w:cs="宋体"/>
                <w:kern w:val="0"/>
                <w:sz w:val="24"/>
              </w:rPr>
            </w:pPr>
            <w:r>
              <w:rPr>
                <w:rFonts w:hint="eastAsia" w:ascii="宋体" w:hAnsi="宋体" w:cs="宋体"/>
                <w:kern w:val="0"/>
                <w:sz w:val="24"/>
              </w:rPr>
              <w:t>生产部长兼车间主任</w:t>
            </w:r>
          </w:p>
        </w:tc>
        <w:tc>
          <w:tcPr>
            <w:tcW w:w="1843" w:type="dxa"/>
            <w:gridSpan w:val="2"/>
            <w:tcBorders>
              <w:top w:val="single" w:color="000000" w:sz="4" w:space="0"/>
              <w:left w:val="nil"/>
              <w:bottom w:val="single" w:color="000000" w:sz="4" w:space="0"/>
              <w:right w:val="single" w:color="000000" w:sz="4" w:space="0"/>
            </w:tcBorders>
            <w:shd w:val="clear" w:color="auto" w:fill="auto"/>
            <w:vAlign w:val="center"/>
          </w:tcPr>
          <w:p>
            <w:pPr>
              <w:widowControl/>
              <w:spacing w:before="46"/>
              <w:jc w:val="center"/>
              <w:rPr>
                <w:rFonts w:hint="default" w:ascii="宋体" w:hAnsi="宋体" w:eastAsia="宋体" w:cs="宋体"/>
                <w:kern w:val="0"/>
                <w:sz w:val="24"/>
                <w:lang w:val="en-US" w:eastAsia="zh-CN"/>
              </w:rPr>
            </w:pPr>
            <w:r>
              <w:rPr>
                <w:rFonts w:hint="eastAsia" w:ascii="宋体" w:hAnsi="宋体" w:cs="宋体"/>
                <w:kern w:val="0"/>
                <w:sz w:val="24"/>
                <w:lang w:val="en-US" w:eastAsia="zh-CN"/>
              </w:rPr>
              <w:t>13995750988</w:t>
            </w:r>
          </w:p>
        </w:tc>
        <w:tc>
          <w:tcPr>
            <w:tcW w:w="1948" w:type="dxa"/>
            <w:gridSpan w:val="3"/>
            <w:tcBorders>
              <w:top w:val="single" w:color="000000" w:sz="4" w:space="0"/>
              <w:left w:val="nil"/>
              <w:bottom w:val="single" w:color="000000" w:sz="4" w:space="0"/>
              <w:right w:val="single" w:color="000000" w:sz="4" w:space="0"/>
            </w:tcBorders>
            <w:shd w:val="clear" w:color="auto" w:fill="auto"/>
            <w:vAlign w:val="center"/>
          </w:tcPr>
          <w:p>
            <w:pPr>
              <w:widowControl/>
              <w:spacing w:before="46"/>
              <w:jc w:val="center"/>
              <w:rPr>
                <w:rFonts w:ascii="宋体" w:hAnsi="宋体" w:cs="宋体"/>
                <w:kern w:val="0"/>
                <w:sz w:val="24"/>
              </w:rPr>
            </w:pPr>
          </w:p>
        </w:tc>
      </w:tr>
      <w:tr>
        <w:tblPrEx>
          <w:tblCellMar>
            <w:top w:w="0" w:type="dxa"/>
            <w:left w:w="108" w:type="dxa"/>
            <w:bottom w:w="0" w:type="dxa"/>
            <w:right w:w="108" w:type="dxa"/>
          </w:tblCellMar>
        </w:tblPrEx>
        <w:tc>
          <w:tcPr>
            <w:tcW w:w="918" w:type="dxa"/>
            <w:vMerge w:val="continue"/>
            <w:tcBorders>
              <w:top w:val="nil"/>
              <w:left w:val="single" w:color="000000" w:sz="4" w:space="0"/>
              <w:bottom w:val="single" w:color="000000" w:sz="4" w:space="0"/>
              <w:right w:val="single" w:color="000000" w:sz="4" w:space="0"/>
            </w:tcBorders>
            <w:shd w:val="clear" w:color="auto" w:fill="auto"/>
            <w:vAlign w:val="center"/>
          </w:tcPr>
          <w:p>
            <w:pPr>
              <w:rPr>
                <w:rFonts w:ascii="Calibri" w:hAnsi="Calibri"/>
                <w:szCs w:val="22"/>
              </w:rPr>
            </w:pPr>
          </w:p>
        </w:tc>
        <w:tc>
          <w:tcPr>
            <w:tcW w:w="789" w:type="dxa"/>
            <w:gridSpan w:val="2"/>
            <w:vMerge w:val="continue"/>
            <w:tcBorders>
              <w:top w:val="nil"/>
              <w:left w:val="nil"/>
              <w:bottom w:val="single" w:color="000000" w:sz="4" w:space="0"/>
              <w:right w:val="single" w:color="000000" w:sz="4" w:space="0"/>
            </w:tcBorders>
            <w:shd w:val="clear" w:color="auto" w:fill="auto"/>
            <w:vAlign w:val="center"/>
          </w:tcPr>
          <w:p>
            <w:pPr>
              <w:rPr>
                <w:rFonts w:ascii="Calibri" w:hAnsi="Calibri"/>
                <w:szCs w:val="22"/>
              </w:rPr>
            </w:pPr>
          </w:p>
        </w:tc>
        <w:tc>
          <w:tcPr>
            <w:tcW w:w="1202" w:type="dxa"/>
            <w:tcBorders>
              <w:top w:val="single" w:color="000000" w:sz="4" w:space="0"/>
              <w:left w:val="nil"/>
              <w:bottom w:val="single" w:color="000000" w:sz="4" w:space="0"/>
              <w:right w:val="single" w:color="000000" w:sz="4" w:space="0"/>
            </w:tcBorders>
            <w:shd w:val="clear" w:color="auto" w:fill="auto"/>
            <w:vAlign w:val="center"/>
          </w:tcPr>
          <w:p>
            <w:pPr>
              <w:widowControl/>
              <w:spacing w:before="46"/>
              <w:jc w:val="center"/>
              <w:rPr>
                <w:rFonts w:ascii="宋体" w:hAnsi="宋体" w:cs="宋体"/>
                <w:kern w:val="0"/>
                <w:sz w:val="24"/>
              </w:rPr>
            </w:pPr>
            <w:r>
              <w:rPr>
                <w:rFonts w:hint="eastAsia" w:ascii="宋体" w:hAnsi="宋体" w:cs="宋体"/>
                <w:kern w:val="0"/>
                <w:sz w:val="24"/>
              </w:rPr>
              <w:t>王明胜</w:t>
            </w:r>
          </w:p>
        </w:tc>
        <w:tc>
          <w:tcPr>
            <w:tcW w:w="2588" w:type="dxa"/>
            <w:gridSpan w:val="3"/>
            <w:tcBorders>
              <w:top w:val="single" w:color="000000" w:sz="4" w:space="0"/>
              <w:left w:val="nil"/>
              <w:bottom w:val="single" w:color="000000" w:sz="4" w:space="0"/>
              <w:right w:val="single" w:color="000000" w:sz="4" w:space="0"/>
            </w:tcBorders>
            <w:shd w:val="clear" w:color="auto" w:fill="auto"/>
            <w:vAlign w:val="center"/>
          </w:tcPr>
          <w:p>
            <w:pPr>
              <w:widowControl/>
              <w:spacing w:before="46"/>
              <w:jc w:val="center"/>
              <w:rPr>
                <w:rFonts w:hint="eastAsia" w:ascii="宋体" w:hAnsi="宋体" w:eastAsia="宋体" w:cs="宋体"/>
                <w:kern w:val="0"/>
                <w:sz w:val="24"/>
                <w:lang w:eastAsia="zh-CN"/>
              </w:rPr>
            </w:pPr>
            <w:r>
              <w:rPr>
                <w:rFonts w:hint="eastAsia" w:ascii="宋体" w:hAnsi="宋体" w:cs="宋体"/>
                <w:kern w:val="0"/>
                <w:sz w:val="24"/>
              </w:rPr>
              <w:t>设备部长</w:t>
            </w:r>
            <w:r>
              <w:rPr>
                <w:rFonts w:hint="eastAsia" w:ascii="宋体" w:hAnsi="宋体" w:cs="宋体"/>
                <w:kern w:val="0"/>
                <w:sz w:val="24"/>
                <w:lang w:eastAsia="zh-CN"/>
              </w:rPr>
              <w:t>兼安环部长</w:t>
            </w:r>
          </w:p>
        </w:tc>
        <w:tc>
          <w:tcPr>
            <w:tcW w:w="1843" w:type="dxa"/>
            <w:gridSpan w:val="2"/>
            <w:tcBorders>
              <w:top w:val="single" w:color="000000" w:sz="4" w:space="0"/>
              <w:left w:val="nil"/>
              <w:bottom w:val="single" w:color="000000" w:sz="4" w:space="0"/>
              <w:right w:val="single" w:color="000000" w:sz="4" w:space="0"/>
            </w:tcBorders>
            <w:shd w:val="clear" w:color="auto" w:fill="auto"/>
            <w:vAlign w:val="center"/>
          </w:tcPr>
          <w:p>
            <w:pPr>
              <w:widowControl/>
              <w:spacing w:before="46"/>
              <w:jc w:val="center"/>
              <w:rPr>
                <w:rFonts w:ascii="宋体" w:hAnsi="宋体" w:cs="宋体"/>
                <w:kern w:val="0"/>
                <w:sz w:val="24"/>
              </w:rPr>
            </w:pPr>
            <w:r>
              <w:rPr>
                <w:rFonts w:hint="eastAsia" w:ascii="宋体" w:hAnsi="宋体" w:cs="宋体"/>
                <w:kern w:val="0"/>
                <w:sz w:val="24"/>
              </w:rPr>
              <w:t>13797291267</w:t>
            </w:r>
          </w:p>
        </w:tc>
        <w:tc>
          <w:tcPr>
            <w:tcW w:w="1948" w:type="dxa"/>
            <w:gridSpan w:val="3"/>
            <w:tcBorders>
              <w:top w:val="single" w:color="000000" w:sz="4" w:space="0"/>
              <w:left w:val="nil"/>
              <w:bottom w:val="single" w:color="000000" w:sz="4" w:space="0"/>
              <w:right w:val="single" w:color="000000" w:sz="4" w:space="0"/>
            </w:tcBorders>
            <w:shd w:val="clear" w:color="auto" w:fill="auto"/>
            <w:vAlign w:val="center"/>
          </w:tcPr>
          <w:p>
            <w:pPr>
              <w:widowControl/>
              <w:spacing w:before="46"/>
              <w:jc w:val="center"/>
              <w:rPr>
                <w:rFonts w:ascii="宋体" w:hAnsi="宋体" w:cs="宋体"/>
                <w:kern w:val="0"/>
                <w:sz w:val="24"/>
              </w:rPr>
            </w:pPr>
          </w:p>
        </w:tc>
      </w:tr>
      <w:tr>
        <w:tblPrEx>
          <w:tblCellMar>
            <w:top w:w="0" w:type="dxa"/>
            <w:left w:w="108" w:type="dxa"/>
            <w:bottom w:w="0" w:type="dxa"/>
            <w:right w:w="108" w:type="dxa"/>
          </w:tblCellMar>
        </w:tblPrEx>
        <w:tc>
          <w:tcPr>
            <w:tcW w:w="918" w:type="dxa"/>
            <w:vMerge w:val="continue"/>
            <w:tcBorders>
              <w:top w:val="nil"/>
              <w:left w:val="single" w:color="000000" w:sz="4" w:space="0"/>
              <w:bottom w:val="single" w:color="000000" w:sz="4" w:space="0"/>
              <w:right w:val="single" w:color="000000" w:sz="4" w:space="0"/>
            </w:tcBorders>
            <w:shd w:val="clear" w:color="auto" w:fill="auto"/>
            <w:vAlign w:val="center"/>
          </w:tcPr>
          <w:p>
            <w:pPr>
              <w:rPr>
                <w:rFonts w:ascii="Calibri" w:hAnsi="Calibri"/>
                <w:szCs w:val="22"/>
              </w:rPr>
            </w:pPr>
          </w:p>
        </w:tc>
        <w:tc>
          <w:tcPr>
            <w:tcW w:w="789" w:type="dxa"/>
            <w:gridSpan w:val="2"/>
            <w:vMerge w:val="continue"/>
            <w:tcBorders>
              <w:top w:val="nil"/>
              <w:left w:val="nil"/>
              <w:bottom w:val="single" w:color="000000" w:sz="4" w:space="0"/>
              <w:right w:val="single" w:color="000000" w:sz="4" w:space="0"/>
            </w:tcBorders>
            <w:shd w:val="clear" w:color="auto" w:fill="auto"/>
            <w:vAlign w:val="center"/>
          </w:tcPr>
          <w:p>
            <w:pPr>
              <w:rPr>
                <w:rFonts w:ascii="Calibri" w:hAnsi="Calibri"/>
                <w:szCs w:val="22"/>
              </w:rPr>
            </w:pPr>
          </w:p>
        </w:tc>
        <w:tc>
          <w:tcPr>
            <w:tcW w:w="1202" w:type="dxa"/>
            <w:tcBorders>
              <w:top w:val="single" w:color="000000" w:sz="4" w:space="0"/>
              <w:left w:val="nil"/>
              <w:bottom w:val="single" w:color="000000" w:sz="4" w:space="0"/>
              <w:right w:val="single" w:color="000000" w:sz="4" w:space="0"/>
            </w:tcBorders>
            <w:shd w:val="clear" w:color="auto" w:fill="auto"/>
            <w:vAlign w:val="center"/>
          </w:tcPr>
          <w:p>
            <w:pPr>
              <w:widowControl/>
              <w:spacing w:before="46"/>
              <w:jc w:val="center"/>
              <w:rPr>
                <w:rFonts w:ascii="宋体" w:hAnsi="宋体" w:cs="宋体"/>
                <w:kern w:val="0"/>
                <w:sz w:val="24"/>
              </w:rPr>
            </w:pPr>
            <w:r>
              <w:rPr>
                <w:rFonts w:hint="eastAsia" w:ascii="宋体" w:hAnsi="宋体" w:cs="宋体"/>
                <w:kern w:val="0"/>
                <w:sz w:val="24"/>
              </w:rPr>
              <w:t>陈  宏</w:t>
            </w:r>
          </w:p>
        </w:tc>
        <w:tc>
          <w:tcPr>
            <w:tcW w:w="2588" w:type="dxa"/>
            <w:gridSpan w:val="3"/>
            <w:tcBorders>
              <w:top w:val="single" w:color="000000" w:sz="4" w:space="0"/>
              <w:left w:val="nil"/>
              <w:bottom w:val="single" w:color="000000" w:sz="4" w:space="0"/>
              <w:right w:val="single" w:color="000000" w:sz="4" w:space="0"/>
            </w:tcBorders>
            <w:shd w:val="clear" w:color="auto" w:fill="auto"/>
            <w:vAlign w:val="center"/>
          </w:tcPr>
          <w:p>
            <w:pPr>
              <w:widowControl/>
              <w:spacing w:before="46"/>
              <w:jc w:val="center"/>
              <w:rPr>
                <w:rFonts w:ascii="宋体" w:hAnsi="宋体" w:cs="宋体"/>
                <w:kern w:val="0"/>
                <w:sz w:val="24"/>
              </w:rPr>
            </w:pPr>
            <w:r>
              <w:rPr>
                <w:rFonts w:hint="eastAsia" w:ascii="宋体" w:hAnsi="宋体" w:cs="宋体"/>
                <w:kern w:val="0"/>
                <w:sz w:val="24"/>
              </w:rPr>
              <w:t>安环副部长</w:t>
            </w:r>
          </w:p>
        </w:tc>
        <w:tc>
          <w:tcPr>
            <w:tcW w:w="1843" w:type="dxa"/>
            <w:gridSpan w:val="2"/>
            <w:tcBorders>
              <w:top w:val="single" w:color="000000" w:sz="4" w:space="0"/>
              <w:left w:val="nil"/>
              <w:bottom w:val="single" w:color="000000" w:sz="4" w:space="0"/>
              <w:right w:val="single" w:color="000000" w:sz="4" w:space="0"/>
            </w:tcBorders>
            <w:shd w:val="clear" w:color="auto" w:fill="auto"/>
            <w:vAlign w:val="center"/>
          </w:tcPr>
          <w:p>
            <w:pPr>
              <w:widowControl/>
              <w:spacing w:before="46"/>
              <w:jc w:val="center"/>
              <w:rPr>
                <w:rFonts w:ascii="宋体" w:hAnsi="宋体" w:cs="宋体"/>
                <w:kern w:val="0"/>
                <w:sz w:val="24"/>
              </w:rPr>
            </w:pPr>
            <w:r>
              <w:rPr>
                <w:rFonts w:hint="eastAsia" w:ascii="宋体" w:hAnsi="宋体" w:cs="宋体"/>
                <w:kern w:val="0"/>
                <w:sz w:val="24"/>
              </w:rPr>
              <w:t>15308675000</w:t>
            </w:r>
          </w:p>
        </w:tc>
        <w:tc>
          <w:tcPr>
            <w:tcW w:w="1948" w:type="dxa"/>
            <w:gridSpan w:val="3"/>
            <w:tcBorders>
              <w:top w:val="single" w:color="000000" w:sz="4" w:space="0"/>
              <w:left w:val="nil"/>
              <w:bottom w:val="single" w:color="000000" w:sz="4" w:space="0"/>
              <w:right w:val="single" w:color="000000" w:sz="4" w:space="0"/>
            </w:tcBorders>
            <w:shd w:val="clear" w:color="auto" w:fill="auto"/>
            <w:vAlign w:val="center"/>
          </w:tcPr>
          <w:p>
            <w:pPr>
              <w:widowControl/>
              <w:spacing w:before="46"/>
              <w:jc w:val="center"/>
              <w:rPr>
                <w:rFonts w:ascii="宋体" w:hAnsi="宋体" w:cs="宋体"/>
                <w:kern w:val="0"/>
                <w:sz w:val="24"/>
              </w:rPr>
            </w:pPr>
          </w:p>
        </w:tc>
      </w:tr>
      <w:tr>
        <w:tblPrEx>
          <w:tblCellMar>
            <w:top w:w="0" w:type="dxa"/>
            <w:left w:w="108" w:type="dxa"/>
            <w:bottom w:w="0" w:type="dxa"/>
            <w:right w:w="108" w:type="dxa"/>
          </w:tblCellMar>
        </w:tblPrEx>
        <w:tc>
          <w:tcPr>
            <w:tcW w:w="918" w:type="dxa"/>
            <w:vMerge w:val="continue"/>
            <w:tcBorders>
              <w:top w:val="nil"/>
              <w:left w:val="single" w:color="000000" w:sz="4" w:space="0"/>
              <w:bottom w:val="single" w:color="000000" w:sz="4" w:space="0"/>
              <w:right w:val="single" w:color="000000" w:sz="4" w:space="0"/>
            </w:tcBorders>
            <w:shd w:val="clear" w:color="auto" w:fill="auto"/>
            <w:vAlign w:val="center"/>
          </w:tcPr>
          <w:p>
            <w:pPr>
              <w:rPr>
                <w:rFonts w:ascii="Calibri" w:hAnsi="Calibri"/>
                <w:szCs w:val="22"/>
              </w:rPr>
            </w:pPr>
          </w:p>
        </w:tc>
        <w:tc>
          <w:tcPr>
            <w:tcW w:w="789" w:type="dxa"/>
            <w:gridSpan w:val="2"/>
            <w:vMerge w:val="continue"/>
            <w:tcBorders>
              <w:top w:val="nil"/>
              <w:left w:val="nil"/>
              <w:bottom w:val="single" w:color="000000" w:sz="4" w:space="0"/>
              <w:right w:val="single" w:color="000000" w:sz="4" w:space="0"/>
            </w:tcBorders>
            <w:shd w:val="clear" w:color="auto" w:fill="auto"/>
            <w:vAlign w:val="center"/>
          </w:tcPr>
          <w:p>
            <w:pPr>
              <w:rPr>
                <w:rFonts w:ascii="Calibri" w:hAnsi="Calibri"/>
                <w:szCs w:val="22"/>
              </w:rPr>
            </w:pPr>
          </w:p>
        </w:tc>
        <w:tc>
          <w:tcPr>
            <w:tcW w:w="1202" w:type="dxa"/>
            <w:tcBorders>
              <w:top w:val="single" w:color="000000" w:sz="4" w:space="0"/>
              <w:left w:val="nil"/>
              <w:bottom w:val="single" w:color="000000" w:sz="4" w:space="0"/>
              <w:right w:val="single" w:color="000000" w:sz="4" w:space="0"/>
            </w:tcBorders>
            <w:shd w:val="clear" w:color="auto" w:fill="auto"/>
            <w:vAlign w:val="center"/>
          </w:tcPr>
          <w:p>
            <w:pPr>
              <w:widowControl/>
              <w:spacing w:before="46"/>
              <w:jc w:val="center"/>
              <w:rPr>
                <w:rFonts w:ascii="宋体" w:hAnsi="宋体" w:cs="宋体"/>
                <w:kern w:val="0"/>
                <w:sz w:val="24"/>
              </w:rPr>
            </w:pPr>
            <w:r>
              <w:rPr>
                <w:rFonts w:hint="eastAsia" w:ascii="宋体" w:hAnsi="宋体" w:cs="宋体"/>
                <w:kern w:val="0"/>
                <w:sz w:val="24"/>
              </w:rPr>
              <w:t>刘付俊</w:t>
            </w:r>
          </w:p>
        </w:tc>
        <w:tc>
          <w:tcPr>
            <w:tcW w:w="2588" w:type="dxa"/>
            <w:gridSpan w:val="3"/>
            <w:tcBorders>
              <w:top w:val="single" w:color="000000" w:sz="4" w:space="0"/>
              <w:left w:val="nil"/>
              <w:bottom w:val="single" w:color="000000" w:sz="4" w:space="0"/>
              <w:right w:val="single" w:color="000000" w:sz="4" w:space="0"/>
            </w:tcBorders>
            <w:shd w:val="clear" w:color="auto" w:fill="auto"/>
            <w:vAlign w:val="center"/>
          </w:tcPr>
          <w:p>
            <w:pPr>
              <w:widowControl/>
              <w:spacing w:before="46"/>
              <w:jc w:val="center"/>
              <w:rPr>
                <w:rFonts w:ascii="宋体" w:hAnsi="宋体" w:cs="宋体"/>
                <w:kern w:val="0"/>
                <w:sz w:val="24"/>
              </w:rPr>
            </w:pPr>
            <w:r>
              <w:rPr>
                <w:rFonts w:hint="eastAsia" w:ascii="宋体" w:hAnsi="宋体" w:cs="宋体"/>
                <w:kern w:val="0"/>
                <w:sz w:val="24"/>
              </w:rPr>
              <w:t>技术部部长</w:t>
            </w:r>
          </w:p>
        </w:tc>
        <w:tc>
          <w:tcPr>
            <w:tcW w:w="1843" w:type="dxa"/>
            <w:gridSpan w:val="2"/>
            <w:tcBorders>
              <w:top w:val="single" w:color="000000" w:sz="4" w:space="0"/>
              <w:left w:val="nil"/>
              <w:bottom w:val="single" w:color="000000" w:sz="4" w:space="0"/>
              <w:right w:val="single" w:color="000000" w:sz="4" w:space="0"/>
            </w:tcBorders>
            <w:shd w:val="clear" w:color="auto" w:fill="auto"/>
            <w:vAlign w:val="center"/>
          </w:tcPr>
          <w:p>
            <w:pPr>
              <w:widowControl/>
              <w:spacing w:before="46"/>
              <w:jc w:val="center"/>
              <w:rPr>
                <w:rFonts w:ascii="宋体" w:hAnsi="宋体" w:cs="宋体"/>
                <w:kern w:val="0"/>
                <w:sz w:val="24"/>
              </w:rPr>
            </w:pPr>
            <w:r>
              <w:rPr>
                <w:rFonts w:hint="eastAsia" w:ascii="宋体" w:hAnsi="宋体" w:cs="宋体"/>
                <w:kern w:val="0"/>
                <w:sz w:val="24"/>
              </w:rPr>
              <w:t>13687169206</w:t>
            </w:r>
          </w:p>
        </w:tc>
        <w:tc>
          <w:tcPr>
            <w:tcW w:w="1948" w:type="dxa"/>
            <w:gridSpan w:val="3"/>
            <w:tcBorders>
              <w:top w:val="single" w:color="000000" w:sz="4" w:space="0"/>
              <w:left w:val="nil"/>
              <w:bottom w:val="single" w:color="000000" w:sz="4" w:space="0"/>
              <w:right w:val="single" w:color="000000" w:sz="4" w:space="0"/>
            </w:tcBorders>
            <w:shd w:val="clear" w:color="auto" w:fill="auto"/>
            <w:vAlign w:val="center"/>
          </w:tcPr>
          <w:p>
            <w:pPr>
              <w:widowControl/>
              <w:spacing w:before="46"/>
              <w:jc w:val="center"/>
              <w:rPr>
                <w:rFonts w:ascii="宋体" w:hAnsi="宋体" w:cs="宋体"/>
                <w:kern w:val="0"/>
                <w:sz w:val="24"/>
              </w:rPr>
            </w:pPr>
          </w:p>
        </w:tc>
      </w:tr>
      <w:tr>
        <w:tblPrEx>
          <w:tblCellMar>
            <w:top w:w="0" w:type="dxa"/>
            <w:left w:w="108" w:type="dxa"/>
            <w:bottom w:w="0" w:type="dxa"/>
            <w:right w:w="108" w:type="dxa"/>
          </w:tblCellMar>
        </w:tblPrEx>
        <w:tc>
          <w:tcPr>
            <w:tcW w:w="918" w:type="dxa"/>
            <w:vMerge w:val="continue"/>
            <w:tcBorders>
              <w:top w:val="nil"/>
              <w:left w:val="single" w:color="000000" w:sz="4" w:space="0"/>
              <w:bottom w:val="single" w:color="000000" w:sz="4" w:space="0"/>
              <w:right w:val="single" w:color="000000" w:sz="4" w:space="0"/>
            </w:tcBorders>
            <w:shd w:val="clear" w:color="auto" w:fill="auto"/>
            <w:vAlign w:val="center"/>
          </w:tcPr>
          <w:p>
            <w:pPr>
              <w:rPr>
                <w:rFonts w:ascii="Calibri" w:hAnsi="Calibri"/>
                <w:szCs w:val="22"/>
              </w:rPr>
            </w:pPr>
          </w:p>
        </w:tc>
        <w:tc>
          <w:tcPr>
            <w:tcW w:w="789" w:type="dxa"/>
            <w:gridSpan w:val="2"/>
            <w:vMerge w:val="continue"/>
            <w:tcBorders>
              <w:top w:val="nil"/>
              <w:left w:val="nil"/>
              <w:bottom w:val="single" w:color="000000" w:sz="4" w:space="0"/>
              <w:right w:val="single" w:color="000000" w:sz="4" w:space="0"/>
            </w:tcBorders>
            <w:shd w:val="clear" w:color="auto" w:fill="auto"/>
            <w:vAlign w:val="center"/>
          </w:tcPr>
          <w:p>
            <w:pPr>
              <w:rPr>
                <w:rFonts w:ascii="Calibri" w:hAnsi="Calibri"/>
                <w:szCs w:val="22"/>
              </w:rPr>
            </w:pPr>
          </w:p>
        </w:tc>
        <w:tc>
          <w:tcPr>
            <w:tcW w:w="1202" w:type="dxa"/>
            <w:tcBorders>
              <w:top w:val="single" w:color="000000" w:sz="4" w:space="0"/>
              <w:left w:val="nil"/>
              <w:bottom w:val="single" w:color="000000" w:sz="4" w:space="0"/>
              <w:right w:val="single" w:color="000000" w:sz="4" w:space="0"/>
            </w:tcBorders>
            <w:shd w:val="clear" w:color="auto" w:fill="auto"/>
            <w:vAlign w:val="center"/>
          </w:tcPr>
          <w:p>
            <w:pPr>
              <w:widowControl/>
              <w:spacing w:before="46"/>
              <w:jc w:val="center"/>
              <w:rPr>
                <w:rFonts w:hint="eastAsia" w:ascii="宋体" w:hAnsi="宋体" w:eastAsia="宋体" w:cs="宋体"/>
                <w:kern w:val="0"/>
                <w:sz w:val="24"/>
                <w:lang w:eastAsia="zh-CN"/>
              </w:rPr>
            </w:pPr>
            <w:r>
              <w:rPr>
                <w:rFonts w:hint="eastAsia" w:ascii="宋体" w:hAnsi="宋体" w:cs="宋体"/>
                <w:kern w:val="0"/>
                <w:sz w:val="24"/>
                <w:lang w:eastAsia="zh-CN"/>
              </w:rPr>
              <w:t>余玉际</w:t>
            </w:r>
          </w:p>
        </w:tc>
        <w:tc>
          <w:tcPr>
            <w:tcW w:w="2588" w:type="dxa"/>
            <w:gridSpan w:val="3"/>
            <w:tcBorders>
              <w:top w:val="single" w:color="000000" w:sz="4" w:space="0"/>
              <w:left w:val="nil"/>
              <w:bottom w:val="single" w:color="000000" w:sz="4" w:space="0"/>
              <w:right w:val="single" w:color="000000" w:sz="4" w:space="0"/>
            </w:tcBorders>
            <w:shd w:val="clear" w:color="auto" w:fill="auto"/>
            <w:vAlign w:val="center"/>
          </w:tcPr>
          <w:p>
            <w:pPr>
              <w:widowControl/>
              <w:spacing w:before="46"/>
              <w:jc w:val="center"/>
              <w:rPr>
                <w:rFonts w:ascii="宋体" w:hAnsi="宋体" w:cs="宋体"/>
                <w:kern w:val="0"/>
                <w:sz w:val="24"/>
              </w:rPr>
            </w:pPr>
            <w:r>
              <w:rPr>
                <w:rFonts w:hint="eastAsia" w:ascii="宋体" w:hAnsi="宋体" w:cs="宋体"/>
                <w:kern w:val="0"/>
                <w:sz w:val="24"/>
              </w:rPr>
              <w:t>班长</w:t>
            </w:r>
          </w:p>
        </w:tc>
        <w:tc>
          <w:tcPr>
            <w:tcW w:w="1843" w:type="dxa"/>
            <w:gridSpan w:val="2"/>
            <w:tcBorders>
              <w:top w:val="single" w:color="000000" w:sz="4" w:space="0"/>
              <w:left w:val="nil"/>
              <w:bottom w:val="single" w:color="000000" w:sz="4" w:space="0"/>
              <w:right w:val="single" w:color="000000" w:sz="4" w:space="0"/>
            </w:tcBorders>
            <w:shd w:val="clear" w:color="auto" w:fill="auto"/>
            <w:vAlign w:val="center"/>
          </w:tcPr>
          <w:p>
            <w:pPr>
              <w:widowControl/>
              <w:spacing w:before="46"/>
              <w:jc w:val="center"/>
              <w:rPr>
                <w:rFonts w:hint="default" w:ascii="宋体" w:hAnsi="宋体" w:eastAsia="宋体" w:cs="宋体"/>
                <w:kern w:val="0"/>
                <w:sz w:val="24"/>
                <w:lang w:val="en-US" w:eastAsia="zh-CN"/>
              </w:rPr>
            </w:pPr>
            <w:r>
              <w:rPr>
                <w:rFonts w:hint="eastAsia" w:ascii="宋体" w:hAnsi="宋体" w:cs="宋体"/>
                <w:kern w:val="0"/>
                <w:sz w:val="24"/>
                <w:lang w:val="en-US" w:eastAsia="zh-CN"/>
              </w:rPr>
              <w:t>15172621993</w:t>
            </w:r>
          </w:p>
        </w:tc>
        <w:tc>
          <w:tcPr>
            <w:tcW w:w="1948" w:type="dxa"/>
            <w:gridSpan w:val="3"/>
            <w:tcBorders>
              <w:top w:val="single" w:color="000000" w:sz="4" w:space="0"/>
              <w:left w:val="nil"/>
              <w:bottom w:val="single" w:color="000000" w:sz="4" w:space="0"/>
              <w:right w:val="single" w:color="000000" w:sz="4" w:space="0"/>
            </w:tcBorders>
            <w:shd w:val="clear" w:color="auto" w:fill="auto"/>
            <w:vAlign w:val="center"/>
          </w:tcPr>
          <w:p>
            <w:pPr>
              <w:widowControl/>
              <w:spacing w:before="46"/>
              <w:jc w:val="center"/>
              <w:rPr>
                <w:rFonts w:ascii="宋体" w:hAnsi="宋体" w:cs="宋体"/>
                <w:kern w:val="0"/>
                <w:sz w:val="24"/>
              </w:rPr>
            </w:pPr>
          </w:p>
        </w:tc>
      </w:tr>
      <w:tr>
        <w:tblPrEx>
          <w:tblCellMar>
            <w:top w:w="0" w:type="dxa"/>
            <w:left w:w="108" w:type="dxa"/>
            <w:bottom w:w="0" w:type="dxa"/>
            <w:right w:w="108" w:type="dxa"/>
          </w:tblCellMar>
        </w:tblPrEx>
        <w:tc>
          <w:tcPr>
            <w:tcW w:w="918" w:type="dxa"/>
            <w:vMerge w:val="continue"/>
            <w:tcBorders>
              <w:top w:val="nil"/>
              <w:left w:val="single" w:color="000000" w:sz="4" w:space="0"/>
              <w:bottom w:val="single" w:color="000000" w:sz="4" w:space="0"/>
              <w:right w:val="single" w:color="000000" w:sz="4" w:space="0"/>
            </w:tcBorders>
            <w:shd w:val="clear" w:color="auto" w:fill="auto"/>
            <w:vAlign w:val="center"/>
          </w:tcPr>
          <w:p>
            <w:pPr>
              <w:rPr>
                <w:rFonts w:ascii="Calibri" w:hAnsi="Calibri"/>
                <w:szCs w:val="22"/>
              </w:rPr>
            </w:pPr>
          </w:p>
        </w:tc>
        <w:tc>
          <w:tcPr>
            <w:tcW w:w="789" w:type="dxa"/>
            <w:gridSpan w:val="2"/>
            <w:vMerge w:val="continue"/>
            <w:tcBorders>
              <w:top w:val="nil"/>
              <w:left w:val="nil"/>
              <w:bottom w:val="single" w:color="000000" w:sz="4" w:space="0"/>
              <w:right w:val="single" w:color="000000" w:sz="4" w:space="0"/>
            </w:tcBorders>
            <w:shd w:val="clear" w:color="auto" w:fill="auto"/>
            <w:vAlign w:val="center"/>
          </w:tcPr>
          <w:p>
            <w:pPr>
              <w:rPr>
                <w:rFonts w:ascii="Calibri" w:hAnsi="Calibri"/>
                <w:szCs w:val="22"/>
              </w:rPr>
            </w:pPr>
          </w:p>
        </w:tc>
        <w:tc>
          <w:tcPr>
            <w:tcW w:w="1202" w:type="dxa"/>
            <w:tcBorders>
              <w:top w:val="single" w:color="000000" w:sz="4" w:space="0"/>
              <w:left w:val="nil"/>
              <w:bottom w:val="single" w:color="000000" w:sz="4" w:space="0"/>
              <w:right w:val="single" w:color="000000" w:sz="4" w:space="0"/>
            </w:tcBorders>
            <w:shd w:val="clear" w:color="auto" w:fill="auto"/>
            <w:vAlign w:val="center"/>
          </w:tcPr>
          <w:p>
            <w:pPr>
              <w:widowControl/>
              <w:spacing w:before="46"/>
              <w:jc w:val="center"/>
              <w:rPr>
                <w:rFonts w:hint="eastAsia" w:ascii="宋体" w:hAnsi="宋体" w:eastAsia="宋体" w:cs="宋体"/>
                <w:kern w:val="0"/>
                <w:sz w:val="24"/>
                <w:lang w:eastAsia="zh-CN"/>
              </w:rPr>
            </w:pPr>
            <w:r>
              <w:rPr>
                <w:rFonts w:hint="eastAsia" w:ascii="宋体" w:hAnsi="宋体" w:cs="宋体"/>
                <w:kern w:val="0"/>
                <w:sz w:val="24"/>
                <w:lang w:eastAsia="zh-CN"/>
              </w:rPr>
              <w:t>陈建国</w:t>
            </w:r>
          </w:p>
        </w:tc>
        <w:tc>
          <w:tcPr>
            <w:tcW w:w="2588" w:type="dxa"/>
            <w:gridSpan w:val="3"/>
            <w:tcBorders>
              <w:top w:val="single" w:color="000000" w:sz="4" w:space="0"/>
              <w:left w:val="nil"/>
              <w:bottom w:val="single" w:color="000000" w:sz="4" w:space="0"/>
              <w:right w:val="single" w:color="000000" w:sz="4" w:space="0"/>
            </w:tcBorders>
            <w:shd w:val="clear" w:color="auto" w:fill="auto"/>
            <w:vAlign w:val="center"/>
          </w:tcPr>
          <w:p>
            <w:pPr>
              <w:widowControl/>
              <w:spacing w:before="46"/>
              <w:jc w:val="center"/>
              <w:rPr>
                <w:rFonts w:ascii="宋体" w:hAnsi="宋体" w:cs="宋体"/>
                <w:kern w:val="0"/>
                <w:sz w:val="24"/>
              </w:rPr>
            </w:pPr>
            <w:r>
              <w:rPr>
                <w:rFonts w:hint="eastAsia" w:ascii="宋体" w:hAnsi="宋体" w:cs="宋体"/>
                <w:kern w:val="0"/>
                <w:sz w:val="24"/>
                <w:lang w:eastAsia="zh-CN"/>
              </w:rPr>
              <w:t>班长</w:t>
            </w:r>
          </w:p>
        </w:tc>
        <w:tc>
          <w:tcPr>
            <w:tcW w:w="1843" w:type="dxa"/>
            <w:gridSpan w:val="2"/>
            <w:tcBorders>
              <w:top w:val="single" w:color="000000" w:sz="4" w:space="0"/>
              <w:left w:val="nil"/>
              <w:bottom w:val="single" w:color="000000" w:sz="4" w:space="0"/>
              <w:right w:val="single" w:color="000000" w:sz="4" w:space="0"/>
            </w:tcBorders>
            <w:shd w:val="clear" w:color="auto" w:fill="auto"/>
            <w:vAlign w:val="center"/>
          </w:tcPr>
          <w:p>
            <w:pPr>
              <w:widowControl/>
              <w:spacing w:before="46"/>
              <w:jc w:val="center"/>
              <w:rPr>
                <w:rFonts w:hint="default" w:ascii="宋体" w:hAnsi="宋体" w:eastAsia="宋体" w:cs="宋体"/>
                <w:kern w:val="0"/>
                <w:sz w:val="24"/>
                <w:lang w:val="en-US" w:eastAsia="zh-CN"/>
              </w:rPr>
            </w:pPr>
            <w:r>
              <w:rPr>
                <w:rFonts w:hint="eastAsia" w:ascii="宋体" w:hAnsi="宋体" w:cs="宋体"/>
                <w:kern w:val="0"/>
                <w:sz w:val="24"/>
                <w:lang w:val="en-US" w:eastAsia="zh-CN"/>
              </w:rPr>
              <w:t>15797150548</w:t>
            </w:r>
          </w:p>
        </w:tc>
        <w:tc>
          <w:tcPr>
            <w:tcW w:w="1948" w:type="dxa"/>
            <w:gridSpan w:val="3"/>
            <w:tcBorders>
              <w:top w:val="single" w:color="000000" w:sz="4" w:space="0"/>
              <w:left w:val="nil"/>
              <w:bottom w:val="single" w:color="000000" w:sz="4" w:space="0"/>
              <w:right w:val="single" w:color="000000" w:sz="4" w:space="0"/>
            </w:tcBorders>
            <w:shd w:val="clear" w:color="auto" w:fill="auto"/>
            <w:vAlign w:val="center"/>
          </w:tcPr>
          <w:p>
            <w:pPr>
              <w:widowControl/>
              <w:spacing w:before="46"/>
              <w:jc w:val="center"/>
              <w:rPr>
                <w:rFonts w:ascii="宋体" w:hAnsi="宋体" w:cs="宋体"/>
                <w:kern w:val="0"/>
                <w:sz w:val="24"/>
              </w:rPr>
            </w:pPr>
          </w:p>
        </w:tc>
      </w:tr>
      <w:tr>
        <w:tblPrEx>
          <w:tblCellMar>
            <w:top w:w="0" w:type="dxa"/>
            <w:left w:w="108" w:type="dxa"/>
            <w:bottom w:w="0" w:type="dxa"/>
            <w:right w:w="108" w:type="dxa"/>
          </w:tblCellMar>
        </w:tblPrEx>
        <w:tc>
          <w:tcPr>
            <w:tcW w:w="918" w:type="dxa"/>
            <w:vMerge w:val="continue"/>
            <w:tcBorders>
              <w:top w:val="nil"/>
              <w:left w:val="single" w:color="000000" w:sz="4" w:space="0"/>
              <w:bottom w:val="single" w:color="000000" w:sz="4" w:space="0"/>
              <w:right w:val="single" w:color="000000" w:sz="4" w:space="0"/>
            </w:tcBorders>
            <w:shd w:val="clear" w:color="auto" w:fill="auto"/>
            <w:vAlign w:val="center"/>
          </w:tcPr>
          <w:p>
            <w:pPr>
              <w:rPr>
                <w:rFonts w:ascii="Calibri" w:hAnsi="Calibri"/>
                <w:szCs w:val="22"/>
              </w:rPr>
            </w:pPr>
          </w:p>
        </w:tc>
        <w:tc>
          <w:tcPr>
            <w:tcW w:w="789" w:type="dxa"/>
            <w:gridSpan w:val="2"/>
            <w:vMerge w:val="continue"/>
            <w:tcBorders>
              <w:top w:val="nil"/>
              <w:left w:val="nil"/>
              <w:bottom w:val="single" w:color="000000" w:sz="4" w:space="0"/>
              <w:right w:val="single" w:color="000000" w:sz="4" w:space="0"/>
            </w:tcBorders>
            <w:shd w:val="clear" w:color="auto" w:fill="auto"/>
            <w:vAlign w:val="center"/>
          </w:tcPr>
          <w:p>
            <w:pPr>
              <w:rPr>
                <w:rFonts w:ascii="Calibri" w:hAnsi="Calibri"/>
                <w:szCs w:val="22"/>
              </w:rPr>
            </w:pPr>
          </w:p>
        </w:tc>
        <w:tc>
          <w:tcPr>
            <w:tcW w:w="1202" w:type="dxa"/>
            <w:tcBorders>
              <w:top w:val="single" w:color="000000" w:sz="4" w:space="0"/>
              <w:left w:val="nil"/>
              <w:bottom w:val="single" w:color="000000" w:sz="4" w:space="0"/>
              <w:right w:val="single" w:color="000000" w:sz="4" w:space="0"/>
            </w:tcBorders>
            <w:shd w:val="clear" w:color="auto" w:fill="auto"/>
            <w:vAlign w:val="center"/>
          </w:tcPr>
          <w:p>
            <w:pPr>
              <w:widowControl/>
              <w:spacing w:before="46"/>
              <w:jc w:val="center"/>
              <w:rPr>
                <w:rFonts w:hint="eastAsia" w:ascii="宋体" w:hAnsi="宋体" w:eastAsia="宋体" w:cs="宋体"/>
                <w:kern w:val="0"/>
                <w:sz w:val="24"/>
                <w:lang w:eastAsia="zh-CN"/>
              </w:rPr>
            </w:pPr>
            <w:r>
              <w:rPr>
                <w:rFonts w:hint="eastAsia" w:ascii="宋体" w:hAnsi="宋体" w:cs="宋体"/>
                <w:kern w:val="0"/>
                <w:sz w:val="24"/>
                <w:lang w:eastAsia="zh-CN"/>
              </w:rPr>
              <w:t>钱小清</w:t>
            </w:r>
          </w:p>
        </w:tc>
        <w:tc>
          <w:tcPr>
            <w:tcW w:w="2588" w:type="dxa"/>
            <w:gridSpan w:val="3"/>
            <w:tcBorders>
              <w:top w:val="single" w:color="000000" w:sz="4" w:space="0"/>
              <w:left w:val="nil"/>
              <w:bottom w:val="single" w:color="000000" w:sz="4" w:space="0"/>
              <w:right w:val="single" w:color="000000" w:sz="4" w:space="0"/>
            </w:tcBorders>
            <w:shd w:val="clear" w:color="auto" w:fill="auto"/>
            <w:vAlign w:val="center"/>
          </w:tcPr>
          <w:p>
            <w:pPr>
              <w:widowControl/>
              <w:spacing w:before="46"/>
              <w:jc w:val="center"/>
              <w:rPr>
                <w:rFonts w:ascii="宋体" w:hAnsi="宋体" w:cs="宋体"/>
                <w:kern w:val="0"/>
                <w:sz w:val="24"/>
              </w:rPr>
            </w:pPr>
            <w:r>
              <w:rPr>
                <w:rFonts w:hint="eastAsia" w:ascii="宋体" w:hAnsi="宋体" w:cs="宋体"/>
                <w:kern w:val="0"/>
                <w:sz w:val="24"/>
              </w:rPr>
              <w:t>氯化操作工</w:t>
            </w:r>
          </w:p>
        </w:tc>
        <w:tc>
          <w:tcPr>
            <w:tcW w:w="1843" w:type="dxa"/>
            <w:gridSpan w:val="2"/>
            <w:tcBorders>
              <w:top w:val="single" w:color="000000" w:sz="4" w:space="0"/>
              <w:left w:val="nil"/>
              <w:bottom w:val="single" w:color="000000" w:sz="4" w:space="0"/>
              <w:right w:val="single" w:color="000000" w:sz="4" w:space="0"/>
            </w:tcBorders>
            <w:shd w:val="clear" w:color="auto" w:fill="auto"/>
            <w:vAlign w:val="center"/>
          </w:tcPr>
          <w:p>
            <w:pPr>
              <w:widowControl/>
              <w:spacing w:before="46"/>
              <w:jc w:val="center"/>
              <w:rPr>
                <w:rFonts w:hint="default" w:ascii="宋体" w:hAnsi="宋体" w:eastAsia="宋体" w:cs="宋体"/>
                <w:kern w:val="0"/>
                <w:sz w:val="24"/>
                <w:lang w:val="en-US" w:eastAsia="zh-CN"/>
              </w:rPr>
            </w:pPr>
            <w:r>
              <w:rPr>
                <w:rFonts w:hint="eastAsia" w:ascii="宋体" w:hAnsi="宋体" w:cs="宋体"/>
                <w:kern w:val="0"/>
                <w:sz w:val="24"/>
                <w:lang w:val="en-US" w:eastAsia="zh-CN"/>
              </w:rPr>
              <w:t>13986379675</w:t>
            </w:r>
          </w:p>
        </w:tc>
        <w:tc>
          <w:tcPr>
            <w:tcW w:w="1948" w:type="dxa"/>
            <w:gridSpan w:val="3"/>
            <w:tcBorders>
              <w:top w:val="single" w:color="000000" w:sz="4" w:space="0"/>
              <w:left w:val="nil"/>
              <w:bottom w:val="single" w:color="000000" w:sz="4" w:space="0"/>
              <w:right w:val="single" w:color="000000" w:sz="4" w:space="0"/>
            </w:tcBorders>
            <w:shd w:val="clear" w:color="auto" w:fill="auto"/>
            <w:vAlign w:val="center"/>
          </w:tcPr>
          <w:p>
            <w:pPr>
              <w:widowControl/>
              <w:spacing w:before="46"/>
              <w:jc w:val="center"/>
              <w:rPr>
                <w:rFonts w:ascii="宋体" w:hAnsi="宋体" w:cs="宋体"/>
                <w:kern w:val="0"/>
                <w:sz w:val="24"/>
              </w:rPr>
            </w:pPr>
          </w:p>
        </w:tc>
      </w:tr>
      <w:tr>
        <w:tblPrEx>
          <w:tblCellMar>
            <w:top w:w="0" w:type="dxa"/>
            <w:left w:w="108" w:type="dxa"/>
            <w:bottom w:w="0" w:type="dxa"/>
            <w:right w:w="108" w:type="dxa"/>
          </w:tblCellMar>
        </w:tblPrEx>
        <w:tc>
          <w:tcPr>
            <w:tcW w:w="918" w:type="dxa"/>
            <w:vMerge w:val="continue"/>
            <w:tcBorders>
              <w:top w:val="nil"/>
              <w:left w:val="single" w:color="000000" w:sz="4" w:space="0"/>
              <w:bottom w:val="single" w:color="000000" w:sz="4" w:space="0"/>
              <w:right w:val="single" w:color="000000" w:sz="4" w:space="0"/>
            </w:tcBorders>
            <w:shd w:val="clear" w:color="auto" w:fill="auto"/>
            <w:vAlign w:val="center"/>
          </w:tcPr>
          <w:p>
            <w:pPr>
              <w:rPr>
                <w:rFonts w:ascii="Calibri" w:hAnsi="Calibri"/>
                <w:szCs w:val="22"/>
              </w:rPr>
            </w:pPr>
          </w:p>
        </w:tc>
        <w:tc>
          <w:tcPr>
            <w:tcW w:w="789" w:type="dxa"/>
            <w:gridSpan w:val="2"/>
            <w:vMerge w:val="continue"/>
            <w:tcBorders>
              <w:top w:val="nil"/>
              <w:left w:val="nil"/>
              <w:bottom w:val="single" w:color="000000" w:sz="4" w:space="0"/>
              <w:right w:val="single" w:color="000000" w:sz="4" w:space="0"/>
            </w:tcBorders>
            <w:shd w:val="clear" w:color="auto" w:fill="auto"/>
            <w:vAlign w:val="center"/>
          </w:tcPr>
          <w:p>
            <w:pPr>
              <w:rPr>
                <w:rFonts w:ascii="Calibri" w:hAnsi="Calibri"/>
                <w:szCs w:val="22"/>
              </w:rPr>
            </w:pPr>
          </w:p>
        </w:tc>
        <w:tc>
          <w:tcPr>
            <w:tcW w:w="1202" w:type="dxa"/>
            <w:tcBorders>
              <w:top w:val="single" w:color="000000" w:sz="4" w:space="0"/>
              <w:left w:val="nil"/>
              <w:bottom w:val="single" w:color="000000" w:sz="4" w:space="0"/>
              <w:right w:val="single" w:color="000000" w:sz="4" w:space="0"/>
            </w:tcBorders>
            <w:shd w:val="clear" w:color="auto" w:fill="auto"/>
            <w:vAlign w:val="center"/>
          </w:tcPr>
          <w:p>
            <w:pPr>
              <w:widowControl/>
              <w:spacing w:before="46"/>
              <w:jc w:val="center"/>
              <w:rPr>
                <w:rFonts w:hint="eastAsia" w:ascii="宋体" w:hAnsi="宋体" w:eastAsia="宋体" w:cs="宋体"/>
                <w:kern w:val="0"/>
                <w:sz w:val="24"/>
                <w:lang w:eastAsia="zh-CN"/>
              </w:rPr>
            </w:pPr>
            <w:r>
              <w:rPr>
                <w:rFonts w:hint="eastAsia" w:ascii="宋体" w:hAnsi="宋体" w:cs="宋体"/>
                <w:kern w:val="0"/>
                <w:sz w:val="24"/>
                <w:lang w:eastAsia="zh-CN"/>
              </w:rPr>
              <w:t>王明胜</w:t>
            </w:r>
          </w:p>
        </w:tc>
        <w:tc>
          <w:tcPr>
            <w:tcW w:w="2588" w:type="dxa"/>
            <w:gridSpan w:val="3"/>
            <w:tcBorders>
              <w:top w:val="single" w:color="000000" w:sz="4" w:space="0"/>
              <w:left w:val="nil"/>
              <w:bottom w:val="single" w:color="000000" w:sz="4" w:space="0"/>
              <w:right w:val="single" w:color="000000" w:sz="4" w:space="0"/>
            </w:tcBorders>
            <w:shd w:val="clear" w:color="auto" w:fill="auto"/>
            <w:vAlign w:val="center"/>
          </w:tcPr>
          <w:p>
            <w:pPr>
              <w:widowControl/>
              <w:spacing w:before="46"/>
              <w:jc w:val="center"/>
              <w:rPr>
                <w:rFonts w:ascii="宋体" w:hAnsi="宋体" w:cs="宋体"/>
                <w:kern w:val="0"/>
                <w:sz w:val="24"/>
              </w:rPr>
            </w:pPr>
            <w:r>
              <w:rPr>
                <w:rFonts w:hint="eastAsia" w:ascii="宋体" w:hAnsi="宋体" w:cs="宋体"/>
                <w:kern w:val="0"/>
                <w:sz w:val="24"/>
              </w:rPr>
              <w:t>注册安全工程师</w:t>
            </w:r>
          </w:p>
        </w:tc>
        <w:tc>
          <w:tcPr>
            <w:tcW w:w="1843" w:type="dxa"/>
            <w:gridSpan w:val="2"/>
            <w:tcBorders>
              <w:top w:val="single" w:color="000000" w:sz="4" w:space="0"/>
              <w:left w:val="nil"/>
              <w:bottom w:val="single" w:color="000000" w:sz="4" w:space="0"/>
              <w:right w:val="single" w:color="000000" w:sz="4" w:space="0"/>
            </w:tcBorders>
            <w:shd w:val="clear" w:color="auto" w:fill="auto"/>
            <w:vAlign w:val="center"/>
          </w:tcPr>
          <w:p>
            <w:pPr>
              <w:widowControl/>
              <w:spacing w:before="46"/>
              <w:jc w:val="center"/>
              <w:rPr>
                <w:rFonts w:hint="default" w:ascii="宋体" w:hAnsi="宋体" w:eastAsia="宋体" w:cs="宋体"/>
                <w:kern w:val="0"/>
                <w:sz w:val="24"/>
                <w:lang w:val="en-US" w:eastAsia="zh-CN"/>
              </w:rPr>
            </w:pPr>
            <w:r>
              <w:rPr>
                <w:rFonts w:hint="eastAsia" w:ascii="宋体" w:hAnsi="宋体" w:cs="宋体"/>
                <w:kern w:val="0"/>
                <w:sz w:val="24"/>
              </w:rPr>
              <w:t>13797291267</w:t>
            </w:r>
          </w:p>
        </w:tc>
        <w:tc>
          <w:tcPr>
            <w:tcW w:w="1948" w:type="dxa"/>
            <w:gridSpan w:val="3"/>
            <w:tcBorders>
              <w:top w:val="single" w:color="000000" w:sz="4" w:space="0"/>
              <w:left w:val="nil"/>
              <w:bottom w:val="single" w:color="000000" w:sz="4" w:space="0"/>
              <w:right w:val="single" w:color="000000" w:sz="4" w:space="0"/>
            </w:tcBorders>
            <w:shd w:val="clear" w:color="auto" w:fill="auto"/>
            <w:vAlign w:val="center"/>
          </w:tcPr>
          <w:p>
            <w:pPr>
              <w:widowControl/>
              <w:spacing w:before="46"/>
              <w:jc w:val="center"/>
              <w:rPr>
                <w:rFonts w:ascii="宋体" w:hAnsi="宋体" w:cs="宋体"/>
                <w:kern w:val="0"/>
                <w:sz w:val="24"/>
              </w:rPr>
            </w:pPr>
          </w:p>
        </w:tc>
      </w:tr>
    </w:tbl>
    <w:p>
      <w:pPr>
        <w:adjustRightInd w:val="0"/>
        <w:snapToGrid w:val="0"/>
        <w:spacing w:before="156" w:beforeLines="50" w:after="93" w:afterLines="30"/>
        <w:jc w:val="center"/>
        <w:rPr>
          <w:rFonts w:hint="eastAsia" w:ascii="宋体"/>
          <w:b/>
          <w:snapToGrid w:val="0"/>
          <w:kern w:val="0"/>
          <w:sz w:val="32"/>
          <w:szCs w:val="32"/>
          <w:lang w:eastAsia="zh-CN"/>
        </w:rPr>
      </w:pPr>
    </w:p>
    <w:p>
      <w:pPr>
        <w:adjustRightInd w:val="0"/>
        <w:snapToGrid w:val="0"/>
        <w:spacing w:before="156" w:beforeLines="50" w:after="93" w:afterLines="30"/>
        <w:jc w:val="center"/>
        <w:rPr>
          <w:rFonts w:hint="eastAsia" w:ascii="宋体"/>
          <w:b/>
          <w:snapToGrid w:val="0"/>
          <w:kern w:val="0"/>
          <w:sz w:val="32"/>
          <w:szCs w:val="32"/>
        </w:rPr>
      </w:pPr>
    </w:p>
    <w:p>
      <w:pPr>
        <w:jc w:val="both"/>
      </w:pPr>
      <w:bookmarkStart w:id="201" w:name="_GoBack"/>
      <w:bookmarkEnd w:id="201"/>
    </w:p>
    <w:p>
      <w:pPr>
        <w:pStyle w:val="23"/>
        <w:ind w:left="0" w:leftChars="0" w:firstLine="0" w:firstLineChars="0"/>
      </w:pPr>
      <w:r>
        <w:rPr>
          <w:rFonts w:hint="eastAsia" w:eastAsia="宋体"/>
          <w:lang w:eastAsia="zh-CN"/>
        </w:rPr>
        <w:drawing>
          <wp:inline distT="0" distB="0" distL="114300" distR="114300">
            <wp:extent cx="5502275" cy="7633335"/>
            <wp:effectExtent l="0" t="0" r="3175" b="5715"/>
            <wp:docPr id="24" name="图片 8" descr="1 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8" descr="1 002"/>
                    <pic:cNvPicPr>
                      <a:picLocks noChangeAspect="1"/>
                    </pic:cNvPicPr>
                  </pic:nvPicPr>
                  <pic:blipFill>
                    <a:blip r:embed="rId11"/>
                    <a:stretch>
                      <a:fillRect/>
                    </a:stretch>
                  </pic:blipFill>
                  <pic:spPr>
                    <a:xfrm>
                      <a:off x="0" y="0"/>
                      <a:ext cx="5502275" cy="7633335"/>
                    </a:xfrm>
                    <a:prstGeom prst="rect">
                      <a:avLst/>
                    </a:prstGeom>
                    <a:noFill/>
                    <a:ln>
                      <a:noFill/>
                    </a:ln>
                  </pic:spPr>
                </pic:pic>
              </a:graphicData>
            </a:graphic>
          </wp:inline>
        </w:drawing>
      </w:r>
    </w:p>
    <w:p>
      <w:pPr>
        <w:pStyle w:val="23"/>
        <w:ind w:left="0" w:leftChars="0" w:firstLine="0" w:firstLineChars="0"/>
        <w:rPr>
          <w:rFonts w:hint="eastAsia" w:eastAsia="宋体"/>
          <w:lang w:eastAsia="zh-CN"/>
        </w:rPr>
      </w:pPr>
    </w:p>
    <w:p>
      <w:pPr>
        <w:widowControl/>
        <w:spacing w:line="540" w:lineRule="exact"/>
        <w:jc w:val="both"/>
        <w:rPr>
          <w:rFonts w:hint="eastAsia"/>
          <w:b/>
          <w:sz w:val="30"/>
          <w:szCs w:val="30"/>
        </w:rPr>
      </w:pPr>
    </w:p>
    <w:p>
      <w:pPr>
        <w:widowControl/>
        <w:spacing w:line="540" w:lineRule="exact"/>
        <w:ind w:firstLine="560"/>
        <w:jc w:val="center"/>
        <w:rPr>
          <w:rFonts w:hint="eastAsia"/>
          <w:b/>
          <w:sz w:val="30"/>
          <w:szCs w:val="30"/>
        </w:rPr>
      </w:pPr>
    </w:p>
    <w:p>
      <w:pPr>
        <w:widowControl/>
        <w:spacing w:line="540" w:lineRule="exact"/>
        <w:ind w:firstLine="560"/>
        <w:jc w:val="center"/>
      </w:pPr>
      <w:r>
        <w:rPr>
          <w:rFonts w:hint="eastAsia"/>
          <w:b/>
          <w:sz w:val="30"/>
          <w:szCs w:val="30"/>
        </w:rPr>
        <w:t>目  录</w:t>
      </w:r>
    </w:p>
    <w:p>
      <w:pPr>
        <w:pStyle w:val="17"/>
        <w:tabs>
          <w:tab w:val="right" w:leader="dot" w:pos="9174"/>
        </w:tabs>
        <w:rPr>
          <w:rFonts w:asciiTheme="minorHAnsi" w:hAnsiTheme="minorHAnsi" w:eastAsiaTheme="minorEastAsia" w:cstheme="minorBidi"/>
          <w:b/>
          <w:sz w:val="28"/>
          <w:szCs w:val="28"/>
        </w:rPr>
      </w:pPr>
      <w:r>
        <w:fldChar w:fldCharType="begin"/>
      </w:r>
      <w:r>
        <w:instrText xml:space="preserve"> TOC \o "1-3" \h \z \u </w:instrText>
      </w:r>
      <w:r>
        <w:fldChar w:fldCharType="separate"/>
      </w:r>
      <w:r>
        <w:fldChar w:fldCharType="begin"/>
      </w:r>
      <w:r>
        <w:instrText xml:space="preserve"> HYPERLINK \l "_Toc523396072" </w:instrText>
      </w:r>
      <w:r>
        <w:fldChar w:fldCharType="separate"/>
      </w:r>
      <w:r>
        <w:rPr>
          <w:rStyle w:val="29"/>
          <w:rFonts w:hint="eastAsia" w:ascii="宋体" w:hAnsi="宋体"/>
          <w:b/>
          <w:sz w:val="28"/>
          <w:szCs w:val="28"/>
        </w:rPr>
        <w:t>一、概述</w:t>
      </w:r>
      <w:r>
        <w:rPr>
          <w:b/>
          <w:sz w:val="28"/>
          <w:szCs w:val="28"/>
        </w:rPr>
        <w:tab/>
      </w:r>
      <w:r>
        <w:rPr>
          <w:b/>
          <w:sz w:val="28"/>
          <w:szCs w:val="28"/>
        </w:rPr>
        <w:fldChar w:fldCharType="begin"/>
      </w:r>
      <w:r>
        <w:rPr>
          <w:b/>
          <w:sz w:val="28"/>
          <w:szCs w:val="28"/>
        </w:rPr>
        <w:instrText xml:space="preserve"> PAGEREF _Toc523396072 \h </w:instrText>
      </w:r>
      <w:r>
        <w:rPr>
          <w:b/>
          <w:sz w:val="28"/>
          <w:szCs w:val="28"/>
        </w:rPr>
        <w:fldChar w:fldCharType="separate"/>
      </w:r>
      <w:r>
        <w:rPr>
          <w:b/>
          <w:sz w:val="28"/>
          <w:szCs w:val="28"/>
        </w:rPr>
        <w:t>1</w:t>
      </w:r>
      <w:r>
        <w:rPr>
          <w:b/>
          <w:sz w:val="28"/>
          <w:szCs w:val="28"/>
        </w:rPr>
        <w:fldChar w:fldCharType="end"/>
      </w:r>
      <w:r>
        <w:rPr>
          <w:b/>
          <w:sz w:val="28"/>
          <w:szCs w:val="28"/>
        </w:rPr>
        <w:fldChar w:fldCharType="end"/>
      </w:r>
    </w:p>
    <w:p>
      <w:pPr>
        <w:pStyle w:val="19"/>
        <w:tabs>
          <w:tab w:val="right" w:leader="dot" w:pos="9174"/>
        </w:tabs>
        <w:rPr>
          <w:rFonts w:asciiTheme="minorHAnsi" w:hAnsiTheme="minorHAnsi" w:eastAsiaTheme="minorEastAsia" w:cstheme="minorBidi"/>
          <w:szCs w:val="22"/>
        </w:rPr>
      </w:pPr>
      <w:r>
        <w:fldChar w:fldCharType="begin"/>
      </w:r>
      <w:r>
        <w:instrText xml:space="preserve"> HYPERLINK \l "_Toc523396073" </w:instrText>
      </w:r>
      <w:r>
        <w:fldChar w:fldCharType="separate"/>
      </w:r>
      <w:r>
        <w:rPr>
          <w:rStyle w:val="29"/>
          <w:rFonts w:hint="eastAsia" w:ascii="宋体" w:hAnsi="宋体"/>
        </w:rPr>
        <w:t>（一）企业简介</w:t>
      </w:r>
      <w:r>
        <w:tab/>
      </w:r>
      <w:r>
        <w:fldChar w:fldCharType="begin"/>
      </w:r>
      <w:r>
        <w:instrText xml:space="preserve"> PAGEREF _Toc523396073 \h </w:instrText>
      </w:r>
      <w:r>
        <w:fldChar w:fldCharType="separate"/>
      </w:r>
      <w:r>
        <w:t>1</w:t>
      </w:r>
      <w:r>
        <w:fldChar w:fldCharType="end"/>
      </w:r>
      <w:r>
        <w:fldChar w:fldCharType="end"/>
      </w:r>
    </w:p>
    <w:p>
      <w:pPr>
        <w:pStyle w:val="19"/>
        <w:tabs>
          <w:tab w:val="right" w:leader="dot" w:pos="9174"/>
        </w:tabs>
        <w:rPr>
          <w:rFonts w:asciiTheme="minorHAnsi" w:hAnsiTheme="minorHAnsi" w:eastAsiaTheme="minorEastAsia" w:cstheme="minorBidi"/>
          <w:szCs w:val="22"/>
        </w:rPr>
      </w:pPr>
      <w:r>
        <w:fldChar w:fldCharType="begin"/>
      </w:r>
      <w:r>
        <w:instrText xml:space="preserve"> HYPERLINK \l "_Toc523396074" </w:instrText>
      </w:r>
      <w:r>
        <w:fldChar w:fldCharType="separate"/>
      </w:r>
      <w:r>
        <w:rPr>
          <w:rStyle w:val="29"/>
          <w:rFonts w:hint="eastAsia" w:ascii="宋体" w:hAnsi="宋体"/>
        </w:rPr>
        <w:t>（二）企业下属单位情况</w:t>
      </w:r>
      <w:r>
        <w:tab/>
      </w:r>
      <w:r>
        <w:fldChar w:fldCharType="begin"/>
      </w:r>
      <w:r>
        <w:instrText xml:space="preserve"> PAGEREF _Toc523396074 \h </w:instrText>
      </w:r>
      <w:r>
        <w:fldChar w:fldCharType="separate"/>
      </w:r>
      <w:r>
        <w:t>7</w:t>
      </w:r>
      <w:r>
        <w:fldChar w:fldCharType="end"/>
      </w:r>
      <w:r>
        <w:fldChar w:fldCharType="end"/>
      </w:r>
    </w:p>
    <w:p>
      <w:pPr>
        <w:pStyle w:val="19"/>
        <w:tabs>
          <w:tab w:val="right" w:leader="dot" w:pos="9174"/>
        </w:tabs>
        <w:rPr>
          <w:rFonts w:asciiTheme="minorHAnsi" w:hAnsiTheme="minorHAnsi" w:eastAsiaTheme="minorEastAsia" w:cstheme="minorBidi"/>
          <w:szCs w:val="22"/>
        </w:rPr>
      </w:pPr>
      <w:r>
        <w:fldChar w:fldCharType="begin"/>
      </w:r>
      <w:r>
        <w:instrText xml:space="preserve"> HYPERLINK \l "_Toc523396075" </w:instrText>
      </w:r>
      <w:r>
        <w:fldChar w:fldCharType="separate"/>
      </w:r>
      <w:r>
        <w:rPr>
          <w:rStyle w:val="29"/>
          <w:rFonts w:hint="eastAsia" w:ascii="宋体" w:hAnsi="宋体"/>
        </w:rPr>
        <w:t>（三）近三年伤亡事故与职业危害情况</w:t>
      </w:r>
      <w:r>
        <w:tab/>
      </w:r>
      <w:r>
        <w:fldChar w:fldCharType="begin"/>
      </w:r>
      <w:r>
        <w:instrText xml:space="preserve"> PAGEREF _Toc523396075 \h </w:instrText>
      </w:r>
      <w:r>
        <w:fldChar w:fldCharType="separate"/>
      </w:r>
      <w:r>
        <w:t>7</w:t>
      </w:r>
      <w:r>
        <w:fldChar w:fldCharType="end"/>
      </w:r>
      <w:r>
        <w:fldChar w:fldCharType="end"/>
      </w:r>
    </w:p>
    <w:p>
      <w:pPr>
        <w:pStyle w:val="19"/>
        <w:tabs>
          <w:tab w:val="right" w:leader="dot" w:pos="9174"/>
        </w:tabs>
        <w:rPr>
          <w:rFonts w:asciiTheme="minorHAnsi" w:hAnsiTheme="minorHAnsi" w:eastAsiaTheme="minorEastAsia" w:cstheme="minorBidi"/>
          <w:szCs w:val="22"/>
        </w:rPr>
      </w:pPr>
      <w:r>
        <w:fldChar w:fldCharType="begin"/>
      </w:r>
      <w:r>
        <w:instrText xml:space="preserve"> HYPERLINK \l "_Toc523396076" </w:instrText>
      </w:r>
      <w:r>
        <w:fldChar w:fldCharType="separate"/>
      </w:r>
      <w:r>
        <w:rPr>
          <w:rStyle w:val="29"/>
          <w:rFonts w:hint="eastAsia" w:ascii="宋体" w:hAnsi="宋体"/>
        </w:rPr>
        <w:t>（四）安全生产标准化创建或运行情况</w:t>
      </w:r>
      <w:r>
        <w:tab/>
      </w:r>
      <w:r>
        <w:fldChar w:fldCharType="begin"/>
      </w:r>
      <w:r>
        <w:instrText xml:space="preserve"> PAGEREF _Toc523396076 \h </w:instrText>
      </w:r>
      <w:r>
        <w:fldChar w:fldCharType="separate"/>
      </w:r>
      <w:r>
        <w:t>8</w:t>
      </w:r>
      <w:r>
        <w:fldChar w:fldCharType="end"/>
      </w:r>
      <w:r>
        <w:fldChar w:fldCharType="end"/>
      </w:r>
    </w:p>
    <w:p>
      <w:pPr>
        <w:pStyle w:val="17"/>
        <w:tabs>
          <w:tab w:val="right" w:leader="dot" w:pos="9174"/>
        </w:tabs>
        <w:rPr>
          <w:rStyle w:val="29"/>
          <w:sz w:val="28"/>
          <w:szCs w:val="28"/>
        </w:rPr>
      </w:pPr>
      <w:r>
        <w:fldChar w:fldCharType="begin"/>
      </w:r>
      <w:r>
        <w:instrText xml:space="preserve"> HYPERLINK \l "_Toc523396077" </w:instrText>
      </w:r>
      <w:r>
        <w:fldChar w:fldCharType="separate"/>
      </w:r>
      <w:r>
        <w:rPr>
          <w:rStyle w:val="29"/>
          <w:rFonts w:hint="eastAsia"/>
          <w:b/>
          <w:sz w:val="28"/>
          <w:szCs w:val="28"/>
        </w:rPr>
        <w:t>二、企业安全生产基本情况</w:t>
      </w:r>
      <w:r>
        <w:rPr>
          <w:rStyle w:val="29"/>
          <w:sz w:val="28"/>
          <w:szCs w:val="28"/>
        </w:rPr>
        <w:tab/>
      </w:r>
      <w:r>
        <w:rPr>
          <w:rStyle w:val="29"/>
          <w:sz w:val="28"/>
          <w:szCs w:val="28"/>
        </w:rPr>
        <w:fldChar w:fldCharType="begin"/>
      </w:r>
      <w:r>
        <w:rPr>
          <w:rStyle w:val="29"/>
          <w:sz w:val="28"/>
          <w:szCs w:val="28"/>
        </w:rPr>
        <w:instrText xml:space="preserve"> PAGEREF _Toc523396077 \h </w:instrText>
      </w:r>
      <w:r>
        <w:rPr>
          <w:rStyle w:val="29"/>
          <w:sz w:val="28"/>
          <w:szCs w:val="28"/>
        </w:rPr>
        <w:fldChar w:fldCharType="separate"/>
      </w:r>
      <w:r>
        <w:rPr>
          <w:rStyle w:val="29"/>
          <w:sz w:val="28"/>
          <w:szCs w:val="28"/>
        </w:rPr>
        <w:t>10</w:t>
      </w:r>
      <w:r>
        <w:rPr>
          <w:rStyle w:val="29"/>
          <w:sz w:val="28"/>
          <w:szCs w:val="28"/>
        </w:rPr>
        <w:fldChar w:fldCharType="end"/>
      </w:r>
      <w:r>
        <w:rPr>
          <w:rStyle w:val="29"/>
          <w:sz w:val="28"/>
          <w:szCs w:val="28"/>
        </w:rPr>
        <w:fldChar w:fldCharType="end"/>
      </w:r>
    </w:p>
    <w:p>
      <w:pPr>
        <w:pStyle w:val="19"/>
        <w:tabs>
          <w:tab w:val="right" w:leader="dot" w:pos="9174"/>
        </w:tabs>
        <w:rPr>
          <w:rFonts w:asciiTheme="minorHAnsi" w:hAnsiTheme="minorHAnsi" w:eastAsiaTheme="minorEastAsia" w:cstheme="minorBidi"/>
          <w:szCs w:val="22"/>
        </w:rPr>
      </w:pPr>
      <w:r>
        <w:fldChar w:fldCharType="begin"/>
      </w:r>
      <w:r>
        <w:instrText xml:space="preserve"> HYPERLINK \l "_Toc523396078" </w:instrText>
      </w:r>
      <w:r>
        <w:fldChar w:fldCharType="separate"/>
      </w:r>
      <w:r>
        <w:rPr>
          <w:rStyle w:val="29"/>
          <w:rFonts w:hint="eastAsia" w:ascii="宋体" w:hAnsi="宋体"/>
        </w:rPr>
        <w:t>（一）安全生产管理制度、操作规程的建立及落实情况</w:t>
      </w:r>
      <w:r>
        <w:tab/>
      </w:r>
      <w:r>
        <w:fldChar w:fldCharType="begin"/>
      </w:r>
      <w:r>
        <w:instrText xml:space="preserve"> PAGEREF _Toc523396078 \h </w:instrText>
      </w:r>
      <w:r>
        <w:fldChar w:fldCharType="separate"/>
      </w:r>
      <w:r>
        <w:t>10</w:t>
      </w:r>
      <w:r>
        <w:fldChar w:fldCharType="end"/>
      </w:r>
      <w:r>
        <w:fldChar w:fldCharType="end"/>
      </w:r>
    </w:p>
    <w:p>
      <w:pPr>
        <w:pStyle w:val="19"/>
        <w:tabs>
          <w:tab w:val="right" w:leader="dot" w:pos="9174"/>
        </w:tabs>
        <w:rPr>
          <w:rFonts w:asciiTheme="minorHAnsi" w:hAnsiTheme="minorHAnsi" w:eastAsiaTheme="minorEastAsia" w:cstheme="minorBidi"/>
          <w:szCs w:val="22"/>
        </w:rPr>
      </w:pPr>
      <w:r>
        <w:fldChar w:fldCharType="begin"/>
      </w:r>
      <w:r>
        <w:instrText xml:space="preserve"> HYPERLINK \l "_Toc523396137" </w:instrText>
      </w:r>
      <w:r>
        <w:fldChar w:fldCharType="separate"/>
      </w:r>
      <w:r>
        <w:rPr>
          <w:rStyle w:val="29"/>
          <w:rFonts w:hint="eastAsia" w:ascii="宋体" w:hAnsi="宋体"/>
        </w:rPr>
        <w:t>（二）安全生产责任制落实及考核、奖惩情况</w:t>
      </w:r>
      <w:r>
        <w:tab/>
      </w:r>
      <w:r>
        <w:fldChar w:fldCharType="begin"/>
      </w:r>
      <w:r>
        <w:instrText xml:space="preserve"> PAGEREF _Toc523396137 \h </w:instrText>
      </w:r>
      <w:r>
        <w:fldChar w:fldCharType="separate"/>
      </w:r>
      <w:r>
        <w:t>12</w:t>
      </w:r>
      <w:r>
        <w:fldChar w:fldCharType="end"/>
      </w:r>
      <w:r>
        <w:fldChar w:fldCharType="end"/>
      </w:r>
    </w:p>
    <w:p>
      <w:pPr>
        <w:pStyle w:val="19"/>
        <w:tabs>
          <w:tab w:val="right" w:leader="dot" w:pos="9174"/>
        </w:tabs>
        <w:rPr>
          <w:rFonts w:asciiTheme="minorHAnsi" w:hAnsiTheme="minorHAnsi" w:eastAsiaTheme="minorEastAsia" w:cstheme="minorBidi"/>
          <w:szCs w:val="22"/>
        </w:rPr>
      </w:pPr>
      <w:r>
        <w:fldChar w:fldCharType="begin"/>
      </w:r>
      <w:r>
        <w:instrText xml:space="preserve"> HYPERLINK \l "_Toc523396139" </w:instrText>
      </w:r>
      <w:r>
        <w:fldChar w:fldCharType="separate"/>
      </w:r>
      <w:r>
        <w:rPr>
          <w:rStyle w:val="29"/>
          <w:rFonts w:hint="eastAsia" w:ascii="宋体" w:hAnsi="宋体"/>
        </w:rPr>
        <w:t>（三）安全生产教育培训的组织及效果评估情况</w:t>
      </w:r>
      <w:r>
        <w:tab/>
      </w:r>
      <w:r>
        <w:fldChar w:fldCharType="begin"/>
      </w:r>
      <w:r>
        <w:instrText xml:space="preserve"> PAGEREF _Toc523396139 \h </w:instrText>
      </w:r>
      <w:r>
        <w:fldChar w:fldCharType="separate"/>
      </w:r>
      <w:r>
        <w:t>12</w:t>
      </w:r>
      <w:r>
        <w:fldChar w:fldCharType="end"/>
      </w:r>
      <w:r>
        <w:fldChar w:fldCharType="end"/>
      </w:r>
    </w:p>
    <w:p>
      <w:pPr>
        <w:pStyle w:val="19"/>
        <w:tabs>
          <w:tab w:val="right" w:leader="dot" w:pos="9174"/>
        </w:tabs>
        <w:rPr>
          <w:rFonts w:asciiTheme="minorHAnsi" w:hAnsiTheme="minorHAnsi" w:eastAsiaTheme="minorEastAsia" w:cstheme="minorBidi"/>
          <w:szCs w:val="22"/>
        </w:rPr>
      </w:pPr>
      <w:r>
        <w:fldChar w:fldCharType="begin"/>
      </w:r>
      <w:r>
        <w:instrText xml:space="preserve"> HYPERLINK \l "_Toc523396140" </w:instrText>
      </w:r>
      <w:r>
        <w:fldChar w:fldCharType="separate"/>
      </w:r>
      <w:r>
        <w:rPr>
          <w:rStyle w:val="29"/>
          <w:rFonts w:hint="eastAsia" w:ascii="宋体" w:hAnsi="宋体"/>
        </w:rPr>
        <w:t>（四）安全生产费用提取与使用情况</w:t>
      </w:r>
      <w:r>
        <w:tab/>
      </w:r>
      <w:r>
        <w:fldChar w:fldCharType="begin"/>
      </w:r>
      <w:r>
        <w:instrText xml:space="preserve"> PAGEREF _Toc523396140 \h </w:instrText>
      </w:r>
      <w:r>
        <w:fldChar w:fldCharType="separate"/>
      </w:r>
      <w:r>
        <w:t>13</w:t>
      </w:r>
      <w:r>
        <w:fldChar w:fldCharType="end"/>
      </w:r>
      <w:r>
        <w:fldChar w:fldCharType="end"/>
      </w:r>
    </w:p>
    <w:p>
      <w:pPr>
        <w:pStyle w:val="19"/>
        <w:tabs>
          <w:tab w:val="right" w:leader="dot" w:pos="9174"/>
        </w:tabs>
        <w:rPr>
          <w:rFonts w:asciiTheme="minorHAnsi" w:hAnsiTheme="minorHAnsi" w:eastAsiaTheme="minorEastAsia" w:cstheme="minorBidi"/>
          <w:szCs w:val="22"/>
        </w:rPr>
      </w:pPr>
      <w:r>
        <w:fldChar w:fldCharType="begin"/>
      </w:r>
      <w:r>
        <w:instrText xml:space="preserve"> HYPERLINK \l "_Toc523396141" </w:instrText>
      </w:r>
      <w:r>
        <w:fldChar w:fldCharType="separate"/>
      </w:r>
      <w:r>
        <w:rPr>
          <w:rStyle w:val="29"/>
          <w:rFonts w:hint="eastAsia" w:ascii="宋体" w:hAnsi="宋体"/>
        </w:rPr>
        <w:t>（五）重点部位或重要危险源、重大危险源、职业危害辨识和控制情况</w:t>
      </w:r>
      <w:r>
        <w:tab/>
      </w:r>
      <w:r>
        <w:fldChar w:fldCharType="begin"/>
      </w:r>
      <w:r>
        <w:instrText xml:space="preserve"> PAGEREF _Toc523396141 \h </w:instrText>
      </w:r>
      <w:r>
        <w:fldChar w:fldCharType="separate"/>
      </w:r>
      <w:r>
        <w:t>14</w:t>
      </w:r>
      <w:r>
        <w:fldChar w:fldCharType="end"/>
      </w:r>
      <w:r>
        <w:fldChar w:fldCharType="end"/>
      </w:r>
    </w:p>
    <w:p>
      <w:pPr>
        <w:pStyle w:val="19"/>
        <w:tabs>
          <w:tab w:val="right" w:leader="dot" w:pos="9174"/>
        </w:tabs>
        <w:rPr>
          <w:rFonts w:asciiTheme="minorHAnsi" w:hAnsiTheme="minorHAnsi" w:eastAsiaTheme="minorEastAsia" w:cstheme="minorBidi"/>
          <w:szCs w:val="22"/>
        </w:rPr>
      </w:pPr>
      <w:r>
        <w:fldChar w:fldCharType="begin"/>
      </w:r>
      <w:r>
        <w:instrText xml:space="preserve"> HYPERLINK \l "_Toc523396142" </w:instrText>
      </w:r>
      <w:r>
        <w:fldChar w:fldCharType="separate"/>
      </w:r>
      <w:r>
        <w:rPr>
          <w:rStyle w:val="29"/>
          <w:rFonts w:hint="eastAsia" w:ascii="宋体" w:hAnsi="宋体"/>
        </w:rPr>
        <w:t>（六）安全生产隐患排查治理“两化”系统使用及效果情况</w:t>
      </w:r>
      <w:r>
        <w:tab/>
      </w:r>
      <w:r>
        <w:fldChar w:fldCharType="begin"/>
      </w:r>
      <w:r>
        <w:instrText xml:space="preserve"> PAGEREF _Toc523396142 \h </w:instrText>
      </w:r>
      <w:r>
        <w:fldChar w:fldCharType="separate"/>
      </w:r>
      <w:r>
        <w:t>15</w:t>
      </w:r>
      <w:r>
        <w:fldChar w:fldCharType="end"/>
      </w:r>
      <w:r>
        <w:fldChar w:fldCharType="end"/>
      </w:r>
    </w:p>
    <w:p>
      <w:pPr>
        <w:pStyle w:val="19"/>
        <w:tabs>
          <w:tab w:val="right" w:leader="dot" w:pos="9174"/>
        </w:tabs>
        <w:rPr>
          <w:rFonts w:asciiTheme="minorHAnsi" w:hAnsiTheme="minorHAnsi" w:eastAsiaTheme="minorEastAsia" w:cstheme="minorBidi"/>
          <w:szCs w:val="22"/>
        </w:rPr>
      </w:pPr>
      <w:r>
        <w:fldChar w:fldCharType="begin"/>
      </w:r>
      <w:r>
        <w:instrText xml:space="preserve"> HYPERLINK \l "_Toc523396143" </w:instrText>
      </w:r>
      <w:r>
        <w:fldChar w:fldCharType="separate"/>
      </w:r>
      <w:r>
        <w:rPr>
          <w:rStyle w:val="29"/>
          <w:rFonts w:hint="eastAsia" w:ascii="宋体" w:hAnsi="宋体"/>
        </w:rPr>
        <w:t>（七）安全生产责任险缴纳情况</w:t>
      </w:r>
      <w:r>
        <w:tab/>
      </w:r>
      <w:r>
        <w:fldChar w:fldCharType="begin"/>
      </w:r>
      <w:r>
        <w:instrText xml:space="preserve"> PAGEREF _Toc523396143 \h </w:instrText>
      </w:r>
      <w:r>
        <w:fldChar w:fldCharType="separate"/>
      </w:r>
      <w:r>
        <w:t>16</w:t>
      </w:r>
      <w:r>
        <w:fldChar w:fldCharType="end"/>
      </w:r>
      <w:r>
        <w:fldChar w:fldCharType="end"/>
      </w:r>
    </w:p>
    <w:p>
      <w:pPr>
        <w:pStyle w:val="19"/>
        <w:tabs>
          <w:tab w:val="right" w:leader="dot" w:pos="9174"/>
        </w:tabs>
        <w:rPr>
          <w:rFonts w:asciiTheme="minorHAnsi" w:hAnsiTheme="minorHAnsi" w:eastAsiaTheme="minorEastAsia" w:cstheme="minorBidi"/>
          <w:szCs w:val="22"/>
        </w:rPr>
      </w:pPr>
      <w:r>
        <w:fldChar w:fldCharType="begin"/>
      </w:r>
      <w:r>
        <w:instrText xml:space="preserve"> HYPERLINK \l "_Toc523396144" </w:instrText>
      </w:r>
      <w:r>
        <w:fldChar w:fldCharType="separate"/>
      </w:r>
      <w:r>
        <w:rPr>
          <w:rStyle w:val="29"/>
          <w:rFonts w:hint="eastAsia" w:ascii="宋体" w:hAnsi="宋体"/>
        </w:rPr>
        <w:t>（八）应急管理情况</w:t>
      </w:r>
      <w:r>
        <w:tab/>
      </w:r>
      <w:r>
        <w:fldChar w:fldCharType="begin"/>
      </w:r>
      <w:r>
        <w:instrText xml:space="preserve"> PAGEREF _Toc523396144 \h </w:instrText>
      </w:r>
      <w:r>
        <w:fldChar w:fldCharType="separate"/>
      </w:r>
      <w:r>
        <w:t>16</w:t>
      </w:r>
      <w:r>
        <w:fldChar w:fldCharType="end"/>
      </w:r>
      <w:r>
        <w:fldChar w:fldCharType="end"/>
      </w:r>
    </w:p>
    <w:p>
      <w:pPr>
        <w:pStyle w:val="17"/>
        <w:tabs>
          <w:tab w:val="right" w:leader="dot" w:pos="9174"/>
        </w:tabs>
        <w:rPr>
          <w:rStyle w:val="29"/>
          <w:b/>
          <w:sz w:val="28"/>
          <w:szCs w:val="28"/>
        </w:rPr>
      </w:pPr>
      <w:r>
        <w:fldChar w:fldCharType="begin"/>
      </w:r>
      <w:r>
        <w:instrText xml:space="preserve"> HYPERLINK \l "_Toc523396145" </w:instrText>
      </w:r>
      <w:r>
        <w:fldChar w:fldCharType="separate"/>
      </w:r>
      <w:r>
        <w:rPr>
          <w:rStyle w:val="29"/>
          <w:rFonts w:hint="eastAsia"/>
          <w:b/>
          <w:sz w:val="28"/>
          <w:szCs w:val="28"/>
        </w:rPr>
        <w:t>三、 自评标准的适应性分析情况</w:t>
      </w:r>
      <w:r>
        <w:rPr>
          <w:rStyle w:val="29"/>
          <w:b/>
          <w:sz w:val="28"/>
          <w:szCs w:val="28"/>
        </w:rPr>
        <w:tab/>
      </w:r>
      <w:r>
        <w:rPr>
          <w:rStyle w:val="29"/>
          <w:b/>
          <w:sz w:val="28"/>
          <w:szCs w:val="28"/>
        </w:rPr>
        <w:fldChar w:fldCharType="begin"/>
      </w:r>
      <w:r>
        <w:rPr>
          <w:rStyle w:val="29"/>
          <w:b/>
          <w:sz w:val="28"/>
          <w:szCs w:val="28"/>
        </w:rPr>
        <w:instrText xml:space="preserve"> PAGEREF _Toc523396145 \h </w:instrText>
      </w:r>
      <w:r>
        <w:rPr>
          <w:rStyle w:val="29"/>
          <w:b/>
          <w:sz w:val="28"/>
          <w:szCs w:val="28"/>
        </w:rPr>
        <w:fldChar w:fldCharType="separate"/>
      </w:r>
      <w:r>
        <w:rPr>
          <w:rStyle w:val="29"/>
          <w:b/>
          <w:sz w:val="28"/>
          <w:szCs w:val="28"/>
        </w:rPr>
        <w:t>18</w:t>
      </w:r>
      <w:r>
        <w:rPr>
          <w:rStyle w:val="29"/>
          <w:b/>
          <w:sz w:val="28"/>
          <w:szCs w:val="28"/>
        </w:rPr>
        <w:fldChar w:fldCharType="end"/>
      </w:r>
      <w:r>
        <w:rPr>
          <w:rStyle w:val="29"/>
          <w:b/>
          <w:sz w:val="28"/>
          <w:szCs w:val="28"/>
        </w:rPr>
        <w:fldChar w:fldCharType="end"/>
      </w:r>
    </w:p>
    <w:p>
      <w:pPr>
        <w:pStyle w:val="17"/>
        <w:tabs>
          <w:tab w:val="right" w:leader="dot" w:pos="9174"/>
        </w:tabs>
        <w:rPr>
          <w:rStyle w:val="29"/>
          <w:b/>
          <w:sz w:val="28"/>
          <w:szCs w:val="28"/>
        </w:rPr>
      </w:pPr>
      <w:r>
        <w:fldChar w:fldCharType="begin"/>
      </w:r>
      <w:r>
        <w:instrText xml:space="preserve"> HYPERLINK \l "_Toc523396146" </w:instrText>
      </w:r>
      <w:r>
        <w:fldChar w:fldCharType="separate"/>
      </w:r>
      <w:r>
        <w:rPr>
          <w:rStyle w:val="29"/>
          <w:rFonts w:hint="eastAsia"/>
          <w:b/>
          <w:sz w:val="28"/>
          <w:szCs w:val="28"/>
        </w:rPr>
        <w:t>四、自评程序及方法</w:t>
      </w:r>
      <w:r>
        <w:rPr>
          <w:rStyle w:val="29"/>
          <w:b/>
          <w:sz w:val="28"/>
          <w:szCs w:val="28"/>
        </w:rPr>
        <w:tab/>
      </w:r>
      <w:r>
        <w:rPr>
          <w:rStyle w:val="29"/>
          <w:b/>
          <w:sz w:val="28"/>
          <w:szCs w:val="28"/>
        </w:rPr>
        <w:fldChar w:fldCharType="begin"/>
      </w:r>
      <w:r>
        <w:rPr>
          <w:rStyle w:val="29"/>
          <w:b/>
          <w:sz w:val="28"/>
          <w:szCs w:val="28"/>
        </w:rPr>
        <w:instrText xml:space="preserve"> PAGEREF _Toc523396146 \h </w:instrText>
      </w:r>
      <w:r>
        <w:rPr>
          <w:rStyle w:val="29"/>
          <w:b/>
          <w:sz w:val="28"/>
          <w:szCs w:val="28"/>
        </w:rPr>
        <w:fldChar w:fldCharType="separate"/>
      </w:r>
      <w:r>
        <w:rPr>
          <w:rStyle w:val="29"/>
          <w:b/>
          <w:sz w:val="28"/>
          <w:szCs w:val="28"/>
        </w:rPr>
        <w:t>18</w:t>
      </w:r>
      <w:r>
        <w:rPr>
          <w:rStyle w:val="29"/>
          <w:b/>
          <w:sz w:val="28"/>
          <w:szCs w:val="28"/>
        </w:rPr>
        <w:fldChar w:fldCharType="end"/>
      </w:r>
      <w:r>
        <w:rPr>
          <w:rStyle w:val="29"/>
          <w:b/>
          <w:sz w:val="28"/>
          <w:szCs w:val="28"/>
        </w:rPr>
        <w:fldChar w:fldCharType="end"/>
      </w:r>
    </w:p>
    <w:p>
      <w:pPr>
        <w:pStyle w:val="19"/>
        <w:tabs>
          <w:tab w:val="right" w:leader="dot" w:pos="9174"/>
        </w:tabs>
        <w:rPr>
          <w:rFonts w:asciiTheme="minorHAnsi" w:hAnsiTheme="minorHAnsi" w:eastAsiaTheme="minorEastAsia" w:cstheme="minorBidi"/>
          <w:szCs w:val="22"/>
        </w:rPr>
      </w:pPr>
      <w:r>
        <w:fldChar w:fldCharType="begin"/>
      </w:r>
      <w:r>
        <w:instrText xml:space="preserve"> HYPERLINK \l "_Toc523396147" </w:instrText>
      </w:r>
      <w:r>
        <w:fldChar w:fldCharType="separate"/>
      </w:r>
      <w:r>
        <w:rPr>
          <w:rStyle w:val="29"/>
          <w:rFonts w:hint="eastAsia" w:ascii="宋体" w:hAnsi="宋体"/>
        </w:rPr>
        <w:t>（一）自评范围</w:t>
      </w:r>
      <w:r>
        <w:tab/>
      </w:r>
      <w:r>
        <w:fldChar w:fldCharType="begin"/>
      </w:r>
      <w:r>
        <w:instrText xml:space="preserve"> PAGEREF _Toc523396147 \h </w:instrText>
      </w:r>
      <w:r>
        <w:fldChar w:fldCharType="separate"/>
      </w:r>
      <w:r>
        <w:t>18</w:t>
      </w:r>
      <w:r>
        <w:fldChar w:fldCharType="end"/>
      </w:r>
      <w:r>
        <w:fldChar w:fldCharType="end"/>
      </w:r>
    </w:p>
    <w:p>
      <w:pPr>
        <w:pStyle w:val="19"/>
        <w:tabs>
          <w:tab w:val="right" w:leader="dot" w:pos="9174"/>
        </w:tabs>
        <w:rPr>
          <w:rFonts w:asciiTheme="minorHAnsi" w:hAnsiTheme="minorHAnsi" w:eastAsiaTheme="minorEastAsia" w:cstheme="minorBidi"/>
          <w:szCs w:val="22"/>
        </w:rPr>
      </w:pPr>
      <w:r>
        <w:fldChar w:fldCharType="begin"/>
      </w:r>
      <w:r>
        <w:instrText xml:space="preserve"> HYPERLINK \l "_Toc523396149" </w:instrText>
      </w:r>
      <w:r>
        <w:fldChar w:fldCharType="separate"/>
      </w:r>
      <w:r>
        <w:rPr>
          <w:rStyle w:val="29"/>
          <w:rFonts w:hint="eastAsia" w:ascii="宋体" w:hAnsi="宋体"/>
        </w:rPr>
        <w:t>（二）自评依据</w:t>
      </w:r>
      <w:r>
        <w:tab/>
      </w:r>
      <w:r>
        <w:fldChar w:fldCharType="begin"/>
      </w:r>
      <w:r>
        <w:instrText xml:space="preserve"> PAGEREF _Toc523396149 \h </w:instrText>
      </w:r>
      <w:r>
        <w:fldChar w:fldCharType="separate"/>
      </w:r>
      <w:r>
        <w:t>18</w:t>
      </w:r>
      <w:r>
        <w:fldChar w:fldCharType="end"/>
      </w:r>
      <w:r>
        <w:fldChar w:fldCharType="end"/>
      </w:r>
    </w:p>
    <w:p>
      <w:pPr>
        <w:pStyle w:val="19"/>
        <w:tabs>
          <w:tab w:val="right" w:leader="dot" w:pos="9174"/>
        </w:tabs>
        <w:rPr>
          <w:rFonts w:asciiTheme="minorHAnsi" w:hAnsiTheme="minorHAnsi" w:eastAsiaTheme="minorEastAsia" w:cstheme="minorBidi"/>
          <w:szCs w:val="22"/>
        </w:rPr>
      </w:pPr>
      <w:r>
        <w:fldChar w:fldCharType="begin"/>
      </w:r>
      <w:r>
        <w:instrText xml:space="preserve"> HYPERLINK \l "_Toc523396150" </w:instrText>
      </w:r>
      <w:r>
        <w:fldChar w:fldCharType="separate"/>
      </w:r>
      <w:r>
        <w:rPr>
          <w:rStyle w:val="29"/>
          <w:rFonts w:hint="eastAsia" w:ascii="宋体" w:hAnsi="宋体"/>
        </w:rPr>
        <w:t>（三）自评方法</w:t>
      </w:r>
      <w:r>
        <w:tab/>
      </w:r>
      <w:r>
        <w:fldChar w:fldCharType="begin"/>
      </w:r>
      <w:r>
        <w:instrText xml:space="preserve"> PAGEREF _Toc523396150 \h </w:instrText>
      </w:r>
      <w:r>
        <w:fldChar w:fldCharType="separate"/>
      </w:r>
      <w:r>
        <w:t>19</w:t>
      </w:r>
      <w:r>
        <w:fldChar w:fldCharType="end"/>
      </w:r>
      <w:r>
        <w:fldChar w:fldCharType="end"/>
      </w:r>
    </w:p>
    <w:p>
      <w:pPr>
        <w:pStyle w:val="19"/>
        <w:tabs>
          <w:tab w:val="right" w:leader="dot" w:pos="9174"/>
        </w:tabs>
        <w:rPr>
          <w:rFonts w:asciiTheme="minorHAnsi" w:hAnsiTheme="minorHAnsi" w:eastAsiaTheme="minorEastAsia" w:cstheme="minorBidi"/>
          <w:szCs w:val="22"/>
        </w:rPr>
      </w:pPr>
      <w:r>
        <w:fldChar w:fldCharType="begin"/>
      </w:r>
      <w:r>
        <w:instrText xml:space="preserve"> HYPERLINK \l "_Toc523396151" </w:instrText>
      </w:r>
      <w:r>
        <w:fldChar w:fldCharType="separate"/>
      </w:r>
      <w:r>
        <w:rPr>
          <w:rStyle w:val="29"/>
          <w:rFonts w:hint="eastAsia" w:ascii="宋体" w:hAnsi="宋体"/>
        </w:rPr>
        <w:t>（四）自评程序</w:t>
      </w:r>
      <w:r>
        <w:tab/>
      </w:r>
      <w:r>
        <w:fldChar w:fldCharType="begin"/>
      </w:r>
      <w:r>
        <w:instrText xml:space="preserve"> PAGEREF _Toc523396151 \h </w:instrText>
      </w:r>
      <w:r>
        <w:fldChar w:fldCharType="separate"/>
      </w:r>
      <w:r>
        <w:t>20</w:t>
      </w:r>
      <w:r>
        <w:fldChar w:fldCharType="end"/>
      </w:r>
      <w:r>
        <w:fldChar w:fldCharType="end"/>
      </w:r>
    </w:p>
    <w:p>
      <w:pPr>
        <w:pStyle w:val="19"/>
        <w:tabs>
          <w:tab w:val="right" w:leader="dot" w:pos="9174"/>
        </w:tabs>
        <w:rPr>
          <w:rFonts w:asciiTheme="minorHAnsi" w:hAnsiTheme="minorHAnsi" w:eastAsiaTheme="minorEastAsia" w:cstheme="minorBidi"/>
          <w:szCs w:val="22"/>
        </w:rPr>
      </w:pPr>
      <w:r>
        <w:fldChar w:fldCharType="begin"/>
      </w:r>
      <w:r>
        <w:instrText xml:space="preserve"> HYPERLINK \l "_Toc523396153" </w:instrText>
      </w:r>
      <w:r>
        <w:fldChar w:fldCharType="separate"/>
      </w:r>
      <w:r>
        <w:rPr>
          <w:rStyle w:val="29"/>
          <w:rFonts w:hint="eastAsia" w:ascii="宋体" w:hAnsi="宋体"/>
        </w:rPr>
        <w:t>（五）自评时间</w:t>
      </w:r>
      <w:r>
        <w:tab/>
      </w:r>
      <w:r>
        <w:fldChar w:fldCharType="begin"/>
      </w:r>
      <w:r>
        <w:instrText xml:space="preserve"> PAGEREF _Toc523396153 \h </w:instrText>
      </w:r>
      <w:r>
        <w:fldChar w:fldCharType="separate"/>
      </w:r>
      <w:r>
        <w:t>20</w:t>
      </w:r>
      <w:r>
        <w:fldChar w:fldCharType="end"/>
      </w:r>
      <w:r>
        <w:fldChar w:fldCharType="end"/>
      </w:r>
    </w:p>
    <w:p>
      <w:pPr>
        <w:pStyle w:val="17"/>
        <w:tabs>
          <w:tab w:val="right" w:leader="dot" w:pos="9174"/>
        </w:tabs>
        <w:rPr>
          <w:rStyle w:val="29"/>
          <w:b/>
          <w:sz w:val="28"/>
          <w:szCs w:val="28"/>
        </w:rPr>
      </w:pPr>
      <w:r>
        <w:fldChar w:fldCharType="begin"/>
      </w:r>
      <w:r>
        <w:instrText xml:space="preserve"> HYPERLINK \l "_Toc523396154" </w:instrText>
      </w:r>
      <w:r>
        <w:fldChar w:fldCharType="separate"/>
      </w:r>
      <w:r>
        <w:rPr>
          <w:rStyle w:val="29"/>
          <w:rFonts w:hint="eastAsia"/>
          <w:b/>
          <w:sz w:val="28"/>
          <w:szCs w:val="28"/>
        </w:rPr>
        <w:t>五、要素评审</w:t>
      </w:r>
      <w:r>
        <w:rPr>
          <w:rStyle w:val="29"/>
          <w:b/>
          <w:sz w:val="28"/>
          <w:szCs w:val="28"/>
        </w:rPr>
        <w:tab/>
      </w:r>
      <w:r>
        <w:rPr>
          <w:rStyle w:val="29"/>
          <w:b/>
          <w:sz w:val="28"/>
          <w:szCs w:val="28"/>
        </w:rPr>
        <w:fldChar w:fldCharType="begin"/>
      </w:r>
      <w:r>
        <w:rPr>
          <w:rStyle w:val="29"/>
          <w:b/>
          <w:sz w:val="28"/>
          <w:szCs w:val="28"/>
        </w:rPr>
        <w:instrText xml:space="preserve"> PAGEREF _Toc523396154 \h </w:instrText>
      </w:r>
      <w:r>
        <w:rPr>
          <w:rStyle w:val="29"/>
          <w:b/>
          <w:sz w:val="28"/>
          <w:szCs w:val="28"/>
        </w:rPr>
        <w:fldChar w:fldCharType="separate"/>
      </w:r>
      <w:r>
        <w:rPr>
          <w:rStyle w:val="29"/>
          <w:b/>
          <w:sz w:val="28"/>
          <w:szCs w:val="28"/>
        </w:rPr>
        <w:t>20</w:t>
      </w:r>
      <w:r>
        <w:rPr>
          <w:rStyle w:val="29"/>
          <w:b/>
          <w:sz w:val="28"/>
          <w:szCs w:val="28"/>
        </w:rPr>
        <w:fldChar w:fldCharType="end"/>
      </w:r>
      <w:r>
        <w:rPr>
          <w:rStyle w:val="29"/>
          <w:b/>
          <w:sz w:val="28"/>
          <w:szCs w:val="28"/>
        </w:rPr>
        <w:fldChar w:fldCharType="end"/>
      </w:r>
    </w:p>
    <w:p>
      <w:pPr>
        <w:pStyle w:val="19"/>
        <w:tabs>
          <w:tab w:val="right" w:leader="dot" w:pos="9174"/>
        </w:tabs>
        <w:rPr>
          <w:rFonts w:asciiTheme="minorHAnsi" w:hAnsiTheme="minorHAnsi" w:eastAsiaTheme="minorEastAsia" w:cstheme="minorBidi"/>
          <w:szCs w:val="22"/>
        </w:rPr>
      </w:pPr>
      <w:r>
        <w:fldChar w:fldCharType="begin"/>
      </w:r>
      <w:r>
        <w:instrText xml:space="preserve"> HYPERLINK \l "_Toc523396155" </w:instrText>
      </w:r>
      <w:r>
        <w:fldChar w:fldCharType="separate"/>
      </w:r>
      <w:r>
        <w:rPr>
          <w:rStyle w:val="29"/>
          <w:rFonts w:hint="eastAsia" w:ascii="宋体" w:hAnsi="宋体"/>
        </w:rPr>
        <w:t>（一） 评审要素落实情况及运行效果</w:t>
      </w:r>
      <w:r>
        <w:tab/>
      </w:r>
      <w:r>
        <w:fldChar w:fldCharType="begin"/>
      </w:r>
      <w:r>
        <w:instrText xml:space="preserve"> PAGEREF _Toc523396155 \h </w:instrText>
      </w:r>
      <w:r>
        <w:fldChar w:fldCharType="separate"/>
      </w:r>
      <w:r>
        <w:t>20</w:t>
      </w:r>
      <w:r>
        <w:fldChar w:fldCharType="end"/>
      </w:r>
      <w:r>
        <w:fldChar w:fldCharType="end"/>
      </w:r>
    </w:p>
    <w:p>
      <w:pPr>
        <w:pStyle w:val="19"/>
        <w:tabs>
          <w:tab w:val="right" w:leader="dot" w:pos="9174"/>
        </w:tabs>
        <w:rPr>
          <w:rStyle w:val="29"/>
        </w:rPr>
      </w:pPr>
      <w:r>
        <w:fldChar w:fldCharType="begin"/>
      </w:r>
      <w:r>
        <w:instrText xml:space="preserve"> HYPERLINK \l "_Toc523396156" </w:instrText>
      </w:r>
      <w:r>
        <w:fldChar w:fldCharType="separate"/>
      </w:r>
      <w:r>
        <w:rPr>
          <w:rStyle w:val="29"/>
          <w:rFonts w:hint="eastAsia"/>
        </w:rPr>
        <w:t>（二）要素运行情况及效果按</w:t>
      </w:r>
      <w:r>
        <w:rPr>
          <w:rStyle w:val="29"/>
        </w:rPr>
        <w:t>PDCA</w:t>
      </w:r>
      <w:r>
        <w:rPr>
          <w:rStyle w:val="29"/>
          <w:rFonts w:hint="eastAsia"/>
        </w:rPr>
        <w:t>持续改进情况</w:t>
      </w:r>
      <w:r>
        <w:rPr>
          <w:rStyle w:val="29"/>
        </w:rPr>
        <w:tab/>
      </w:r>
      <w:r>
        <w:rPr>
          <w:rStyle w:val="29"/>
        </w:rPr>
        <w:fldChar w:fldCharType="begin"/>
      </w:r>
      <w:r>
        <w:rPr>
          <w:rStyle w:val="29"/>
        </w:rPr>
        <w:instrText xml:space="preserve"> PAGEREF _Toc523396156 \h </w:instrText>
      </w:r>
      <w:r>
        <w:rPr>
          <w:rStyle w:val="29"/>
        </w:rPr>
        <w:fldChar w:fldCharType="separate"/>
      </w:r>
      <w:r>
        <w:rPr>
          <w:rStyle w:val="29"/>
        </w:rPr>
        <w:t>22</w:t>
      </w:r>
      <w:r>
        <w:rPr>
          <w:rStyle w:val="29"/>
        </w:rPr>
        <w:fldChar w:fldCharType="end"/>
      </w:r>
      <w:r>
        <w:rPr>
          <w:rStyle w:val="29"/>
        </w:rPr>
        <w:fldChar w:fldCharType="end"/>
      </w:r>
    </w:p>
    <w:p>
      <w:pPr>
        <w:pStyle w:val="17"/>
        <w:tabs>
          <w:tab w:val="right" w:leader="dot" w:pos="9174"/>
        </w:tabs>
        <w:rPr>
          <w:rStyle w:val="29"/>
          <w:b/>
          <w:sz w:val="28"/>
          <w:szCs w:val="28"/>
        </w:rPr>
      </w:pPr>
      <w:r>
        <w:fldChar w:fldCharType="begin"/>
      </w:r>
      <w:r>
        <w:instrText xml:space="preserve"> HYPERLINK \l "_Toc523396157" </w:instrText>
      </w:r>
      <w:r>
        <w:fldChar w:fldCharType="separate"/>
      </w:r>
      <w:r>
        <w:rPr>
          <w:rStyle w:val="29"/>
          <w:rFonts w:hint="eastAsia"/>
          <w:b/>
          <w:sz w:val="28"/>
          <w:szCs w:val="28"/>
        </w:rPr>
        <w:t>六、自评综述及评分表</w:t>
      </w:r>
      <w:r>
        <w:rPr>
          <w:rStyle w:val="29"/>
          <w:b/>
          <w:sz w:val="28"/>
          <w:szCs w:val="28"/>
        </w:rPr>
        <w:tab/>
      </w:r>
      <w:r>
        <w:rPr>
          <w:rStyle w:val="29"/>
          <w:b/>
          <w:sz w:val="28"/>
          <w:szCs w:val="28"/>
        </w:rPr>
        <w:fldChar w:fldCharType="begin"/>
      </w:r>
      <w:r>
        <w:rPr>
          <w:rStyle w:val="29"/>
          <w:b/>
          <w:sz w:val="28"/>
          <w:szCs w:val="28"/>
        </w:rPr>
        <w:instrText xml:space="preserve"> PAGEREF _Toc523396157 \h </w:instrText>
      </w:r>
      <w:r>
        <w:rPr>
          <w:rStyle w:val="29"/>
          <w:b/>
          <w:sz w:val="28"/>
          <w:szCs w:val="28"/>
        </w:rPr>
        <w:fldChar w:fldCharType="separate"/>
      </w:r>
      <w:r>
        <w:rPr>
          <w:rStyle w:val="29"/>
          <w:b/>
          <w:sz w:val="28"/>
          <w:szCs w:val="28"/>
        </w:rPr>
        <w:t>25</w:t>
      </w:r>
      <w:r>
        <w:rPr>
          <w:rStyle w:val="29"/>
          <w:b/>
          <w:sz w:val="28"/>
          <w:szCs w:val="28"/>
        </w:rPr>
        <w:fldChar w:fldCharType="end"/>
      </w:r>
      <w:r>
        <w:rPr>
          <w:rStyle w:val="29"/>
          <w:b/>
          <w:sz w:val="28"/>
          <w:szCs w:val="28"/>
        </w:rPr>
        <w:fldChar w:fldCharType="end"/>
      </w:r>
    </w:p>
    <w:p>
      <w:pPr>
        <w:pStyle w:val="17"/>
        <w:tabs>
          <w:tab w:val="right" w:leader="dot" w:pos="9174"/>
        </w:tabs>
        <w:rPr>
          <w:rStyle w:val="29"/>
          <w:b/>
          <w:sz w:val="28"/>
          <w:szCs w:val="28"/>
        </w:rPr>
      </w:pPr>
      <w:r>
        <w:fldChar w:fldCharType="begin"/>
      </w:r>
      <w:r>
        <w:instrText xml:space="preserve"> HYPERLINK \l "_Toc523396159" </w:instrText>
      </w:r>
      <w:r>
        <w:fldChar w:fldCharType="separate"/>
      </w:r>
      <w:r>
        <w:rPr>
          <w:rStyle w:val="29"/>
          <w:rFonts w:hint="eastAsia"/>
          <w:b/>
          <w:sz w:val="28"/>
          <w:szCs w:val="28"/>
        </w:rPr>
        <w:t>七、整改及核查</w:t>
      </w:r>
      <w:r>
        <w:rPr>
          <w:rStyle w:val="29"/>
          <w:b/>
          <w:sz w:val="28"/>
          <w:szCs w:val="28"/>
        </w:rPr>
        <w:tab/>
      </w:r>
      <w:r>
        <w:rPr>
          <w:rStyle w:val="29"/>
          <w:rFonts w:hint="eastAsia"/>
          <w:b/>
          <w:sz w:val="28"/>
          <w:szCs w:val="28"/>
        </w:rPr>
        <w:t>2</w:t>
      </w:r>
      <w:r>
        <w:rPr>
          <w:rStyle w:val="29"/>
          <w:rFonts w:hint="eastAsia"/>
          <w:b/>
          <w:sz w:val="28"/>
          <w:szCs w:val="28"/>
        </w:rPr>
        <w:fldChar w:fldCharType="end"/>
      </w:r>
      <w:r>
        <w:rPr>
          <w:rStyle w:val="29"/>
          <w:rFonts w:hint="eastAsia"/>
          <w:b/>
          <w:sz w:val="28"/>
          <w:szCs w:val="28"/>
        </w:rPr>
        <w:t>7</w:t>
      </w:r>
    </w:p>
    <w:p>
      <w:pPr>
        <w:pStyle w:val="17"/>
        <w:tabs>
          <w:tab w:val="right" w:leader="dot" w:pos="9174"/>
        </w:tabs>
        <w:rPr>
          <w:rStyle w:val="29"/>
          <w:b/>
          <w:sz w:val="28"/>
          <w:szCs w:val="28"/>
        </w:rPr>
      </w:pPr>
      <w:r>
        <w:fldChar w:fldCharType="begin"/>
      </w:r>
      <w:r>
        <w:instrText xml:space="preserve"> HYPERLINK \l "_Toc523396160" </w:instrText>
      </w:r>
      <w:r>
        <w:fldChar w:fldCharType="separate"/>
      </w:r>
      <w:r>
        <w:rPr>
          <w:rStyle w:val="29"/>
          <w:rFonts w:hint="eastAsia"/>
          <w:b/>
          <w:sz w:val="28"/>
          <w:szCs w:val="28"/>
        </w:rPr>
        <w:t>八、自评结论</w:t>
      </w:r>
      <w:r>
        <w:rPr>
          <w:rStyle w:val="29"/>
          <w:b/>
          <w:sz w:val="28"/>
          <w:szCs w:val="28"/>
        </w:rPr>
        <w:tab/>
      </w:r>
      <w:r>
        <w:rPr>
          <w:rStyle w:val="29"/>
          <w:b/>
          <w:sz w:val="28"/>
          <w:szCs w:val="28"/>
        </w:rPr>
        <w:fldChar w:fldCharType="begin"/>
      </w:r>
      <w:r>
        <w:rPr>
          <w:rStyle w:val="29"/>
          <w:b/>
          <w:sz w:val="28"/>
          <w:szCs w:val="28"/>
        </w:rPr>
        <w:instrText xml:space="preserve"> PAGEREF _Toc523396160 \h </w:instrText>
      </w:r>
      <w:r>
        <w:rPr>
          <w:rStyle w:val="29"/>
          <w:b/>
          <w:sz w:val="28"/>
          <w:szCs w:val="28"/>
        </w:rPr>
        <w:fldChar w:fldCharType="separate"/>
      </w:r>
      <w:r>
        <w:rPr>
          <w:rStyle w:val="29"/>
          <w:b/>
          <w:sz w:val="28"/>
          <w:szCs w:val="28"/>
        </w:rPr>
        <w:t>26</w:t>
      </w:r>
      <w:r>
        <w:rPr>
          <w:rStyle w:val="29"/>
          <w:b/>
          <w:sz w:val="28"/>
          <w:szCs w:val="28"/>
        </w:rPr>
        <w:fldChar w:fldCharType="end"/>
      </w:r>
      <w:r>
        <w:rPr>
          <w:rStyle w:val="29"/>
          <w:b/>
          <w:sz w:val="28"/>
          <w:szCs w:val="28"/>
        </w:rPr>
        <w:fldChar w:fldCharType="end"/>
      </w:r>
    </w:p>
    <w:p>
      <w:pPr>
        <w:pStyle w:val="17"/>
        <w:tabs>
          <w:tab w:val="right" w:leader="dot" w:pos="9174"/>
        </w:tabs>
        <w:rPr>
          <w:rStyle w:val="29"/>
          <w:b/>
          <w:sz w:val="28"/>
          <w:szCs w:val="28"/>
        </w:rPr>
      </w:pPr>
      <w:r>
        <w:fldChar w:fldCharType="begin"/>
      </w:r>
      <w:r>
        <w:instrText xml:space="preserve"> HYPERLINK \l "_Toc523396161" </w:instrText>
      </w:r>
      <w:r>
        <w:fldChar w:fldCharType="separate"/>
      </w:r>
      <w:r>
        <w:rPr>
          <w:rStyle w:val="29"/>
          <w:rFonts w:hint="eastAsia"/>
          <w:b/>
          <w:sz w:val="28"/>
          <w:szCs w:val="28"/>
        </w:rPr>
        <w:t>九、附件</w:t>
      </w:r>
      <w:r>
        <w:rPr>
          <w:rStyle w:val="29"/>
          <w:b/>
          <w:sz w:val="28"/>
          <w:szCs w:val="28"/>
        </w:rPr>
        <w:tab/>
      </w:r>
      <w:r>
        <w:rPr>
          <w:rStyle w:val="29"/>
          <w:rFonts w:hint="eastAsia"/>
          <w:b/>
          <w:sz w:val="28"/>
          <w:szCs w:val="28"/>
        </w:rPr>
        <w:t>2</w:t>
      </w:r>
      <w:r>
        <w:rPr>
          <w:rStyle w:val="29"/>
          <w:rFonts w:hint="eastAsia"/>
          <w:b/>
          <w:sz w:val="28"/>
          <w:szCs w:val="28"/>
        </w:rPr>
        <w:fldChar w:fldCharType="end"/>
      </w:r>
      <w:r>
        <w:rPr>
          <w:rStyle w:val="29"/>
          <w:rFonts w:hint="eastAsia"/>
          <w:b/>
          <w:sz w:val="28"/>
          <w:szCs w:val="28"/>
        </w:rPr>
        <w:t>8</w:t>
      </w:r>
    </w:p>
    <w:p>
      <w:r>
        <w:fldChar w:fldCharType="end"/>
      </w:r>
    </w:p>
    <w:p>
      <w:pPr>
        <w:widowControl/>
        <w:spacing w:after="93"/>
        <w:jc w:val="center"/>
        <w:rPr>
          <w:rFonts w:ascii="宋体" w:hAnsi="宋体"/>
          <w:spacing w:val="10"/>
          <w:kern w:val="0"/>
          <w:sz w:val="28"/>
          <w:szCs w:val="28"/>
        </w:rPr>
        <w:sectPr>
          <w:footerReference r:id="rId3" w:type="default"/>
          <w:footerReference r:id="rId4" w:type="even"/>
          <w:pgSz w:w="11906" w:h="16838"/>
          <w:pgMar w:top="1418" w:right="1134" w:bottom="1134" w:left="1588" w:header="851" w:footer="992" w:gutter="0"/>
          <w:cols w:space="720" w:num="1"/>
          <w:docGrid w:type="lines" w:linePitch="312" w:charSpace="0"/>
        </w:sectPr>
      </w:pPr>
    </w:p>
    <w:p>
      <w:pPr>
        <w:widowControl/>
        <w:spacing w:line="540" w:lineRule="exact"/>
        <w:ind w:firstLine="2520" w:firstLineChars="700"/>
        <w:jc w:val="both"/>
        <w:rPr>
          <w:rFonts w:ascii="宋体" w:hAnsi="宋体"/>
          <w:bCs/>
          <w:kern w:val="0"/>
          <w:sz w:val="36"/>
          <w:szCs w:val="36"/>
        </w:rPr>
      </w:pPr>
      <w:r>
        <w:rPr>
          <w:rFonts w:hint="eastAsia" w:ascii="宋体" w:hAnsi="宋体"/>
          <w:bCs/>
          <w:kern w:val="0"/>
          <w:sz w:val="36"/>
          <w:szCs w:val="36"/>
        </w:rPr>
        <w:t>老河口华辰化学有限公司</w:t>
      </w:r>
    </w:p>
    <w:p>
      <w:pPr>
        <w:widowControl/>
        <w:spacing w:line="540" w:lineRule="exact"/>
        <w:jc w:val="center"/>
        <w:rPr>
          <w:rFonts w:ascii="宋体" w:hAnsi="宋体"/>
          <w:b/>
          <w:bCs/>
          <w:kern w:val="0"/>
          <w:sz w:val="44"/>
          <w:szCs w:val="44"/>
        </w:rPr>
      </w:pPr>
      <w:r>
        <w:rPr>
          <w:rFonts w:hint="eastAsia" w:ascii="宋体" w:hAnsi="宋体"/>
          <w:b/>
          <w:bCs/>
          <w:kern w:val="0"/>
          <w:sz w:val="44"/>
          <w:szCs w:val="44"/>
        </w:rPr>
        <w:t>安全生产标准化自评报告</w:t>
      </w:r>
    </w:p>
    <w:p>
      <w:pPr>
        <w:pStyle w:val="2"/>
        <w:spacing w:before="0" w:after="0" w:line="25" w:lineRule="atLeast"/>
        <w:rPr>
          <w:rFonts w:ascii="宋体" w:hAnsi="宋体"/>
          <w:sz w:val="30"/>
          <w:szCs w:val="30"/>
        </w:rPr>
      </w:pPr>
      <w:bookmarkStart w:id="0" w:name="_Toc24395"/>
      <w:bookmarkStart w:id="1" w:name="_Toc523396072"/>
      <w:bookmarkStart w:id="2" w:name="_Toc432195092"/>
      <w:r>
        <w:rPr>
          <w:rFonts w:hint="eastAsia" w:ascii="宋体" w:hAnsi="宋体"/>
          <w:sz w:val="30"/>
          <w:szCs w:val="30"/>
        </w:rPr>
        <w:t>一、概述</w:t>
      </w:r>
      <w:bookmarkEnd w:id="0"/>
      <w:bookmarkEnd w:id="1"/>
      <w:bookmarkEnd w:id="2"/>
    </w:p>
    <w:p>
      <w:pPr>
        <w:pStyle w:val="3"/>
        <w:spacing w:before="0" w:after="0" w:line="25" w:lineRule="atLeast"/>
        <w:rPr>
          <w:rFonts w:ascii="宋体" w:hAnsi="宋体"/>
          <w:sz w:val="28"/>
          <w:szCs w:val="28"/>
        </w:rPr>
      </w:pPr>
      <w:bookmarkStart w:id="3" w:name="_Toc9931"/>
      <w:bookmarkStart w:id="4" w:name="_Toc432195093"/>
      <w:bookmarkStart w:id="5" w:name="_Toc523396073"/>
      <w:r>
        <w:rPr>
          <w:rFonts w:hint="eastAsia" w:ascii="宋体" w:hAnsi="宋体"/>
          <w:sz w:val="28"/>
          <w:szCs w:val="28"/>
        </w:rPr>
        <w:t>（一）企业简介</w:t>
      </w:r>
      <w:bookmarkEnd w:id="3"/>
      <w:bookmarkEnd w:id="4"/>
      <w:bookmarkEnd w:id="5"/>
    </w:p>
    <w:p>
      <w:pPr>
        <w:spacing w:line="360" w:lineRule="auto"/>
        <w:ind w:firstLine="480" w:firstLineChars="200"/>
        <w:rPr>
          <w:rFonts w:ascii="宋体" w:hAnsi="宋体"/>
          <w:sz w:val="24"/>
        </w:rPr>
      </w:pPr>
      <w:r>
        <w:rPr>
          <w:rFonts w:hint="eastAsia" w:ascii="宋体" w:hAnsi="宋体"/>
          <w:sz w:val="24"/>
        </w:rPr>
        <w:t xml:space="preserve"> 老河口华辰化学有限公司成立于2005年1月30日，是在原老河口市化工总厂部分破产资产重组基础上成立的民营企业。公司厂区位于老河口市李楼镇横二路南侧，老河口科技产业园区内。老河口华辰化学有限公司北侧与园区横二路相邻，东侧为老河口楚源化工有限公司，南侧为</w:t>
      </w:r>
      <w:r>
        <w:rPr>
          <w:rFonts w:hint="eastAsia" w:ascii="宋体" w:hAnsi="宋体"/>
          <w:sz w:val="24"/>
          <w:lang w:eastAsia="zh-CN"/>
        </w:rPr>
        <w:t>湖北荣宜达考培中心</w:t>
      </w:r>
      <w:r>
        <w:rPr>
          <w:rFonts w:hint="eastAsia" w:ascii="宋体" w:hAnsi="宋体"/>
          <w:sz w:val="24"/>
        </w:rPr>
        <w:t>，西侧为经济开发区环境检测监控中心。西侧距离汉江约1080米。</w:t>
      </w:r>
    </w:p>
    <w:p>
      <w:pPr>
        <w:spacing w:line="360" w:lineRule="auto"/>
        <w:ind w:firstLine="480" w:firstLineChars="200"/>
        <w:rPr>
          <w:rFonts w:hint="eastAsia" w:ascii="宋体" w:hAnsi="宋体"/>
          <w:sz w:val="24"/>
        </w:rPr>
      </w:pPr>
      <w:r>
        <w:rPr>
          <w:rFonts w:hint="eastAsia" w:ascii="宋体" w:hAnsi="宋体"/>
          <w:sz w:val="24"/>
        </w:rPr>
        <w:t>厂区占地面积6588</w:t>
      </w:r>
      <w:r>
        <w:rPr>
          <w:rFonts w:hint="eastAsia" w:ascii="宋体" w:hAnsi="宋体" w:cs="宋体"/>
          <w:sz w:val="24"/>
        </w:rPr>
        <w:t>㎡</w:t>
      </w:r>
      <w:r>
        <w:rPr>
          <w:rFonts w:hint="eastAsia" w:ascii="宋体" w:hAnsi="宋体"/>
          <w:sz w:val="24"/>
        </w:rPr>
        <w:t>，建筑面积7682</w:t>
      </w:r>
      <w:r>
        <w:rPr>
          <w:rFonts w:hint="eastAsia" w:ascii="宋体" w:hAnsi="宋体" w:cs="宋体"/>
          <w:sz w:val="24"/>
        </w:rPr>
        <w:t>㎡</w:t>
      </w:r>
      <w:r>
        <w:rPr>
          <w:rFonts w:hint="eastAsia" w:ascii="宋体" w:hAnsi="宋体"/>
          <w:sz w:val="24"/>
        </w:rPr>
        <w:t>，厂区建筑整体自北向南布置，东西中线处一条主通道将厂区一分为二，除东北角为行政办公区、化验室，西北角为停车区等非生产区外，其他区域均为生产区。厂区呈矩形，分东西两列布置，东侧从北到南依次布置行政楼、综合楼、检修车间、配电室、邻氯苯腈成品库、生产车间、氯气库、邻氯甲苯罐、盐酸罐区、锅炉房；西侧从北向南依次布置车棚、材料仓库、危废库、预留空地、邻氯苯腈精馏装置、空压站、车间配电室、控制室、污水处理站、邻氯苯腈罐组和装车区、消防水池、厕所和消防泵房等。</w:t>
      </w:r>
    </w:p>
    <w:p>
      <w:pPr>
        <w:spacing w:line="360" w:lineRule="auto"/>
        <w:ind w:firstLine="480" w:firstLineChars="200"/>
        <w:rPr>
          <w:rFonts w:hint="default" w:ascii="宋体" w:hAnsi="宋体" w:eastAsia="宋体"/>
          <w:sz w:val="24"/>
          <w:lang w:val="en-US" w:eastAsia="zh-CN"/>
        </w:rPr>
      </w:pPr>
      <w:r>
        <w:rPr>
          <w:rFonts w:hint="eastAsia" w:ascii="宋体" w:hAnsi="宋体"/>
          <w:sz w:val="24"/>
        </w:rPr>
        <w:t>公司固定资产</w:t>
      </w:r>
      <w:r>
        <w:rPr>
          <w:rFonts w:hint="eastAsia" w:ascii="宋体" w:hAnsi="宋体" w:cs="宋体"/>
          <w:kern w:val="0"/>
          <w:sz w:val="24"/>
          <w:lang w:val="en-US" w:eastAsia="zh-CN"/>
        </w:rPr>
        <w:t>3200</w:t>
      </w:r>
      <w:r>
        <w:rPr>
          <w:rFonts w:hint="eastAsia" w:ascii="宋体" w:hAnsi="宋体"/>
          <w:sz w:val="24"/>
        </w:rPr>
        <w:t>万元，员工6</w:t>
      </w:r>
      <w:r>
        <w:rPr>
          <w:rFonts w:hint="eastAsia" w:ascii="宋体" w:hAnsi="宋体"/>
          <w:sz w:val="24"/>
          <w:lang w:val="en-US" w:eastAsia="zh-CN"/>
        </w:rPr>
        <w:t>0</w:t>
      </w:r>
      <w:r>
        <w:rPr>
          <w:rFonts w:hint="eastAsia" w:ascii="宋体" w:hAnsi="宋体"/>
          <w:sz w:val="24"/>
        </w:rPr>
        <w:t>人，</w:t>
      </w:r>
      <w:r>
        <w:rPr>
          <w:rFonts w:ascii="宋体" w:hAnsi="宋体" w:cs="宋体"/>
          <w:sz w:val="24"/>
        </w:rPr>
        <w:t>设有安全生产管理机构—安环部</w:t>
      </w:r>
      <w:r>
        <w:rPr>
          <w:rFonts w:hint="eastAsia" w:ascii="宋体" w:hAnsi="宋体" w:cs="宋体"/>
          <w:sz w:val="24"/>
        </w:rPr>
        <w:t>，</w:t>
      </w:r>
      <w:r>
        <w:rPr>
          <w:rFonts w:ascii="宋体" w:hAnsi="宋体" w:cs="宋体"/>
          <w:sz w:val="24"/>
        </w:rPr>
        <w:t>配备</w:t>
      </w:r>
      <w:r>
        <w:rPr>
          <w:rFonts w:hint="eastAsia" w:ascii="宋体" w:hAnsi="宋体" w:cs="宋体"/>
          <w:sz w:val="24"/>
        </w:rPr>
        <w:t>专职</w:t>
      </w:r>
      <w:r>
        <w:rPr>
          <w:rFonts w:ascii="宋体" w:hAnsi="宋体" w:cs="宋体"/>
          <w:sz w:val="24"/>
        </w:rPr>
        <w:t>安全管理人员</w:t>
      </w:r>
      <w:r>
        <w:rPr>
          <w:rFonts w:hint="eastAsia" w:ascii="宋体" w:hAnsi="宋体" w:cs="宋体"/>
          <w:sz w:val="24"/>
          <w:lang w:val="en-US" w:eastAsia="zh-CN"/>
        </w:rPr>
        <w:t>3</w:t>
      </w:r>
      <w:r>
        <w:rPr>
          <w:rFonts w:ascii="宋体" w:hAnsi="宋体" w:cs="宋体"/>
          <w:sz w:val="24"/>
        </w:rPr>
        <w:t>名</w:t>
      </w:r>
      <w:r>
        <w:rPr>
          <w:rFonts w:hint="eastAsia" w:ascii="宋体" w:hAnsi="宋体"/>
          <w:sz w:val="24"/>
        </w:rPr>
        <w:t>。主要产品为邻氯苯腈</w:t>
      </w:r>
      <w:r>
        <w:rPr>
          <w:rFonts w:hint="eastAsia" w:ascii="宋体" w:hAnsi="宋体"/>
          <w:sz w:val="24"/>
          <w:lang w:val="en-US" w:eastAsia="zh-CN"/>
        </w:rPr>
        <w:t>(2000t/a)</w:t>
      </w:r>
      <w:r>
        <w:rPr>
          <w:rFonts w:hint="eastAsia" w:ascii="宋体" w:hAnsi="宋体"/>
          <w:sz w:val="24"/>
          <w:lang w:eastAsia="zh-CN"/>
        </w:rPr>
        <w:t>及副产品盐酸（</w:t>
      </w:r>
      <w:r>
        <w:rPr>
          <w:rFonts w:hint="eastAsia" w:ascii="宋体" w:hAnsi="宋体"/>
          <w:sz w:val="24"/>
          <w:lang w:val="en-US" w:eastAsia="zh-CN"/>
        </w:rPr>
        <w:t>8000t/a</w:t>
      </w:r>
      <w:r>
        <w:rPr>
          <w:rFonts w:hint="eastAsia" w:ascii="宋体" w:hAnsi="宋体"/>
          <w:sz w:val="24"/>
          <w:lang w:eastAsia="zh-CN"/>
        </w:rPr>
        <w:t>）</w:t>
      </w:r>
      <w:r>
        <w:rPr>
          <w:rFonts w:hint="eastAsia" w:ascii="宋体" w:hAnsi="宋体"/>
          <w:sz w:val="24"/>
          <w:lang w:val="en-US" w:eastAsia="zh-CN"/>
        </w:rPr>
        <w:t>.</w:t>
      </w:r>
    </w:p>
    <w:p>
      <w:pPr>
        <w:spacing w:line="360" w:lineRule="auto"/>
        <w:ind w:firstLine="480" w:firstLineChars="200"/>
        <w:rPr>
          <w:rFonts w:ascii="宋体" w:hAnsi="宋体"/>
          <w:sz w:val="24"/>
        </w:rPr>
      </w:pPr>
      <w:r>
        <w:rPr>
          <w:rFonts w:hint="eastAsia" w:ascii="宋体" w:hAnsi="宋体"/>
          <w:sz w:val="24"/>
        </w:rPr>
        <w:t>公司地理位置如下：</w:t>
      </w:r>
    </w:p>
    <w:p>
      <w:pPr>
        <w:spacing w:line="360" w:lineRule="auto"/>
        <w:ind w:firstLine="480" w:firstLineChars="200"/>
        <w:rPr>
          <w:rFonts w:ascii="宋体" w:hAnsi="宋体"/>
          <w:sz w:val="24"/>
        </w:rPr>
      </w:pPr>
      <w:r>
        <w:rPr>
          <w:sz w:val="24"/>
        </w:rPr>
        <mc:AlternateContent>
          <mc:Choice Requires="wps">
            <w:drawing>
              <wp:anchor distT="0" distB="0" distL="114300" distR="114300" simplePos="0" relativeHeight="251661312" behindDoc="0" locked="0" layoutInCell="1" allowOverlap="1">
                <wp:simplePos x="0" y="0"/>
                <wp:positionH relativeFrom="column">
                  <wp:posOffset>2445385</wp:posOffset>
                </wp:positionH>
                <wp:positionV relativeFrom="paragraph">
                  <wp:posOffset>470535</wp:posOffset>
                </wp:positionV>
                <wp:extent cx="1352550" cy="444500"/>
                <wp:effectExtent l="0" t="0" r="0" b="12700"/>
                <wp:wrapNone/>
                <wp:docPr id="3" name="文本框 3"/>
                <wp:cNvGraphicFramePr/>
                <a:graphic xmlns:a="http://schemas.openxmlformats.org/drawingml/2006/main">
                  <a:graphicData uri="http://schemas.microsoft.com/office/word/2010/wordprocessingShape">
                    <wps:wsp>
                      <wps:cNvSpPr txBox="1"/>
                      <wps:spPr>
                        <a:xfrm>
                          <a:off x="0" y="0"/>
                          <a:ext cx="1352550" cy="444500"/>
                        </a:xfrm>
                        <a:prstGeom prst="rect">
                          <a:avLst/>
                        </a:prstGeom>
                        <a:solidFill>
                          <a:srgbClr val="FFFFFF"/>
                        </a:solidFill>
                        <a:ln>
                          <a:noFill/>
                        </a:ln>
                      </wps:spPr>
                      <wps:txbx>
                        <w:txbxContent>
                          <w:p>
                            <w:r>
                              <w:rPr>
                                <w:rFonts w:hint="eastAsia"/>
                              </w:rPr>
                              <w:t>老河口华辰化学有限公司</w:t>
                            </w:r>
                          </w:p>
                        </w:txbxContent>
                      </wps:txbx>
                      <wps:bodyPr upright="1"/>
                    </wps:wsp>
                  </a:graphicData>
                </a:graphic>
              </wp:anchor>
            </w:drawing>
          </mc:Choice>
          <mc:Fallback>
            <w:pict>
              <v:shape id="_x0000_s1026" o:spid="_x0000_s1026" o:spt="202" type="#_x0000_t202" style="position:absolute;left:0pt;margin-left:192.55pt;margin-top:37.05pt;height:35pt;width:106.5pt;z-index:251661312;mso-width-relative:page;mso-height-relative:page;" fillcolor="#FFFFFF" filled="t" stroked="f" coordsize="21600,21600" o:gfxdata="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JiORXnWAAAACgEAAA8AAAAAAAAAAQAgAAAAIgAAAGRycy9kb3ducmV2Lnht&#10;bFBLAQIUABQAAAAIAIdO4kBoXfbYwgEAAHcDAAAOAAAAAAAAAAEAIAAAACUBAABkcnMvZTJvRG9j&#10;LnhtbFBLBQYAAAAABgAGAFkBAABZBQAAAAA=&#10;">
                <v:fill on="t" focussize="0,0"/>
                <v:stroke on="f"/>
                <v:imagedata o:title=""/>
                <o:lock v:ext="edit" aspectratio="f"/>
                <v:textbox>
                  <w:txbxContent>
                    <w:p>
                      <w:r>
                        <w:rPr>
                          <w:rFonts w:hint="eastAsia"/>
                        </w:rPr>
                        <w:t>老河口华辰化学有限公司</w:t>
                      </w:r>
                    </w:p>
                  </w:txbxContent>
                </v:textbox>
              </v:shape>
            </w:pict>
          </mc:Fallback>
        </mc:AlternateContent>
      </w:r>
      <w:r>
        <w:rPr>
          <w:rFonts w:ascii="宋体" w:hAnsi="宋体"/>
          <w:sz w:val="24"/>
        </w:rPr>
        <w:drawing>
          <wp:inline distT="0" distB="0" distL="114300" distR="114300">
            <wp:extent cx="4714240" cy="2905125"/>
            <wp:effectExtent l="0" t="0" r="0" b="0"/>
            <wp:docPr id="25" name="图片 25" descr="7a24d0773ceab921e6aaf08b0b6d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7a24d0773ceab921e6aaf08b0b6d019"/>
                    <pic:cNvPicPr>
                      <a:picLocks noChangeAspect="1"/>
                    </pic:cNvPicPr>
                  </pic:nvPicPr>
                  <pic:blipFill>
                    <a:blip r:embed="rId12"/>
                    <a:stretch>
                      <a:fillRect/>
                    </a:stretch>
                  </pic:blipFill>
                  <pic:spPr>
                    <a:xfrm>
                      <a:off x="0" y="0"/>
                      <a:ext cx="4716780" cy="2906733"/>
                    </a:xfrm>
                    <a:prstGeom prst="rect">
                      <a:avLst/>
                    </a:prstGeom>
                  </pic:spPr>
                </pic:pic>
              </a:graphicData>
            </a:graphic>
          </wp:inline>
        </w:drawing>
      </w:r>
    </w:p>
    <w:p>
      <w:pPr>
        <w:spacing w:line="360" w:lineRule="auto"/>
        <w:ind w:firstLine="480" w:firstLineChars="200"/>
        <w:rPr>
          <w:rFonts w:hint="eastAsia" w:ascii="宋体" w:hAnsi="宋体"/>
          <w:sz w:val="24"/>
        </w:rPr>
      </w:pPr>
      <w:r>
        <w:rPr>
          <w:rFonts w:hint="eastAsia" w:ascii="宋体" w:hAnsi="宋体"/>
          <w:sz w:val="24"/>
        </w:rPr>
        <w:t>安全管理人员持证情况如下：</w:t>
      </w:r>
    </w:p>
    <w:tbl>
      <w:tblPr>
        <w:tblStyle w:val="2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6"/>
        <w:gridCol w:w="721"/>
        <w:gridCol w:w="1746"/>
        <w:gridCol w:w="1660"/>
        <w:gridCol w:w="2445"/>
        <w:gridCol w:w="17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6" w:type="dxa"/>
            <w:vAlign w:val="center"/>
          </w:tcPr>
          <w:p>
            <w:pPr>
              <w:pStyle w:val="23"/>
              <w:ind w:left="0" w:leftChars="0" w:firstLine="0" w:firstLineChars="0"/>
              <w:jc w:val="center"/>
              <w:rPr>
                <w:rFonts w:hint="eastAsia" w:eastAsia="宋体"/>
                <w:vertAlign w:val="baseline"/>
                <w:lang w:eastAsia="zh-CN"/>
              </w:rPr>
            </w:pPr>
            <w:r>
              <w:rPr>
                <w:rFonts w:hint="eastAsia"/>
                <w:vertAlign w:val="baseline"/>
                <w:lang w:eastAsia="zh-CN"/>
              </w:rPr>
              <w:t>姓名</w:t>
            </w:r>
          </w:p>
        </w:tc>
        <w:tc>
          <w:tcPr>
            <w:tcW w:w="721" w:type="dxa"/>
            <w:vAlign w:val="center"/>
          </w:tcPr>
          <w:p>
            <w:pPr>
              <w:pStyle w:val="23"/>
              <w:ind w:left="0" w:leftChars="0" w:firstLine="0" w:firstLineChars="0"/>
              <w:jc w:val="center"/>
              <w:rPr>
                <w:rFonts w:hint="eastAsia" w:eastAsia="宋体"/>
                <w:vertAlign w:val="baseline"/>
                <w:lang w:eastAsia="zh-CN"/>
              </w:rPr>
            </w:pPr>
            <w:r>
              <w:rPr>
                <w:rFonts w:hint="eastAsia"/>
                <w:vertAlign w:val="baseline"/>
                <w:lang w:eastAsia="zh-CN"/>
              </w:rPr>
              <w:t>学历</w:t>
            </w:r>
          </w:p>
        </w:tc>
        <w:tc>
          <w:tcPr>
            <w:tcW w:w="1746" w:type="dxa"/>
            <w:vAlign w:val="center"/>
          </w:tcPr>
          <w:p>
            <w:pPr>
              <w:pStyle w:val="23"/>
              <w:ind w:left="0" w:leftChars="0" w:firstLine="0" w:firstLineChars="0"/>
              <w:jc w:val="center"/>
              <w:rPr>
                <w:rFonts w:hint="eastAsia" w:eastAsia="宋体"/>
                <w:vertAlign w:val="baseline"/>
                <w:lang w:eastAsia="zh-CN"/>
              </w:rPr>
            </w:pPr>
            <w:r>
              <w:rPr>
                <w:rFonts w:hint="eastAsia"/>
                <w:vertAlign w:val="baseline"/>
                <w:lang w:eastAsia="zh-CN"/>
              </w:rPr>
              <w:t>职位</w:t>
            </w:r>
          </w:p>
        </w:tc>
        <w:tc>
          <w:tcPr>
            <w:tcW w:w="1660" w:type="dxa"/>
            <w:vAlign w:val="center"/>
          </w:tcPr>
          <w:p>
            <w:pPr>
              <w:pStyle w:val="23"/>
              <w:ind w:left="0" w:leftChars="0" w:firstLine="0" w:firstLineChars="0"/>
              <w:jc w:val="center"/>
              <w:rPr>
                <w:rFonts w:hint="eastAsia" w:eastAsia="宋体"/>
                <w:vertAlign w:val="baseline"/>
                <w:lang w:eastAsia="zh-CN"/>
              </w:rPr>
            </w:pPr>
            <w:r>
              <w:rPr>
                <w:rFonts w:hint="eastAsia"/>
                <w:vertAlign w:val="baseline"/>
                <w:lang w:eastAsia="zh-CN"/>
              </w:rPr>
              <w:t>证书名称</w:t>
            </w:r>
          </w:p>
        </w:tc>
        <w:tc>
          <w:tcPr>
            <w:tcW w:w="2445" w:type="dxa"/>
            <w:vAlign w:val="center"/>
          </w:tcPr>
          <w:p>
            <w:pPr>
              <w:pStyle w:val="23"/>
              <w:ind w:left="0" w:leftChars="0" w:firstLine="0" w:firstLineChars="0"/>
              <w:jc w:val="center"/>
              <w:rPr>
                <w:rFonts w:hint="eastAsia" w:eastAsia="宋体"/>
                <w:vertAlign w:val="baseline"/>
                <w:lang w:eastAsia="zh-CN"/>
              </w:rPr>
            </w:pPr>
            <w:r>
              <w:rPr>
                <w:rFonts w:hint="eastAsia"/>
                <w:vertAlign w:val="baseline"/>
                <w:lang w:eastAsia="zh-CN"/>
              </w:rPr>
              <w:t>证书编号</w:t>
            </w:r>
          </w:p>
        </w:tc>
        <w:tc>
          <w:tcPr>
            <w:tcW w:w="1722" w:type="dxa"/>
            <w:vAlign w:val="center"/>
          </w:tcPr>
          <w:p>
            <w:pPr>
              <w:pStyle w:val="23"/>
              <w:ind w:left="0" w:leftChars="0" w:firstLine="0" w:firstLineChars="0"/>
              <w:jc w:val="center"/>
              <w:rPr>
                <w:rFonts w:hint="eastAsia" w:eastAsia="宋体"/>
                <w:vertAlign w:val="baseline"/>
                <w:lang w:eastAsia="zh-CN"/>
              </w:rPr>
            </w:pPr>
            <w:r>
              <w:rPr>
                <w:rFonts w:hint="eastAsia"/>
                <w:vertAlign w:val="baseline"/>
                <w:lang w:eastAsia="zh-CN"/>
              </w:rPr>
              <w:t>有效期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6" w:type="dxa"/>
            <w:vAlign w:val="center"/>
          </w:tcPr>
          <w:p>
            <w:pPr>
              <w:pStyle w:val="23"/>
              <w:ind w:left="0" w:leftChars="0" w:firstLine="0" w:firstLineChars="0"/>
              <w:jc w:val="center"/>
              <w:rPr>
                <w:rFonts w:hint="eastAsia" w:eastAsia="宋体"/>
                <w:vertAlign w:val="baseline"/>
                <w:lang w:eastAsia="zh-CN"/>
              </w:rPr>
            </w:pPr>
            <w:r>
              <w:rPr>
                <w:rFonts w:hint="eastAsia"/>
                <w:vertAlign w:val="baseline"/>
                <w:lang w:eastAsia="zh-CN"/>
              </w:rPr>
              <w:t>祝捷</w:t>
            </w:r>
          </w:p>
        </w:tc>
        <w:tc>
          <w:tcPr>
            <w:tcW w:w="721" w:type="dxa"/>
            <w:vAlign w:val="center"/>
          </w:tcPr>
          <w:p>
            <w:pPr>
              <w:pStyle w:val="23"/>
              <w:ind w:left="0" w:leftChars="0" w:firstLine="0" w:firstLineChars="0"/>
              <w:jc w:val="center"/>
              <w:rPr>
                <w:rFonts w:hint="eastAsia" w:eastAsia="宋体"/>
                <w:vertAlign w:val="baseline"/>
                <w:lang w:eastAsia="zh-CN"/>
              </w:rPr>
            </w:pPr>
            <w:r>
              <w:rPr>
                <w:rFonts w:hint="eastAsia"/>
                <w:vertAlign w:val="baseline"/>
                <w:lang w:eastAsia="zh-CN"/>
              </w:rPr>
              <w:t>本科</w:t>
            </w:r>
          </w:p>
        </w:tc>
        <w:tc>
          <w:tcPr>
            <w:tcW w:w="1746" w:type="dxa"/>
            <w:vAlign w:val="center"/>
          </w:tcPr>
          <w:p>
            <w:pPr>
              <w:pStyle w:val="23"/>
              <w:ind w:left="0" w:leftChars="0" w:firstLine="0" w:firstLineChars="0"/>
              <w:jc w:val="center"/>
              <w:rPr>
                <w:rFonts w:hint="eastAsia" w:eastAsia="宋体"/>
                <w:vertAlign w:val="baseline"/>
                <w:lang w:eastAsia="zh-CN"/>
              </w:rPr>
            </w:pPr>
            <w:r>
              <w:rPr>
                <w:rFonts w:hint="eastAsia"/>
                <w:vertAlign w:val="baseline"/>
                <w:lang w:eastAsia="zh-CN"/>
              </w:rPr>
              <w:t>主要负责人</w:t>
            </w:r>
          </w:p>
        </w:tc>
        <w:tc>
          <w:tcPr>
            <w:tcW w:w="1660" w:type="dxa"/>
            <w:vAlign w:val="center"/>
          </w:tcPr>
          <w:p>
            <w:pPr>
              <w:pStyle w:val="23"/>
              <w:ind w:left="0" w:leftChars="0" w:firstLine="0" w:firstLineChars="0"/>
              <w:jc w:val="center"/>
              <w:rPr>
                <w:rFonts w:hint="default" w:eastAsia="宋体"/>
                <w:vertAlign w:val="baseline"/>
                <w:lang w:val="en-US" w:eastAsia="zh-CN"/>
              </w:rPr>
            </w:pPr>
            <w:r>
              <w:rPr>
                <w:rFonts w:hint="eastAsia"/>
                <w:vertAlign w:val="baseline"/>
                <w:lang w:eastAsia="zh-CN"/>
              </w:rPr>
              <w:t>主要负责人</w:t>
            </w:r>
          </w:p>
        </w:tc>
        <w:tc>
          <w:tcPr>
            <w:tcW w:w="2445" w:type="dxa"/>
            <w:vAlign w:val="center"/>
          </w:tcPr>
          <w:p>
            <w:pPr>
              <w:pStyle w:val="23"/>
              <w:ind w:left="0" w:leftChars="0" w:firstLine="0" w:firstLineChars="0"/>
              <w:jc w:val="center"/>
              <w:rPr>
                <w:vertAlign w:val="baseline"/>
              </w:rPr>
            </w:pPr>
            <w:r>
              <w:rPr>
                <w:rFonts w:hint="eastAsia"/>
                <w:vertAlign w:val="baseline"/>
                <w:lang w:val="en-US" w:eastAsia="zh-CN"/>
              </w:rPr>
              <w:t>420620196411010056</w:t>
            </w:r>
          </w:p>
        </w:tc>
        <w:tc>
          <w:tcPr>
            <w:tcW w:w="1722" w:type="dxa"/>
            <w:vAlign w:val="center"/>
          </w:tcPr>
          <w:p>
            <w:pPr>
              <w:pStyle w:val="23"/>
              <w:ind w:left="0" w:leftChars="0" w:firstLine="0" w:firstLineChars="0"/>
              <w:jc w:val="center"/>
              <w:rPr>
                <w:rFonts w:hint="default" w:eastAsia="宋体"/>
                <w:vertAlign w:val="baseline"/>
                <w:lang w:val="en-US" w:eastAsia="zh-CN"/>
              </w:rPr>
            </w:pPr>
            <w:r>
              <w:rPr>
                <w:rFonts w:hint="eastAsia"/>
                <w:vertAlign w:val="baseline"/>
                <w:lang w:val="en-US" w:eastAsia="zh-CN"/>
              </w:rPr>
              <w:t>2025.7.14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trPr>
        <w:tc>
          <w:tcPr>
            <w:tcW w:w="1106" w:type="dxa"/>
            <w:vAlign w:val="center"/>
          </w:tcPr>
          <w:p>
            <w:pPr>
              <w:pStyle w:val="23"/>
              <w:ind w:left="0" w:leftChars="0" w:firstLine="0" w:firstLineChars="0"/>
              <w:jc w:val="center"/>
              <w:rPr>
                <w:rFonts w:hint="eastAsia" w:eastAsia="宋体"/>
                <w:vertAlign w:val="baseline"/>
                <w:lang w:eastAsia="zh-CN"/>
              </w:rPr>
            </w:pPr>
            <w:r>
              <w:rPr>
                <w:rFonts w:hint="eastAsia"/>
                <w:vertAlign w:val="baseline"/>
                <w:lang w:eastAsia="zh-CN"/>
              </w:rPr>
              <w:t>张克</w:t>
            </w:r>
          </w:p>
        </w:tc>
        <w:tc>
          <w:tcPr>
            <w:tcW w:w="721" w:type="dxa"/>
            <w:vAlign w:val="center"/>
          </w:tcPr>
          <w:p>
            <w:pPr>
              <w:pStyle w:val="23"/>
              <w:ind w:left="0" w:leftChars="0" w:firstLine="0" w:firstLineChars="0"/>
              <w:jc w:val="center"/>
              <w:rPr>
                <w:rFonts w:hint="eastAsia" w:eastAsia="宋体"/>
                <w:vertAlign w:val="baseline"/>
                <w:lang w:eastAsia="zh-CN"/>
              </w:rPr>
            </w:pPr>
            <w:r>
              <w:rPr>
                <w:rFonts w:hint="eastAsia"/>
                <w:vertAlign w:val="baseline"/>
                <w:lang w:eastAsia="zh-CN"/>
              </w:rPr>
              <w:t>大专</w:t>
            </w:r>
          </w:p>
        </w:tc>
        <w:tc>
          <w:tcPr>
            <w:tcW w:w="1746" w:type="dxa"/>
            <w:vAlign w:val="center"/>
          </w:tcPr>
          <w:p>
            <w:pPr>
              <w:pStyle w:val="23"/>
              <w:ind w:left="0" w:leftChars="0" w:firstLine="0" w:firstLineChars="0"/>
              <w:jc w:val="center"/>
              <w:rPr>
                <w:rFonts w:hint="eastAsia" w:eastAsia="宋体"/>
                <w:vertAlign w:val="baseline"/>
                <w:lang w:eastAsia="zh-CN"/>
              </w:rPr>
            </w:pPr>
            <w:r>
              <w:rPr>
                <w:rFonts w:hint="eastAsia"/>
                <w:vertAlign w:val="baseline"/>
                <w:lang w:eastAsia="zh-CN"/>
              </w:rPr>
              <w:t>技术总工</w:t>
            </w:r>
          </w:p>
        </w:tc>
        <w:tc>
          <w:tcPr>
            <w:tcW w:w="1660" w:type="dxa"/>
            <w:vAlign w:val="center"/>
          </w:tcPr>
          <w:p>
            <w:pPr>
              <w:pStyle w:val="23"/>
              <w:ind w:left="0" w:leftChars="0" w:firstLine="0" w:firstLineChars="0"/>
              <w:jc w:val="center"/>
              <w:rPr>
                <w:rFonts w:hint="eastAsia" w:eastAsia="宋体"/>
                <w:vertAlign w:val="baseline"/>
                <w:lang w:eastAsia="zh-CN"/>
              </w:rPr>
            </w:pPr>
            <w:r>
              <w:rPr>
                <w:rFonts w:hint="eastAsia"/>
                <w:vertAlign w:val="baseline"/>
                <w:lang w:eastAsia="zh-CN"/>
              </w:rPr>
              <w:t>技术负责人</w:t>
            </w:r>
          </w:p>
        </w:tc>
        <w:tc>
          <w:tcPr>
            <w:tcW w:w="2445" w:type="dxa"/>
            <w:vAlign w:val="center"/>
          </w:tcPr>
          <w:p>
            <w:pPr>
              <w:pStyle w:val="23"/>
              <w:ind w:left="0" w:leftChars="0" w:firstLine="0" w:firstLineChars="0"/>
              <w:jc w:val="center"/>
              <w:rPr>
                <w:rFonts w:hint="eastAsia" w:ascii="Times New Roman" w:hAnsi="Times New Roman" w:cs="Times New Roman"/>
                <w:vertAlign w:val="baseline"/>
                <w:lang w:val="en-US" w:eastAsia="zh-CN"/>
              </w:rPr>
            </w:pPr>
            <w:r>
              <w:rPr>
                <w:rFonts w:hint="eastAsia" w:ascii="Times New Roman" w:hAnsi="Times New Roman" w:cs="Times New Roman"/>
                <w:vertAlign w:val="baseline"/>
                <w:lang w:val="en-US" w:eastAsia="zh-CN"/>
              </w:rPr>
              <w:t>420620197111211010</w:t>
            </w:r>
          </w:p>
        </w:tc>
        <w:tc>
          <w:tcPr>
            <w:tcW w:w="1722" w:type="dxa"/>
            <w:vAlign w:val="center"/>
          </w:tcPr>
          <w:p>
            <w:pPr>
              <w:pStyle w:val="23"/>
              <w:ind w:left="0" w:leftChars="0" w:firstLine="0" w:firstLineChars="0"/>
              <w:jc w:val="center"/>
              <w:rPr>
                <w:rFonts w:hint="default" w:eastAsia="宋体"/>
                <w:vertAlign w:val="baseline"/>
                <w:lang w:val="en-US" w:eastAsia="zh-CN"/>
              </w:rPr>
            </w:pPr>
            <w:r>
              <w:rPr>
                <w:rFonts w:hint="eastAsia"/>
                <w:vertAlign w:val="baseline"/>
                <w:lang w:val="en-US" w:eastAsia="zh-CN"/>
              </w:rPr>
              <w:t>2024.7.20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6" w:type="dxa"/>
            <w:vAlign w:val="center"/>
          </w:tcPr>
          <w:p>
            <w:pPr>
              <w:pStyle w:val="23"/>
              <w:ind w:left="0" w:leftChars="0" w:firstLine="0" w:firstLineChars="0"/>
              <w:jc w:val="center"/>
              <w:rPr>
                <w:rFonts w:hint="eastAsia" w:eastAsia="宋体"/>
                <w:vertAlign w:val="baseline"/>
                <w:lang w:eastAsia="zh-CN"/>
              </w:rPr>
            </w:pPr>
            <w:r>
              <w:rPr>
                <w:rFonts w:hint="eastAsia"/>
                <w:vertAlign w:val="baseline"/>
                <w:lang w:eastAsia="zh-CN"/>
              </w:rPr>
              <w:t>陈利平</w:t>
            </w:r>
          </w:p>
        </w:tc>
        <w:tc>
          <w:tcPr>
            <w:tcW w:w="721" w:type="dxa"/>
            <w:vAlign w:val="center"/>
          </w:tcPr>
          <w:p>
            <w:pPr>
              <w:pStyle w:val="23"/>
              <w:ind w:left="0" w:leftChars="0" w:firstLine="0" w:firstLineChars="0"/>
              <w:jc w:val="center"/>
              <w:rPr>
                <w:rFonts w:hint="eastAsia" w:eastAsia="宋体"/>
                <w:vertAlign w:val="baseline"/>
                <w:lang w:eastAsia="zh-CN"/>
              </w:rPr>
            </w:pPr>
            <w:r>
              <w:rPr>
                <w:rFonts w:hint="eastAsia"/>
                <w:vertAlign w:val="baseline"/>
                <w:lang w:eastAsia="zh-CN"/>
              </w:rPr>
              <w:t>大专</w:t>
            </w:r>
          </w:p>
        </w:tc>
        <w:tc>
          <w:tcPr>
            <w:tcW w:w="1746" w:type="dxa"/>
            <w:vAlign w:val="center"/>
          </w:tcPr>
          <w:p>
            <w:pPr>
              <w:pStyle w:val="23"/>
              <w:ind w:left="0" w:leftChars="0" w:firstLine="0" w:firstLineChars="0"/>
              <w:jc w:val="center"/>
              <w:rPr>
                <w:rFonts w:hint="eastAsia" w:eastAsia="宋体"/>
                <w:vertAlign w:val="baseline"/>
                <w:lang w:eastAsia="zh-CN"/>
              </w:rPr>
            </w:pPr>
            <w:r>
              <w:rPr>
                <w:rFonts w:hint="eastAsia"/>
                <w:vertAlign w:val="baseline"/>
                <w:lang w:eastAsia="zh-CN"/>
              </w:rPr>
              <w:t>生产部长</w:t>
            </w:r>
          </w:p>
        </w:tc>
        <w:tc>
          <w:tcPr>
            <w:tcW w:w="1660" w:type="dxa"/>
            <w:vAlign w:val="center"/>
          </w:tcPr>
          <w:p>
            <w:pPr>
              <w:pStyle w:val="23"/>
              <w:ind w:left="0" w:leftChars="0" w:firstLine="0" w:firstLineChars="0"/>
              <w:jc w:val="center"/>
              <w:rPr>
                <w:rFonts w:hint="eastAsia" w:eastAsia="宋体"/>
                <w:vertAlign w:val="baseline"/>
                <w:lang w:eastAsia="zh-CN"/>
              </w:rPr>
            </w:pPr>
            <w:r>
              <w:rPr>
                <w:rFonts w:hint="eastAsia"/>
                <w:vertAlign w:val="baseline"/>
                <w:lang w:eastAsia="zh-CN"/>
              </w:rPr>
              <w:t>操作负责人</w:t>
            </w:r>
          </w:p>
        </w:tc>
        <w:tc>
          <w:tcPr>
            <w:tcW w:w="2445" w:type="dxa"/>
            <w:vAlign w:val="center"/>
          </w:tcPr>
          <w:p>
            <w:pPr>
              <w:pStyle w:val="23"/>
              <w:ind w:left="0" w:leftChars="0" w:firstLine="0" w:firstLineChars="0"/>
              <w:jc w:val="center"/>
              <w:rPr>
                <w:rFonts w:hint="eastAsia" w:ascii="Times New Roman" w:hAnsi="Times New Roman" w:cs="Times New Roman"/>
                <w:vertAlign w:val="baseline"/>
                <w:lang w:val="en-US" w:eastAsia="zh-CN"/>
              </w:rPr>
            </w:pPr>
            <w:r>
              <w:rPr>
                <w:rFonts w:hint="eastAsia" w:ascii="Times New Roman" w:hAnsi="Times New Roman" w:cs="Times New Roman"/>
                <w:vertAlign w:val="baseline"/>
                <w:lang w:val="en-US" w:eastAsia="zh-CN"/>
              </w:rPr>
              <w:t>420620196806160534</w:t>
            </w:r>
          </w:p>
        </w:tc>
        <w:tc>
          <w:tcPr>
            <w:tcW w:w="1722" w:type="dxa"/>
            <w:vAlign w:val="center"/>
          </w:tcPr>
          <w:p>
            <w:pPr>
              <w:pStyle w:val="23"/>
              <w:ind w:left="0" w:leftChars="0" w:firstLine="0" w:firstLineChars="0"/>
              <w:jc w:val="center"/>
              <w:rPr>
                <w:rFonts w:hint="default" w:eastAsia="宋体"/>
                <w:vertAlign w:val="baseline"/>
                <w:lang w:val="en-US" w:eastAsia="zh-CN"/>
              </w:rPr>
            </w:pPr>
            <w:r>
              <w:rPr>
                <w:rFonts w:hint="eastAsia"/>
                <w:vertAlign w:val="baseline"/>
                <w:lang w:val="en-US" w:eastAsia="zh-CN"/>
              </w:rPr>
              <w:t>2026.7.13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1106" w:type="dxa"/>
            <w:vAlign w:val="center"/>
          </w:tcPr>
          <w:p>
            <w:pPr>
              <w:pStyle w:val="23"/>
              <w:ind w:left="0" w:leftChars="0" w:firstLine="0" w:firstLineChars="0"/>
              <w:jc w:val="center"/>
              <w:rPr>
                <w:rFonts w:hint="eastAsia" w:eastAsia="宋体"/>
                <w:vertAlign w:val="baseline"/>
                <w:lang w:eastAsia="zh-CN"/>
              </w:rPr>
            </w:pPr>
            <w:r>
              <w:rPr>
                <w:rFonts w:hint="eastAsia"/>
                <w:vertAlign w:val="baseline"/>
                <w:lang w:eastAsia="zh-CN"/>
              </w:rPr>
              <w:t>王明胜</w:t>
            </w:r>
          </w:p>
        </w:tc>
        <w:tc>
          <w:tcPr>
            <w:tcW w:w="721" w:type="dxa"/>
            <w:vAlign w:val="center"/>
          </w:tcPr>
          <w:p>
            <w:pPr>
              <w:pStyle w:val="23"/>
              <w:ind w:left="0" w:leftChars="0" w:firstLine="0" w:firstLineChars="0"/>
              <w:jc w:val="center"/>
              <w:rPr>
                <w:rFonts w:hint="eastAsia" w:eastAsia="宋体"/>
                <w:vertAlign w:val="baseline"/>
                <w:lang w:eastAsia="zh-CN"/>
              </w:rPr>
            </w:pPr>
            <w:r>
              <w:rPr>
                <w:rFonts w:hint="eastAsia"/>
                <w:vertAlign w:val="baseline"/>
                <w:lang w:eastAsia="zh-CN"/>
              </w:rPr>
              <w:t>本科</w:t>
            </w:r>
          </w:p>
        </w:tc>
        <w:tc>
          <w:tcPr>
            <w:tcW w:w="1746" w:type="dxa"/>
            <w:vAlign w:val="center"/>
          </w:tcPr>
          <w:p>
            <w:pPr>
              <w:pStyle w:val="23"/>
              <w:ind w:left="0" w:leftChars="0" w:firstLine="0" w:firstLineChars="0"/>
              <w:jc w:val="center"/>
              <w:rPr>
                <w:rFonts w:hint="eastAsia" w:eastAsia="宋体"/>
                <w:vertAlign w:val="baseline"/>
                <w:lang w:eastAsia="zh-CN"/>
              </w:rPr>
            </w:pPr>
            <w:r>
              <w:rPr>
                <w:rFonts w:hint="eastAsia"/>
                <w:vertAlign w:val="baseline"/>
                <w:lang w:eastAsia="zh-CN"/>
              </w:rPr>
              <w:t>设备部长兼安环部长</w:t>
            </w:r>
          </w:p>
        </w:tc>
        <w:tc>
          <w:tcPr>
            <w:tcW w:w="1660" w:type="dxa"/>
            <w:vAlign w:val="center"/>
          </w:tcPr>
          <w:p>
            <w:pPr>
              <w:pStyle w:val="23"/>
              <w:ind w:left="0" w:leftChars="0" w:firstLine="0" w:firstLineChars="0"/>
              <w:jc w:val="center"/>
              <w:rPr>
                <w:rFonts w:hint="eastAsia" w:eastAsia="宋体"/>
                <w:vertAlign w:val="baseline"/>
                <w:lang w:eastAsia="zh-CN"/>
              </w:rPr>
            </w:pPr>
            <w:r>
              <w:rPr>
                <w:rFonts w:hint="eastAsia"/>
                <w:vertAlign w:val="baseline"/>
                <w:lang w:eastAsia="zh-CN"/>
              </w:rPr>
              <w:t>安全管理人员</w:t>
            </w:r>
          </w:p>
        </w:tc>
        <w:tc>
          <w:tcPr>
            <w:tcW w:w="2445" w:type="dxa"/>
            <w:vAlign w:val="center"/>
          </w:tcPr>
          <w:p>
            <w:pPr>
              <w:pStyle w:val="23"/>
              <w:ind w:left="0" w:leftChars="0" w:firstLine="0" w:firstLineChars="0"/>
              <w:jc w:val="center"/>
              <w:rPr>
                <w:rFonts w:hint="eastAsia" w:ascii="Times New Roman" w:hAnsi="Times New Roman" w:cs="Times New Roman"/>
                <w:vertAlign w:val="baseline"/>
                <w:lang w:val="en-US" w:eastAsia="zh-CN"/>
              </w:rPr>
            </w:pPr>
            <w:r>
              <w:rPr>
                <w:rFonts w:hint="eastAsia" w:ascii="Times New Roman" w:hAnsi="Times New Roman" w:cs="Times New Roman"/>
                <w:vertAlign w:val="baseline"/>
                <w:lang w:val="en-US" w:eastAsia="zh-CN"/>
              </w:rPr>
              <w:t>411524199407031439</w:t>
            </w:r>
          </w:p>
        </w:tc>
        <w:tc>
          <w:tcPr>
            <w:tcW w:w="1722" w:type="dxa"/>
            <w:vAlign w:val="center"/>
          </w:tcPr>
          <w:p>
            <w:pPr>
              <w:pStyle w:val="23"/>
              <w:ind w:left="0" w:leftChars="0" w:firstLine="0" w:firstLineChars="0"/>
              <w:jc w:val="center"/>
              <w:rPr>
                <w:rFonts w:hint="default" w:eastAsia="宋体"/>
                <w:vertAlign w:val="baseline"/>
                <w:lang w:val="en-US" w:eastAsia="zh-CN"/>
              </w:rPr>
            </w:pPr>
            <w:r>
              <w:rPr>
                <w:rFonts w:hint="eastAsia"/>
                <w:vertAlign w:val="baseline"/>
                <w:lang w:val="en-US" w:eastAsia="zh-CN"/>
              </w:rPr>
              <w:t>2025.7.14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6" w:type="dxa"/>
            <w:vAlign w:val="center"/>
          </w:tcPr>
          <w:p>
            <w:pPr>
              <w:pStyle w:val="23"/>
              <w:ind w:left="0" w:leftChars="0" w:firstLine="0" w:firstLineChars="0"/>
              <w:jc w:val="center"/>
              <w:rPr>
                <w:rFonts w:hint="eastAsia" w:eastAsia="宋体"/>
                <w:vertAlign w:val="baseline"/>
                <w:lang w:eastAsia="zh-CN"/>
              </w:rPr>
            </w:pPr>
            <w:r>
              <w:rPr>
                <w:rFonts w:hint="eastAsia"/>
                <w:vertAlign w:val="baseline"/>
                <w:lang w:eastAsia="zh-CN"/>
              </w:rPr>
              <w:t>陈宏</w:t>
            </w:r>
          </w:p>
        </w:tc>
        <w:tc>
          <w:tcPr>
            <w:tcW w:w="721" w:type="dxa"/>
            <w:vAlign w:val="center"/>
          </w:tcPr>
          <w:p>
            <w:pPr>
              <w:pStyle w:val="23"/>
              <w:ind w:left="0" w:leftChars="0" w:firstLine="0" w:firstLineChars="0"/>
              <w:jc w:val="center"/>
              <w:rPr>
                <w:rFonts w:hint="eastAsia" w:eastAsia="宋体"/>
                <w:vertAlign w:val="baseline"/>
                <w:lang w:eastAsia="zh-CN"/>
              </w:rPr>
            </w:pPr>
            <w:r>
              <w:rPr>
                <w:rFonts w:hint="eastAsia"/>
                <w:vertAlign w:val="baseline"/>
                <w:lang w:eastAsia="zh-CN"/>
              </w:rPr>
              <w:t>高中</w:t>
            </w:r>
          </w:p>
        </w:tc>
        <w:tc>
          <w:tcPr>
            <w:tcW w:w="1746" w:type="dxa"/>
            <w:vAlign w:val="center"/>
          </w:tcPr>
          <w:p>
            <w:pPr>
              <w:pStyle w:val="23"/>
              <w:ind w:left="0" w:leftChars="0" w:firstLine="0" w:firstLineChars="0"/>
              <w:jc w:val="center"/>
              <w:rPr>
                <w:rFonts w:hint="eastAsia" w:eastAsia="宋体"/>
                <w:vertAlign w:val="baseline"/>
                <w:lang w:eastAsia="zh-CN"/>
              </w:rPr>
            </w:pPr>
            <w:r>
              <w:rPr>
                <w:rFonts w:hint="eastAsia"/>
                <w:vertAlign w:val="baseline"/>
                <w:lang w:eastAsia="zh-CN"/>
              </w:rPr>
              <w:t>安环部副部长</w:t>
            </w:r>
          </w:p>
        </w:tc>
        <w:tc>
          <w:tcPr>
            <w:tcW w:w="1660" w:type="dxa"/>
            <w:vAlign w:val="center"/>
          </w:tcPr>
          <w:p>
            <w:pPr>
              <w:pStyle w:val="23"/>
              <w:ind w:left="0" w:leftChars="0" w:firstLine="0" w:firstLineChars="0"/>
              <w:jc w:val="center"/>
              <w:rPr>
                <w:vertAlign w:val="baseline"/>
              </w:rPr>
            </w:pPr>
            <w:r>
              <w:rPr>
                <w:rFonts w:hint="eastAsia"/>
                <w:vertAlign w:val="baseline"/>
                <w:lang w:eastAsia="zh-CN"/>
              </w:rPr>
              <w:t>安全管理人员</w:t>
            </w:r>
          </w:p>
        </w:tc>
        <w:tc>
          <w:tcPr>
            <w:tcW w:w="2445" w:type="dxa"/>
            <w:vAlign w:val="center"/>
          </w:tcPr>
          <w:p>
            <w:pPr>
              <w:pStyle w:val="23"/>
              <w:ind w:left="0" w:leftChars="0" w:firstLine="0" w:firstLineChars="0"/>
              <w:jc w:val="center"/>
              <w:rPr>
                <w:rFonts w:hint="eastAsia" w:ascii="Times New Roman" w:hAnsi="Times New Roman" w:cs="Times New Roman"/>
                <w:vertAlign w:val="baseline"/>
                <w:lang w:val="en-US" w:eastAsia="zh-CN"/>
              </w:rPr>
            </w:pPr>
            <w:r>
              <w:rPr>
                <w:rFonts w:hint="eastAsia" w:ascii="Times New Roman" w:hAnsi="Times New Roman" w:cs="Times New Roman"/>
                <w:vertAlign w:val="baseline"/>
                <w:lang w:val="en-US" w:eastAsia="zh-CN"/>
              </w:rPr>
              <w:t>420620196803261014</w:t>
            </w:r>
          </w:p>
        </w:tc>
        <w:tc>
          <w:tcPr>
            <w:tcW w:w="1722" w:type="dxa"/>
            <w:vAlign w:val="center"/>
          </w:tcPr>
          <w:p>
            <w:pPr>
              <w:pStyle w:val="23"/>
              <w:ind w:left="0" w:leftChars="0" w:firstLine="0" w:firstLineChars="0"/>
              <w:jc w:val="center"/>
              <w:rPr>
                <w:rFonts w:hint="default" w:eastAsia="宋体"/>
                <w:vertAlign w:val="baseline"/>
                <w:lang w:val="en-US" w:eastAsia="zh-CN"/>
              </w:rPr>
            </w:pPr>
            <w:r>
              <w:rPr>
                <w:rFonts w:hint="eastAsia"/>
                <w:vertAlign w:val="baseline"/>
                <w:lang w:val="en-US" w:eastAsia="zh-CN"/>
              </w:rPr>
              <w:t>2026.9.19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6" w:type="dxa"/>
            <w:vAlign w:val="center"/>
          </w:tcPr>
          <w:p>
            <w:pPr>
              <w:pStyle w:val="23"/>
              <w:ind w:left="0" w:leftChars="0" w:firstLine="0" w:firstLineChars="0"/>
              <w:jc w:val="center"/>
              <w:rPr>
                <w:rFonts w:hint="eastAsia" w:eastAsia="宋体"/>
                <w:vertAlign w:val="baseline"/>
                <w:lang w:eastAsia="zh-CN"/>
              </w:rPr>
            </w:pPr>
            <w:r>
              <w:rPr>
                <w:rFonts w:hint="eastAsia"/>
                <w:vertAlign w:val="baseline"/>
                <w:lang w:eastAsia="zh-CN"/>
              </w:rPr>
              <w:t>刘付俊</w:t>
            </w:r>
          </w:p>
        </w:tc>
        <w:tc>
          <w:tcPr>
            <w:tcW w:w="721" w:type="dxa"/>
            <w:vAlign w:val="center"/>
          </w:tcPr>
          <w:p>
            <w:pPr>
              <w:pStyle w:val="23"/>
              <w:ind w:left="0" w:leftChars="0" w:firstLine="0" w:firstLineChars="0"/>
              <w:jc w:val="center"/>
              <w:rPr>
                <w:rFonts w:hint="eastAsia" w:eastAsia="宋体"/>
                <w:vertAlign w:val="baseline"/>
                <w:lang w:eastAsia="zh-CN"/>
              </w:rPr>
            </w:pPr>
            <w:r>
              <w:rPr>
                <w:rFonts w:hint="eastAsia"/>
                <w:vertAlign w:val="baseline"/>
                <w:lang w:eastAsia="zh-CN"/>
              </w:rPr>
              <w:t>本科</w:t>
            </w:r>
          </w:p>
        </w:tc>
        <w:tc>
          <w:tcPr>
            <w:tcW w:w="1746" w:type="dxa"/>
            <w:vAlign w:val="center"/>
          </w:tcPr>
          <w:p>
            <w:pPr>
              <w:pStyle w:val="23"/>
              <w:ind w:left="0" w:leftChars="0" w:firstLine="0" w:firstLineChars="0"/>
              <w:jc w:val="center"/>
              <w:rPr>
                <w:rFonts w:hint="eastAsia" w:eastAsia="宋体"/>
                <w:vertAlign w:val="baseline"/>
                <w:lang w:eastAsia="zh-CN"/>
              </w:rPr>
            </w:pPr>
            <w:r>
              <w:rPr>
                <w:rFonts w:hint="eastAsia"/>
                <w:vertAlign w:val="baseline"/>
                <w:lang w:eastAsia="zh-CN"/>
              </w:rPr>
              <w:t>技术部长</w:t>
            </w:r>
          </w:p>
        </w:tc>
        <w:tc>
          <w:tcPr>
            <w:tcW w:w="1660" w:type="dxa"/>
            <w:vAlign w:val="center"/>
          </w:tcPr>
          <w:p>
            <w:pPr>
              <w:pStyle w:val="23"/>
              <w:ind w:left="0" w:leftChars="0" w:firstLine="0" w:firstLineChars="0"/>
              <w:jc w:val="center"/>
              <w:rPr>
                <w:vertAlign w:val="baseline"/>
              </w:rPr>
            </w:pPr>
            <w:r>
              <w:rPr>
                <w:rFonts w:hint="eastAsia"/>
                <w:vertAlign w:val="baseline"/>
                <w:lang w:eastAsia="zh-CN"/>
              </w:rPr>
              <w:t>安全管理人员</w:t>
            </w:r>
          </w:p>
        </w:tc>
        <w:tc>
          <w:tcPr>
            <w:tcW w:w="2445" w:type="dxa"/>
            <w:vAlign w:val="center"/>
          </w:tcPr>
          <w:p>
            <w:pPr>
              <w:pStyle w:val="23"/>
              <w:ind w:left="0" w:leftChars="0" w:firstLine="0" w:firstLineChars="0"/>
              <w:jc w:val="center"/>
              <w:rPr>
                <w:rFonts w:hint="eastAsia" w:ascii="Times New Roman" w:hAnsi="Times New Roman" w:cs="Times New Roman"/>
                <w:vertAlign w:val="baseline"/>
                <w:lang w:val="en-US" w:eastAsia="zh-CN"/>
              </w:rPr>
            </w:pPr>
            <w:r>
              <w:rPr>
                <w:rFonts w:hint="eastAsia" w:ascii="Times New Roman" w:hAnsi="Times New Roman" w:cs="Times New Roman"/>
                <w:vertAlign w:val="baseline"/>
                <w:lang w:val="en-US" w:eastAsia="zh-CN"/>
              </w:rPr>
              <w:t>421081198708051879</w:t>
            </w:r>
          </w:p>
        </w:tc>
        <w:tc>
          <w:tcPr>
            <w:tcW w:w="1722" w:type="dxa"/>
            <w:vAlign w:val="center"/>
          </w:tcPr>
          <w:p>
            <w:pPr>
              <w:pStyle w:val="23"/>
              <w:ind w:left="0" w:leftChars="0" w:firstLine="0" w:firstLineChars="0"/>
              <w:jc w:val="center"/>
              <w:rPr>
                <w:rFonts w:hint="default" w:eastAsia="宋体"/>
                <w:vertAlign w:val="baseline"/>
                <w:lang w:val="en-US" w:eastAsia="zh-CN"/>
              </w:rPr>
            </w:pPr>
            <w:r>
              <w:rPr>
                <w:rFonts w:hint="eastAsia"/>
                <w:vertAlign w:val="baseline"/>
                <w:lang w:val="en-US" w:eastAsia="zh-CN"/>
              </w:rPr>
              <w:t>2026.7.12</w:t>
            </w:r>
          </w:p>
        </w:tc>
      </w:tr>
    </w:tbl>
    <w:p>
      <w:pPr>
        <w:spacing w:line="360" w:lineRule="auto"/>
        <w:rPr>
          <w:rFonts w:ascii="宋体" w:hAnsi="宋体"/>
          <w:sz w:val="24"/>
        </w:rPr>
      </w:pPr>
    </w:p>
    <w:p>
      <w:pPr>
        <w:spacing w:line="360" w:lineRule="auto"/>
        <w:ind w:firstLine="480" w:firstLineChars="200"/>
        <w:rPr>
          <w:rFonts w:ascii="宋体" w:hAnsi="宋体"/>
          <w:sz w:val="24"/>
        </w:rPr>
      </w:pPr>
      <w:r>
        <w:rPr>
          <w:rFonts w:hint="eastAsia" w:ascii="宋体" w:hAnsi="宋体"/>
          <w:sz w:val="24"/>
        </w:rPr>
        <w:t>主要设备见下表：</w:t>
      </w:r>
    </w:p>
    <w:tbl>
      <w:tblPr>
        <w:tblStyle w:val="24"/>
        <w:tblW w:w="8647" w:type="dxa"/>
        <w:tblInd w:w="420" w:type="dxa"/>
        <w:tblLayout w:type="fixed"/>
        <w:tblCellMar>
          <w:top w:w="0" w:type="dxa"/>
          <w:left w:w="108" w:type="dxa"/>
          <w:bottom w:w="0" w:type="dxa"/>
          <w:right w:w="108" w:type="dxa"/>
        </w:tblCellMar>
      </w:tblPr>
      <w:tblGrid>
        <w:gridCol w:w="709"/>
        <w:gridCol w:w="2268"/>
        <w:gridCol w:w="2694"/>
        <w:gridCol w:w="708"/>
        <w:gridCol w:w="993"/>
        <w:gridCol w:w="1275"/>
      </w:tblGrid>
      <w:tr>
        <w:tblPrEx>
          <w:tblCellMar>
            <w:top w:w="0" w:type="dxa"/>
            <w:left w:w="108" w:type="dxa"/>
            <w:bottom w:w="0" w:type="dxa"/>
            <w:right w:w="108" w:type="dxa"/>
          </w:tblCellMar>
        </w:tblPrEx>
        <w:trPr>
          <w:trHeight w:val="480" w:hRule="atLeast"/>
        </w:trPr>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序号</w:t>
            </w:r>
          </w:p>
        </w:tc>
        <w:tc>
          <w:tcPr>
            <w:tcW w:w="2268" w:type="dxa"/>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设备名称</w:t>
            </w:r>
          </w:p>
        </w:tc>
        <w:tc>
          <w:tcPr>
            <w:tcW w:w="2694" w:type="dxa"/>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设备参数</w:t>
            </w:r>
          </w:p>
        </w:tc>
        <w:tc>
          <w:tcPr>
            <w:tcW w:w="708" w:type="dxa"/>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单位</w:t>
            </w:r>
          </w:p>
        </w:tc>
        <w:tc>
          <w:tcPr>
            <w:tcW w:w="993" w:type="dxa"/>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数量</w:t>
            </w:r>
          </w:p>
        </w:tc>
        <w:tc>
          <w:tcPr>
            <w:tcW w:w="1275" w:type="dxa"/>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材质</w:t>
            </w:r>
          </w:p>
        </w:tc>
      </w:tr>
      <w:tr>
        <w:tblPrEx>
          <w:tblCellMar>
            <w:top w:w="0" w:type="dxa"/>
            <w:left w:w="108" w:type="dxa"/>
            <w:bottom w:w="0" w:type="dxa"/>
            <w:right w:w="108" w:type="dxa"/>
          </w:tblCellMar>
        </w:tblPrEx>
        <w:trPr>
          <w:trHeight w:val="411" w:hRule="atLeast"/>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w:t>
            </w:r>
          </w:p>
        </w:tc>
        <w:tc>
          <w:tcPr>
            <w:tcW w:w="2268" w:type="dxa"/>
            <w:tcBorders>
              <w:top w:val="nil"/>
              <w:left w:val="nil"/>
              <w:bottom w:val="single" w:color="auto" w:sz="4" w:space="0"/>
              <w:right w:val="single" w:color="auto" w:sz="4" w:space="0"/>
            </w:tcBorders>
            <w:shd w:val="clear" w:color="auto" w:fill="auto"/>
            <w:vAlign w:val="center"/>
          </w:tcPr>
          <w:p>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氯气气化器</w:t>
            </w:r>
          </w:p>
        </w:tc>
        <w:tc>
          <w:tcPr>
            <w:tcW w:w="2694" w:type="dxa"/>
            <w:tcBorders>
              <w:top w:val="nil"/>
              <w:left w:val="nil"/>
              <w:bottom w:val="single" w:color="auto" w:sz="4" w:space="0"/>
              <w:right w:val="single" w:color="auto" w:sz="4" w:space="0"/>
            </w:tcBorders>
            <w:shd w:val="clear" w:color="auto" w:fill="auto"/>
            <w:vAlign w:val="center"/>
          </w:tcPr>
          <w:p>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V=1.2X0.6m3立式</w:t>
            </w:r>
          </w:p>
        </w:tc>
        <w:tc>
          <w:tcPr>
            <w:tcW w:w="708"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台</w:t>
            </w:r>
          </w:p>
        </w:tc>
        <w:tc>
          <w:tcPr>
            <w:tcW w:w="993"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3</w:t>
            </w:r>
          </w:p>
        </w:tc>
        <w:tc>
          <w:tcPr>
            <w:tcW w:w="1275"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Q235</w:t>
            </w:r>
          </w:p>
        </w:tc>
      </w:tr>
      <w:tr>
        <w:tblPrEx>
          <w:tblCellMar>
            <w:top w:w="0" w:type="dxa"/>
            <w:left w:w="108" w:type="dxa"/>
            <w:bottom w:w="0" w:type="dxa"/>
            <w:right w:w="108" w:type="dxa"/>
          </w:tblCellMar>
        </w:tblPrEx>
        <w:trPr>
          <w:trHeight w:val="403" w:hRule="atLeast"/>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w:t>
            </w:r>
          </w:p>
        </w:tc>
        <w:tc>
          <w:tcPr>
            <w:tcW w:w="2268" w:type="dxa"/>
            <w:tcBorders>
              <w:top w:val="nil"/>
              <w:left w:val="nil"/>
              <w:bottom w:val="single" w:color="auto" w:sz="4" w:space="0"/>
              <w:right w:val="single" w:color="auto" w:sz="4" w:space="0"/>
            </w:tcBorders>
            <w:shd w:val="clear" w:color="auto" w:fill="auto"/>
            <w:vAlign w:val="center"/>
          </w:tcPr>
          <w:p>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氯气缓冲罐</w:t>
            </w:r>
          </w:p>
        </w:tc>
        <w:tc>
          <w:tcPr>
            <w:tcW w:w="2694" w:type="dxa"/>
            <w:tcBorders>
              <w:top w:val="nil"/>
              <w:left w:val="nil"/>
              <w:bottom w:val="single" w:color="auto" w:sz="4" w:space="0"/>
              <w:right w:val="single" w:color="auto" w:sz="4" w:space="0"/>
            </w:tcBorders>
            <w:shd w:val="clear" w:color="auto" w:fill="auto"/>
            <w:vAlign w:val="center"/>
          </w:tcPr>
          <w:p>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V=0.5m3立式</w:t>
            </w:r>
          </w:p>
        </w:tc>
        <w:tc>
          <w:tcPr>
            <w:tcW w:w="708"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台</w:t>
            </w:r>
          </w:p>
        </w:tc>
        <w:tc>
          <w:tcPr>
            <w:tcW w:w="993"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6</w:t>
            </w:r>
          </w:p>
        </w:tc>
        <w:tc>
          <w:tcPr>
            <w:tcW w:w="1275"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Q235B</w:t>
            </w:r>
          </w:p>
        </w:tc>
      </w:tr>
      <w:tr>
        <w:tblPrEx>
          <w:tblCellMar>
            <w:top w:w="0" w:type="dxa"/>
            <w:left w:w="108" w:type="dxa"/>
            <w:bottom w:w="0" w:type="dxa"/>
            <w:right w:w="108" w:type="dxa"/>
          </w:tblCellMar>
        </w:tblPrEx>
        <w:trPr>
          <w:trHeight w:val="423" w:hRule="atLeast"/>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3</w:t>
            </w:r>
          </w:p>
        </w:tc>
        <w:tc>
          <w:tcPr>
            <w:tcW w:w="2268" w:type="dxa"/>
            <w:tcBorders>
              <w:top w:val="nil"/>
              <w:left w:val="nil"/>
              <w:bottom w:val="single" w:color="auto" w:sz="4" w:space="0"/>
              <w:right w:val="single" w:color="auto" w:sz="4" w:space="0"/>
            </w:tcBorders>
            <w:shd w:val="clear" w:color="auto" w:fill="auto"/>
            <w:vAlign w:val="center"/>
          </w:tcPr>
          <w:p>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氯化三级捕集罐</w:t>
            </w:r>
          </w:p>
        </w:tc>
        <w:tc>
          <w:tcPr>
            <w:tcW w:w="2694" w:type="dxa"/>
            <w:tcBorders>
              <w:top w:val="nil"/>
              <w:left w:val="nil"/>
              <w:bottom w:val="single" w:color="auto" w:sz="4" w:space="0"/>
              <w:right w:val="single" w:color="auto" w:sz="4" w:space="0"/>
            </w:tcBorders>
            <w:shd w:val="clear" w:color="auto" w:fill="auto"/>
            <w:vAlign w:val="center"/>
          </w:tcPr>
          <w:p>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V=0.5m3立式</w:t>
            </w:r>
          </w:p>
        </w:tc>
        <w:tc>
          <w:tcPr>
            <w:tcW w:w="708"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台</w:t>
            </w:r>
          </w:p>
        </w:tc>
        <w:tc>
          <w:tcPr>
            <w:tcW w:w="993"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3</w:t>
            </w:r>
          </w:p>
        </w:tc>
        <w:tc>
          <w:tcPr>
            <w:tcW w:w="1275"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搪瓷</w:t>
            </w:r>
          </w:p>
        </w:tc>
      </w:tr>
      <w:tr>
        <w:tblPrEx>
          <w:tblCellMar>
            <w:top w:w="0" w:type="dxa"/>
            <w:left w:w="108" w:type="dxa"/>
            <w:bottom w:w="0" w:type="dxa"/>
            <w:right w:w="108" w:type="dxa"/>
          </w:tblCellMar>
        </w:tblPrEx>
        <w:trPr>
          <w:trHeight w:val="415" w:hRule="atLeast"/>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4</w:t>
            </w:r>
          </w:p>
        </w:tc>
        <w:tc>
          <w:tcPr>
            <w:tcW w:w="2268" w:type="dxa"/>
            <w:tcBorders>
              <w:top w:val="nil"/>
              <w:left w:val="nil"/>
              <w:bottom w:val="single" w:color="auto" w:sz="4" w:space="0"/>
              <w:right w:val="single" w:color="auto" w:sz="4" w:space="0"/>
            </w:tcBorders>
            <w:shd w:val="clear" w:color="auto" w:fill="auto"/>
            <w:vAlign w:val="center"/>
          </w:tcPr>
          <w:p>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邻氯三氯苄槽</w:t>
            </w:r>
          </w:p>
        </w:tc>
        <w:tc>
          <w:tcPr>
            <w:tcW w:w="2694" w:type="dxa"/>
            <w:tcBorders>
              <w:top w:val="nil"/>
              <w:left w:val="nil"/>
              <w:bottom w:val="single" w:color="auto" w:sz="4" w:space="0"/>
              <w:right w:val="single" w:color="auto" w:sz="4" w:space="0"/>
            </w:tcBorders>
            <w:shd w:val="clear" w:color="auto" w:fill="auto"/>
            <w:vAlign w:val="center"/>
          </w:tcPr>
          <w:p>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V=10m3卧式</w:t>
            </w:r>
          </w:p>
        </w:tc>
        <w:tc>
          <w:tcPr>
            <w:tcW w:w="708"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台</w:t>
            </w:r>
          </w:p>
        </w:tc>
        <w:tc>
          <w:tcPr>
            <w:tcW w:w="993"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w:t>
            </w:r>
          </w:p>
        </w:tc>
        <w:tc>
          <w:tcPr>
            <w:tcW w:w="1275"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搪瓷</w:t>
            </w:r>
          </w:p>
        </w:tc>
      </w:tr>
      <w:tr>
        <w:tblPrEx>
          <w:tblCellMar>
            <w:top w:w="0" w:type="dxa"/>
            <w:left w:w="108" w:type="dxa"/>
            <w:bottom w:w="0" w:type="dxa"/>
            <w:right w:w="108" w:type="dxa"/>
          </w:tblCellMar>
        </w:tblPrEx>
        <w:trPr>
          <w:trHeight w:val="407" w:hRule="atLeast"/>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5</w:t>
            </w:r>
          </w:p>
        </w:tc>
        <w:tc>
          <w:tcPr>
            <w:tcW w:w="2268" w:type="dxa"/>
            <w:tcBorders>
              <w:top w:val="nil"/>
              <w:left w:val="nil"/>
              <w:bottom w:val="single" w:color="auto" w:sz="4" w:space="0"/>
              <w:right w:val="single" w:color="auto" w:sz="4" w:space="0"/>
            </w:tcBorders>
            <w:shd w:val="clear" w:color="auto" w:fill="auto"/>
            <w:vAlign w:val="center"/>
          </w:tcPr>
          <w:p>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邻氯甲苯高位槽</w:t>
            </w:r>
          </w:p>
        </w:tc>
        <w:tc>
          <w:tcPr>
            <w:tcW w:w="2694" w:type="dxa"/>
            <w:tcBorders>
              <w:top w:val="nil"/>
              <w:left w:val="nil"/>
              <w:bottom w:val="single" w:color="auto" w:sz="4" w:space="0"/>
              <w:right w:val="single" w:color="auto" w:sz="4" w:space="0"/>
            </w:tcBorders>
            <w:shd w:val="clear" w:color="auto" w:fill="auto"/>
            <w:vAlign w:val="center"/>
          </w:tcPr>
          <w:p>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V=4m3立式</w:t>
            </w:r>
          </w:p>
        </w:tc>
        <w:tc>
          <w:tcPr>
            <w:tcW w:w="708"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台</w:t>
            </w:r>
          </w:p>
        </w:tc>
        <w:tc>
          <w:tcPr>
            <w:tcW w:w="993"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w:t>
            </w:r>
          </w:p>
        </w:tc>
        <w:tc>
          <w:tcPr>
            <w:tcW w:w="1275"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搪瓷</w:t>
            </w:r>
          </w:p>
        </w:tc>
      </w:tr>
      <w:tr>
        <w:tblPrEx>
          <w:tblCellMar>
            <w:top w:w="0" w:type="dxa"/>
            <w:left w:w="108" w:type="dxa"/>
            <w:bottom w:w="0" w:type="dxa"/>
            <w:right w:w="108" w:type="dxa"/>
          </w:tblCellMar>
        </w:tblPrEx>
        <w:trPr>
          <w:trHeight w:val="480" w:hRule="atLeast"/>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6</w:t>
            </w:r>
          </w:p>
        </w:tc>
        <w:tc>
          <w:tcPr>
            <w:tcW w:w="2268" w:type="dxa"/>
            <w:tcBorders>
              <w:top w:val="nil"/>
              <w:left w:val="nil"/>
              <w:bottom w:val="single" w:color="auto" w:sz="4" w:space="0"/>
              <w:right w:val="single" w:color="auto" w:sz="4" w:space="0"/>
            </w:tcBorders>
            <w:shd w:val="clear" w:color="auto" w:fill="auto"/>
            <w:vAlign w:val="center"/>
          </w:tcPr>
          <w:p>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氯化一级捕集罐</w:t>
            </w:r>
          </w:p>
        </w:tc>
        <w:tc>
          <w:tcPr>
            <w:tcW w:w="2694" w:type="dxa"/>
            <w:tcBorders>
              <w:top w:val="nil"/>
              <w:left w:val="nil"/>
              <w:bottom w:val="single" w:color="auto" w:sz="4" w:space="0"/>
              <w:right w:val="single" w:color="auto" w:sz="4" w:space="0"/>
            </w:tcBorders>
            <w:shd w:val="clear" w:color="auto" w:fill="auto"/>
            <w:vAlign w:val="center"/>
          </w:tcPr>
          <w:p>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V=0.5m3立式</w:t>
            </w:r>
          </w:p>
        </w:tc>
        <w:tc>
          <w:tcPr>
            <w:tcW w:w="708"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台</w:t>
            </w:r>
          </w:p>
        </w:tc>
        <w:tc>
          <w:tcPr>
            <w:tcW w:w="993"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3</w:t>
            </w:r>
          </w:p>
        </w:tc>
        <w:tc>
          <w:tcPr>
            <w:tcW w:w="1275"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PP</w:t>
            </w:r>
          </w:p>
        </w:tc>
      </w:tr>
      <w:tr>
        <w:tblPrEx>
          <w:tblCellMar>
            <w:top w:w="0" w:type="dxa"/>
            <w:left w:w="108" w:type="dxa"/>
            <w:bottom w:w="0" w:type="dxa"/>
            <w:right w:w="108" w:type="dxa"/>
          </w:tblCellMar>
        </w:tblPrEx>
        <w:trPr>
          <w:trHeight w:val="480" w:hRule="atLeast"/>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7</w:t>
            </w:r>
          </w:p>
        </w:tc>
        <w:tc>
          <w:tcPr>
            <w:tcW w:w="2268" w:type="dxa"/>
            <w:tcBorders>
              <w:top w:val="nil"/>
              <w:left w:val="nil"/>
              <w:bottom w:val="single" w:color="auto" w:sz="4" w:space="0"/>
              <w:right w:val="single" w:color="auto" w:sz="4" w:space="0"/>
            </w:tcBorders>
            <w:shd w:val="clear" w:color="auto" w:fill="auto"/>
            <w:vAlign w:val="center"/>
          </w:tcPr>
          <w:p>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水解釜原料高位槽</w:t>
            </w:r>
          </w:p>
        </w:tc>
        <w:tc>
          <w:tcPr>
            <w:tcW w:w="2694" w:type="dxa"/>
            <w:tcBorders>
              <w:top w:val="nil"/>
              <w:left w:val="nil"/>
              <w:bottom w:val="single" w:color="auto" w:sz="4" w:space="0"/>
              <w:right w:val="single" w:color="auto" w:sz="4" w:space="0"/>
            </w:tcBorders>
            <w:shd w:val="clear" w:color="auto" w:fill="auto"/>
            <w:vAlign w:val="center"/>
          </w:tcPr>
          <w:p>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V=3m3立式</w:t>
            </w:r>
          </w:p>
        </w:tc>
        <w:tc>
          <w:tcPr>
            <w:tcW w:w="708"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台</w:t>
            </w:r>
          </w:p>
        </w:tc>
        <w:tc>
          <w:tcPr>
            <w:tcW w:w="993"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w:t>
            </w:r>
          </w:p>
        </w:tc>
        <w:tc>
          <w:tcPr>
            <w:tcW w:w="1275"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搪瓷</w:t>
            </w:r>
          </w:p>
        </w:tc>
      </w:tr>
      <w:tr>
        <w:tblPrEx>
          <w:tblCellMar>
            <w:top w:w="0" w:type="dxa"/>
            <w:left w:w="108" w:type="dxa"/>
            <w:bottom w:w="0" w:type="dxa"/>
            <w:right w:w="108" w:type="dxa"/>
          </w:tblCellMar>
        </w:tblPrEx>
        <w:trPr>
          <w:trHeight w:val="480" w:hRule="atLeast"/>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8</w:t>
            </w:r>
          </w:p>
        </w:tc>
        <w:tc>
          <w:tcPr>
            <w:tcW w:w="2268" w:type="dxa"/>
            <w:tcBorders>
              <w:top w:val="nil"/>
              <w:left w:val="nil"/>
              <w:bottom w:val="single" w:color="auto" w:sz="4" w:space="0"/>
              <w:right w:val="single" w:color="auto" w:sz="4" w:space="0"/>
            </w:tcBorders>
            <w:shd w:val="clear" w:color="auto" w:fill="auto"/>
            <w:vAlign w:val="center"/>
          </w:tcPr>
          <w:p>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回用废水槽</w:t>
            </w:r>
          </w:p>
        </w:tc>
        <w:tc>
          <w:tcPr>
            <w:tcW w:w="2694" w:type="dxa"/>
            <w:tcBorders>
              <w:top w:val="nil"/>
              <w:left w:val="nil"/>
              <w:bottom w:val="single" w:color="auto" w:sz="4" w:space="0"/>
              <w:right w:val="single" w:color="auto" w:sz="4" w:space="0"/>
            </w:tcBorders>
            <w:shd w:val="clear" w:color="auto" w:fill="auto"/>
            <w:vAlign w:val="center"/>
          </w:tcPr>
          <w:p>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V=20m3</w:t>
            </w:r>
          </w:p>
        </w:tc>
        <w:tc>
          <w:tcPr>
            <w:tcW w:w="708"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台</w:t>
            </w:r>
          </w:p>
        </w:tc>
        <w:tc>
          <w:tcPr>
            <w:tcW w:w="993"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w:t>
            </w:r>
          </w:p>
        </w:tc>
        <w:tc>
          <w:tcPr>
            <w:tcW w:w="1275"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PP</w:t>
            </w:r>
          </w:p>
        </w:tc>
      </w:tr>
      <w:tr>
        <w:tblPrEx>
          <w:tblCellMar>
            <w:top w:w="0" w:type="dxa"/>
            <w:left w:w="108" w:type="dxa"/>
            <w:bottom w:w="0" w:type="dxa"/>
            <w:right w:w="108" w:type="dxa"/>
          </w:tblCellMar>
        </w:tblPrEx>
        <w:trPr>
          <w:trHeight w:val="480" w:hRule="atLeast"/>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9</w:t>
            </w:r>
          </w:p>
        </w:tc>
        <w:tc>
          <w:tcPr>
            <w:tcW w:w="2268" w:type="dxa"/>
            <w:tcBorders>
              <w:top w:val="nil"/>
              <w:left w:val="nil"/>
              <w:bottom w:val="single" w:color="auto" w:sz="4" w:space="0"/>
              <w:right w:val="single" w:color="auto" w:sz="4" w:space="0"/>
            </w:tcBorders>
            <w:shd w:val="clear" w:color="auto" w:fill="auto"/>
            <w:vAlign w:val="center"/>
          </w:tcPr>
          <w:p>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水解液分离罐</w:t>
            </w:r>
          </w:p>
        </w:tc>
        <w:tc>
          <w:tcPr>
            <w:tcW w:w="2694" w:type="dxa"/>
            <w:tcBorders>
              <w:top w:val="nil"/>
              <w:left w:val="nil"/>
              <w:bottom w:val="single" w:color="auto" w:sz="4" w:space="0"/>
              <w:right w:val="single" w:color="auto" w:sz="4" w:space="0"/>
            </w:tcBorders>
            <w:shd w:val="clear" w:color="auto" w:fill="auto"/>
            <w:vAlign w:val="center"/>
          </w:tcPr>
          <w:p>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V=10m3</w:t>
            </w:r>
          </w:p>
        </w:tc>
        <w:tc>
          <w:tcPr>
            <w:tcW w:w="708"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台</w:t>
            </w:r>
          </w:p>
        </w:tc>
        <w:tc>
          <w:tcPr>
            <w:tcW w:w="993"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w:t>
            </w:r>
          </w:p>
        </w:tc>
        <w:tc>
          <w:tcPr>
            <w:tcW w:w="1275"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搪瓷</w:t>
            </w:r>
          </w:p>
        </w:tc>
      </w:tr>
      <w:tr>
        <w:tblPrEx>
          <w:tblCellMar>
            <w:top w:w="0" w:type="dxa"/>
            <w:left w:w="108" w:type="dxa"/>
            <w:bottom w:w="0" w:type="dxa"/>
            <w:right w:w="108" w:type="dxa"/>
          </w:tblCellMar>
        </w:tblPrEx>
        <w:trPr>
          <w:trHeight w:val="480" w:hRule="atLeast"/>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2268" w:type="dxa"/>
            <w:tcBorders>
              <w:top w:val="nil"/>
              <w:left w:val="nil"/>
              <w:bottom w:val="single" w:color="auto" w:sz="4" w:space="0"/>
              <w:right w:val="single" w:color="auto" w:sz="4" w:space="0"/>
            </w:tcBorders>
            <w:shd w:val="clear" w:color="auto" w:fill="auto"/>
            <w:vAlign w:val="center"/>
          </w:tcPr>
          <w:p>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水解尾气一吸缓冲罐</w:t>
            </w:r>
          </w:p>
        </w:tc>
        <w:tc>
          <w:tcPr>
            <w:tcW w:w="2694" w:type="dxa"/>
            <w:tcBorders>
              <w:top w:val="nil"/>
              <w:left w:val="nil"/>
              <w:bottom w:val="single" w:color="auto" w:sz="4" w:space="0"/>
              <w:right w:val="single" w:color="auto" w:sz="4" w:space="0"/>
            </w:tcBorders>
            <w:shd w:val="clear" w:color="auto" w:fill="auto"/>
            <w:vAlign w:val="center"/>
          </w:tcPr>
          <w:p>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V=0.5m3立式</w:t>
            </w:r>
          </w:p>
        </w:tc>
        <w:tc>
          <w:tcPr>
            <w:tcW w:w="708"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台</w:t>
            </w:r>
          </w:p>
        </w:tc>
        <w:tc>
          <w:tcPr>
            <w:tcW w:w="993"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5</w:t>
            </w:r>
          </w:p>
        </w:tc>
        <w:tc>
          <w:tcPr>
            <w:tcW w:w="1275"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PP</w:t>
            </w:r>
          </w:p>
        </w:tc>
      </w:tr>
      <w:tr>
        <w:tblPrEx>
          <w:tblCellMar>
            <w:top w:w="0" w:type="dxa"/>
            <w:left w:w="108" w:type="dxa"/>
            <w:bottom w:w="0" w:type="dxa"/>
            <w:right w:w="108" w:type="dxa"/>
          </w:tblCellMar>
        </w:tblPrEx>
        <w:trPr>
          <w:trHeight w:val="480" w:hRule="atLeast"/>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11</w:t>
            </w:r>
          </w:p>
        </w:tc>
        <w:tc>
          <w:tcPr>
            <w:tcW w:w="2268" w:type="dxa"/>
            <w:tcBorders>
              <w:top w:val="nil"/>
              <w:left w:val="nil"/>
              <w:bottom w:val="single" w:color="auto" w:sz="4" w:space="0"/>
              <w:right w:val="single" w:color="auto" w:sz="4" w:space="0"/>
            </w:tcBorders>
            <w:shd w:val="clear" w:color="auto" w:fill="auto"/>
            <w:vAlign w:val="center"/>
          </w:tcPr>
          <w:p>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水解尾气捕集罐</w:t>
            </w:r>
          </w:p>
        </w:tc>
        <w:tc>
          <w:tcPr>
            <w:tcW w:w="2694" w:type="dxa"/>
            <w:tcBorders>
              <w:top w:val="nil"/>
              <w:left w:val="nil"/>
              <w:bottom w:val="single" w:color="auto" w:sz="4" w:space="0"/>
              <w:right w:val="single" w:color="auto" w:sz="4" w:space="0"/>
            </w:tcBorders>
            <w:shd w:val="clear" w:color="auto" w:fill="auto"/>
            <w:vAlign w:val="center"/>
          </w:tcPr>
          <w:p>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V=0.5m3</w:t>
            </w:r>
          </w:p>
        </w:tc>
        <w:tc>
          <w:tcPr>
            <w:tcW w:w="708"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台</w:t>
            </w:r>
          </w:p>
        </w:tc>
        <w:tc>
          <w:tcPr>
            <w:tcW w:w="993"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w:t>
            </w:r>
          </w:p>
        </w:tc>
        <w:tc>
          <w:tcPr>
            <w:tcW w:w="1275"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搪瓷</w:t>
            </w:r>
          </w:p>
        </w:tc>
      </w:tr>
      <w:tr>
        <w:tblPrEx>
          <w:tblCellMar>
            <w:top w:w="0" w:type="dxa"/>
            <w:left w:w="108" w:type="dxa"/>
            <w:bottom w:w="0" w:type="dxa"/>
            <w:right w:w="108" w:type="dxa"/>
          </w:tblCellMar>
        </w:tblPrEx>
        <w:trPr>
          <w:trHeight w:val="480" w:hRule="atLeast"/>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12</w:t>
            </w:r>
          </w:p>
        </w:tc>
        <w:tc>
          <w:tcPr>
            <w:tcW w:w="2268" w:type="dxa"/>
            <w:tcBorders>
              <w:top w:val="nil"/>
              <w:left w:val="nil"/>
              <w:bottom w:val="single" w:color="auto" w:sz="4" w:space="0"/>
              <w:right w:val="single" w:color="auto" w:sz="4" w:space="0"/>
            </w:tcBorders>
            <w:shd w:val="clear" w:color="auto" w:fill="auto"/>
            <w:vAlign w:val="center"/>
          </w:tcPr>
          <w:p>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氯化二级捕集罐</w:t>
            </w:r>
          </w:p>
        </w:tc>
        <w:tc>
          <w:tcPr>
            <w:tcW w:w="2694" w:type="dxa"/>
            <w:tcBorders>
              <w:top w:val="nil"/>
              <w:left w:val="nil"/>
              <w:bottom w:val="single" w:color="auto" w:sz="4" w:space="0"/>
              <w:right w:val="single" w:color="auto" w:sz="4" w:space="0"/>
            </w:tcBorders>
            <w:shd w:val="clear" w:color="auto" w:fill="auto"/>
            <w:vAlign w:val="center"/>
          </w:tcPr>
          <w:p>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V=0.5m3立式</w:t>
            </w:r>
          </w:p>
        </w:tc>
        <w:tc>
          <w:tcPr>
            <w:tcW w:w="708"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台</w:t>
            </w:r>
          </w:p>
        </w:tc>
        <w:tc>
          <w:tcPr>
            <w:tcW w:w="993"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3</w:t>
            </w:r>
          </w:p>
        </w:tc>
        <w:tc>
          <w:tcPr>
            <w:tcW w:w="1275"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PP</w:t>
            </w:r>
          </w:p>
        </w:tc>
      </w:tr>
      <w:tr>
        <w:tblPrEx>
          <w:tblCellMar>
            <w:top w:w="0" w:type="dxa"/>
            <w:left w:w="108" w:type="dxa"/>
            <w:bottom w:w="0" w:type="dxa"/>
            <w:right w:w="108" w:type="dxa"/>
          </w:tblCellMar>
        </w:tblPrEx>
        <w:trPr>
          <w:trHeight w:val="480" w:hRule="atLeast"/>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13</w:t>
            </w:r>
          </w:p>
        </w:tc>
        <w:tc>
          <w:tcPr>
            <w:tcW w:w="2268" w:type="dxa"/>
            <w:tcBorders>
              <w:top w:val="nil"/>
              <w:left w:val="nil"/>
              <w:bottom w:val="single" w:color="auto" w:sz="4" w:space="0"/>
              <w:right w:val="single" w:color="auto" w:sz="4" w:space="0"/>
            </w:tcBorders>
            <w:shd w:val="clear" w:color="auto" w:fill="auto"/>
            <w:vAlign w:val="center"/>
          </w:tcPr>
          <w:p>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氯化二级捕集冷凝器</w:t>
            </w:r>
          </w:p>
        </w:tc>
        <w:tc>
          <w:tcPr>
            <w:tcW w:w="2694" w:type="dxa"/>
            <w:tcBorders>
              <w:top w:val="nil"/>
              <w:left w:val="nil"/>
              <w:bottom w:val="single" w:color="auto" w:sz="4" w:space="0"/>
              <w:right w:val="single" w:color="auto" w:sz="4" w:space="0"/>
            </w:tcBorders>
            <w:shd w:val="clear" w:color="auto" w:fill="auto"/>
            <w:vAlign w:val="center"/>
          </w:tcPr>
          <w:p>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S=10m2</w:t>
            </w:r>
          </w:p>
        </w:tc>
        <w:tc>
          <w:tcPr>
            <w:tcW w:w="708"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台</w:t>
            </w:r>
          </w:p>
        </w:tc>
        <w:tc>
          <w:tcPr>
            <w:tcW w:w="993"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3</w:t>
            </w:r>
          </w:p>
        </w:tc>
        <w:tc>
          <w:tcPr>
            <w:tcW w:w="1275"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石墨</w:t>
            </w:r>
          </w:p>
        </w:tc>
      </w:tr>
      <w:tr>
        <w:tblPrEx>
          <w:tblCellMar>
            <w:top w:w="0" w:type="dxa"/>
            <w:left w:w="108" w:type="dxa"/>
            <w:bottom w:w="0" w:type="dxa"/>
            <w:right w:w="108" w:type="dxa"/>
          </w:tblCellMar>
        </w:tblPrEx>
        <w:trPr>
          <w:trHeight w:val="468" w:hRule="atLeast"/>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14</w:t>
            </w:r>
          </w:p>
        </w:tc>
        <w:tc>
          <w:tcPr>
            <w:tcW w:w="2268" w:type="dxa"/>
            <w:tcBorders>
              <w:top w:val="nil"/>
              <w:left w:val="nil"/>
              <w:bottom w:val="single" w:color="auto" w:sz="4" w:space="0"/>
              <w:right w:val="single" w:color="auto" w:sz="4" w:space="0"/>
            </w:tcBorders>
            <w:shd w:val="clear" w:color="auto" w:fill="auto"/>
            <w:vAlign w:val="center"/>
          </w:tcPr>
          <w:p>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氯化釜</w:t>
            </w:r>
          </w:p>
        </w:tc>
        <w:tc>
          <w:tcPr>
            <w:tcW w:w="2694" w:type="dxa"/>
            <w:tcBorders>
              <w:top w:val="nil"/>
              <w:left w:val="nil"/>
              <w:bottom w:val="single" w:color="auto" w:sz="4" w:space="0"/>
              <w:right w:val="single" w:color="auto" w:sz="4" w:space="0"/>
            </w:tcBorders>
            <w:shd w:val="clear" w:color="auto" w:fill="auto"/>
            <w:vAlign w:val="center"/>
          </w:tcPr>
          <w:p>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V=4000L</w:t>
            </w:r>
          </w:p>
        </w:tc>
        <w:tc>
          <w:tcPr>
            <w:tcW w:w="708"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台</w:t>
            </w:r>
          </w:p>
        </w:tc>
        <w:tc>
          <w:tcPr>
            <w:tcW w:w="993"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12</w:t>
            </w:r>
          </w:p>
        </w:tc>
        <w:tc>
          <w:tcPr>
            <w:tcW w:w="1275"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搪瓷</w:t>
            </w:r>
          </w:p>
        </w:tc>
      </w:tr>
      <w:tr>
        <w:tblPrEx>
          <w:tblCellMar>
            <w:top w:w="0" w:type="dxa"/>
            <w:left w:w="108" w:type="dxa"/>
            <w:bottom w:w="0" w:type="dxa"/>
            <w:right w:w="108" w:type="dxa"/>
          </w:tblCellMar>
        </w:tblPrEx>
        <w:trPr>
          <w:trHeight w:val="418" w:hRule="atLeast"/>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15</w:t>
            </w:r>
          </w:p>
        </w:tc>
        <w:tc>
          <w:tcPr>
            <w:tcW w:w="2268" w:type="dxa"/>
            <w:tcBorders>
              <w:top w:val="nil"/>
              <w:left w:val="nil"/>
              <w:bottom w:val="single" w:color="auto" w:sz="4" w:space="0"/>
              <w:right w:val="single" w:color="auto" w:sz="4" w:space="0"/>
            </w:tcBorders>
            <w:shd w:val="clear" w:color="auto" w:fill="auto"/>
            <w:vAlign w:val="center"/>
          </w:tcPr>
          <w:p>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水解釜</w:t>
            </w:r>
          </w:p>
        </w:tc>
        <w:tc>
          <w:tcPr>
            <w:tcW w:w="2694" w:type="dxa"/>
            <w:tcBorders>
              <w:top w:val="nil"/>
              <w:left w:val="nil"/>
              <w:bottom w:val="single" w:color="auto" w:sz="4" w:space="0"/>
              <w:right w:val="single" w:color="auto" w:sz="4" w:space="0"/>
            </w:tcBorders>
            <w:shd w:val="clear" w:color="auto" w:fill="auto"/>
            <w:vAlign w:val="center"/>
          </w:tcPr>
          <w:p>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V=4000L</w:t>
            </w:r>
          </w:p>
        </w:tc>
        <w:tc>
          <w:tcPr>
            <w:tcW w:w="708"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台</w:t>
            </w:r>
          </w:p>
        </w:tc>
        <w:tc>
          <w:tcPr>
            <w:tcW w:w="993"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7</w:t>
            </w:r>
          </w:p>
        </w:tc>
        <w:tc>
          <w:tcPr>
            <w:tcW w:w="1275"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搪瓷</w:t>
            </w:r>
          </w:p>
        </w:tc>
      </w:tr>
      <w:tr>
        <w:tblPrEx>
          <w:tblCellMar>
            <w:top w:w="0" w:type="dxa"/>
            <w:left w:w="108" w:type="dxa"/>
            <w:bottom w:w="0" w:type="dxa"/>
            <w:right w:w="108" w:type="dxa"/>
          </w:tblCellMar>
        </w:tblPrEx>
        <w:trPr>
          <w:trHeight w:val="425" w:hRule="atLeast"/>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16</w:t>
            </w:r>
          </w:p>
        </w:tc>
        <w:tc>
          <w:tcPr>
            <w:tcW w:w="2268" w:type="dxa"/>
            <w:tcBorders>
              <w:top w:val="nil"/>
              <w:left w:val="nil"/>
              <w:bottom w:val="single" w:color="auto" w:sz="4" w:space="0"/>
              <w:right w:val="single" w:color="auto" w:sz="4" w:space="0"/>
            </w:tcBorders>
            <w:shd w:val="clear" w:color="auto" w:fill="auto"/>
            <w:vAlign w:val="center"/>
          </w:tcPr>
          <w:p>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氯化冷凝器</w:t>
            </w:r>
          </w:p>
        </w:tc>
        <w:tc>
          <w:tcPr>
            <w:tcW w:w="2694" w:type="dxa"/>
            <w:tcBorders>
              <w:top w:val="nil"/>
              <w:left w:val="nil"/>
              <w:bottom w:val="single" w:color="auto" w:sz="4" w:space="0"/>
              <w:right w:val="single" w:color="auto" w:sz="4" w:space="0"/>
            </w:tcBorders>
            <w:shd w:val="clear" w:color="auto" w:fill="auto"/>
            <w:vAlign w:val="center"/>
          </w:tcPr>
          <w:p>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S=10m2</w:t>
            </w:r>
          </w:p>
        </w:tc>
        <w:tc>
          <w:tcPr>
            <w:tcW w:w="708"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台</w:t>
            </w:r>
          </w:p>
        </w:tc>
        <w:tc>
          <w:tcPr>
            <w:tcW w:w="993"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12</w:t>
            </w:r>
          </w:p>
        </w:tc>
        <w:tc>
          <w:tcPr>
            <w:tcW w:w="1275"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石墨</w:t>
            </w:r>
          </w:p>
        </w:tc>
      </w:tr>
      <w:tr>
        <w:tblPrEx>
          <w:tblCellMar>
            <w:top w:w="0" w:type="dxa"/>
            <w:left w:w="108" w:type="dxa"/>
            <w:bottom w:w="0" w:type="dxa"/>
            <w:right w:w="108" w:type="dxa"/>
          </w:tblCellMar>
        </w:tblPrEx>
        <w:trPr>
          <w:trHeight w:val="461" w:hRule="atLeast"/>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17</w:t>
            </w:r>
          </w:p>
        </w:tc>
        <w:tc>
          <w:tcPr>
            <w:tcW w:w="2268" w:type="dxa"/>
            <w:tcBorders>
              <w:top w:val="nil"/>
              <w:left w:val="nil"/>
              <w:bottom w:val="single" w:color="auto" w:sz="4" w:space="0"/>
              <w:right w:val="single" w:color="auto" w:sz="4" w:space="0"/>
            </w:tcBorders>
            <w:shd w:val="clear" w:color="auto" w:fill="auto"/>
            <w:vAlign w:val="center"/>
          </w:tcPr>
          <w:p>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水解冷凝器</w:t>
            </w:r>
          </w:p>
        </w:tc>
        <w:tc>
          <w:tcPr>
            <w:tcW w:w="2694" w:type="dxa"/>
            <w:tcBorders>
              <w:top w:val="nil"/>
              <w:left w:val="nil"/>
              <w:bottom w:val="single" w:color="auto" w:sz="4" w:space="0"/>
              <w:right w:val="single" w:color="auto" w:sz="4" w:space="0"/>
            </w:tcBorders>
            <w:shd w:val="clear" w:color="auto" w:fill="auto"/>
            <w:vAlign w:val="center"/>
          </w:tcPr>
          <w:p>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S=10m2</w:t>
            </w:r>
          </w:p>
        </w:tc>
        <w:tc>
          <w:tcPr>
            <w:tcW w:w="708"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台</w:t>
            </w:r>
          </w:p>
        </w:tc>
        <w:tc>
          <w:tcPr>
            <w:tcW w:w="993"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7</w:t>
            </w:r>
          </w:p>
        </w:tc>
        <w:tc>
          <w:tcPr>
            <w:tcW w:w="1275"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石墨</w:t>
            </w:r>
          </w:p>
        </w:tc>
      </w:tr>
      <w:tr>
        <w:tblPrEx>
          <w:tblCellMar>
            <w:top w:w="0" w:type="dxa"/>
            <w:left w:w="108" w:type="dxa"/>
            <w:bottom w:w="0" w:type="dxa"/>
            <w:right w:w="108" w:type="dxa"/>
          </w:tblCellMar>
        </w:tblPrEx>
        <w:trPr>
          <w:trHeight w:val="510" w:hRule="atLeast"/>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18</w:t>
            </w:r>
          </w:p>
        </w:tc>
        <w:tc>
          <w:tcPr>
            <w:tcW w:w="2268" w:type="dxa"/>
            <w:tcBorders>
              <w:top w:val="nil"/>
              <w:left w:val="nil"/>
              <w:bottom w:val="single" w:color="auto" w:sz="4" w:space="0"/>
              <w:right w:val="single" w:color="auto" w:sz="4" w:space="0"/>
            </w:tcBorders>
            <w:shd w:val="clear" w:color="auto" w:fill="auto"/>
            <w:vAlign w:val="center"/>
          </w:tcPr>
          <w:p>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水解冷油换热器</w:t>
            </w:r>
          </w:p>
        </w:tc>
        <w:tc>
          <w:tcPr>
            <w:tcW w:w="2694" w:type="dxa"/>
            <w:tcBorders>
              <w:top w:val="nil"/>
              <w:left w:val="nil"/>
              <w:bottom w:val="single" w:color="auto" w:sz="4" w:space="0"/>
              <w:right w:val="single" w:color="auto" w:sz="4" w:space="0"/>
            </w:tcBorders>
            <w:shd w:val="clear" w:color="auto" w:fill="auto"/>
            <w:vAlign w:val="center"/>
          </w:tcPr>
          <w:p>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S=10m2</w:t>
            </w:r>
          </w:p>
        </w:tc>
        <w:tc>
          <w:tcPr>
            <w:tcW w:w="708"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台</w:t>
            </w:r>
          </w:p>
        </w:tc>
        <w:tc>
          <w:tcPr>
            <w:tcW w:w="993"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w:t>
            </w:r>
          </w:p>
        </w:tc>
        <w:tc>
          <w:tcPr>
            <w:tcW w:w="1275"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Q235B</w:t>
            </w:r>
          </w:p>
        </w:tc>
      </w:tr>
      <w:tr>
        <w:tblPrEx>
          <w:tblCellMar>
            <w:top w:w="0" w:type="dxa"/>
            <w:left w:w="108" w:type="dxa"/>
            <w:bottom w:w="0" w:type="dxa"/>
            <w:right w:w="108" w:type="dxa"/>
          </w:tblCellMar>
        </w:tblPrEx>
        <w:trPr>
          <w:trHeight w:val="510" w:hRule="atLeast"/>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19</w:t>
            </w:r>
          </w:p>
        </w:tc>
        <w:tc>
          <w:tcPr>
            <w:tcW w:w="2268" w:type="dxa"/>
            <w:tcBorders>
              <w:top w:val="nil"/>
              <w:left w:val="nil"/>
              <w:bottom w:val="single" w:color="auto" w:sz="4" w:space="0"/>
              <w:right w:val="single" w:color="auto" w:sz="4" w:space="0"/>
            </w:tcBorders>
            <w:shd w:val="clear" w:color="auto" w:fill="auto"/>
            <w:vAlign w:val="center"/>
          </w:tcPr>
          <w:p>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邻氯三氯苄泵</w:t>
            </w:r>
          </w:p>
        </w:tc>
        <w:tc>
          <w:tcPr>
            <w:tcW w:w="2694" w:type="dxa"/>
            <w:tcBorders>
              <w:top w:val="nil"/>
              <w:left w:val="nil"/>
              <w:bottom w:val="single" w:color="auto" w:sz="4" w:space="0"/>
              <w:right w:val="single" w:color="auto" w:sz="4" w:space="0"/>
            </w:tcBorders>
            <w:shd w:val="clear" w:color="auto" w:fill="auto"/>
            <w:vAlign w:val="center"/>
          </w:tcPr>
          <w:p>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FSB25-18</w:t>
            </w:r>
          </w:p>
        </w:tc>
        <w:tc>
          <w:tcPr>
            <w:tcW w:w="708"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台</w:t>
            </w:r>
          </w:p>
        </w:tc>
        <w:tc>
          <w:tcPr>
            <w:tcW w:w="993"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w:t>
            </w:r>
          </w:p>
        </w:tc>
        <w:tc>
          <w:tcPr>
            <w:tcW w:w="1275"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氟塑料</w:t>
            </w:r>
          </w:p>
        </w:tc>
      </w:tr>
      <w:tr>
        <w:tblPrEx>
          <w:tblCellMar>
            <w:top w:w="0" w:type="dxa"/>
            <w:left w:w="108" w:type="dxa"/>
            <w:bottom w:w="0" w:type="dxa"/>
            <w:right w:w="108" w:type="dxa"/>
          </w:tblCellMar>
        </w:tblPrEx>
        <w:trPr>
          <w:trHeight w:val="510" w:hRule="atLeast"/>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20</w:t>
            </w:r>
          </w:p>
        </w:tc>
        <w:tc>
          <w:tcPr>
            <w:tcW w:w="2268" w:type="dxa"/>
            <w:tcBorders>
              <w:top w:val="nil"/>
              <w:left w:val="nil"/>
              <w:bottom w:val="single" w:color="auto" w:sz="4" w:space="0"/>
              <w:right w:val="single" w:color="auto" w:sz="4" w:space="0"/>
            </w:tcBorders>
            <w:shd w:val="clear" w:color="auto" w:fill="auto"/>
            <w:vAlign w:val="center"/>
          </w:tcPr>
          <w:p>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水解冷油泵</w:t>
            </w:r>
          </w:p>
        </w:tc>
        <w:tc>
          <w:tcPr>
            <w:tcW w:w="2694" w:type="dxa"/>
            <w:tcBorders>
              <w:top w:val="nil"/>
              <w:left w:val="nil"/>
              <w:bottom w:val="single" w:color="auto" w:sz="4" w:space="0"/>
              <w:right w:val="single" w:color="auto" w:sz="4" w:space="0"/>
            </w:tcBorders>
            <w:shd w:val="clear" w:color="auto" w:fill="auto"/>
            <w:vAlign w:val="center"/>
          </w:tcPr>
          <w:p>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RY50-32-160</w:t>
            </w:r>
          </w:p>
        </w:tc>
        <w:tc>
          <w:tcPr>
            <w:tcW w:w="708"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台</w:t>
            </w:r>
          </w:p>
        </w:tc>
        <w:tc>
          <w:tcPr>
            <w:tcW w:w="993"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w:t>
            </w:r>
          </w:p>
        </w:tc>
        <w:tc>
          <w:tcPr>
            <w:tcW w:w="1275"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CS</w:t>
            </w:r>
          </w:p>
        </w:tc>
      </w:tr>
      <w:tr>
        <w:tblPrEx>
          <w:tblCellMar>
            <w:top w:w="0" w:type="dxa"/>
            <w:left w:w="108" w:type="dxa"/>
            <w:bottom w:w="0" w:type="dxa"/>
            <w:right w:w="108" w:type="dxa"/>
          </w:tblCellMar>
        </w:tblPrEx>
        <w:trPr>
          <w:trHeight w:val="510" w:hRule="atLeast"/>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21</w:t>
            </w:r>
          </w:p>
        </w:tc>
        <w:tc>
          <w:tcPr>
            <w:tcW w:w="2268" w:type="dxa"/>
            <w:tcBorders>
              <w:top w:val="nil"/>
              <w:left w:val="nil"/>
              <w:bottom w:val="single" w:color="auto" w:sz="4" w:space="0"/>
              <w:right w:val="single" w:color="auto" w:sz="4" w:space="0"/>
            </w:tcBorders>
            <w:shd w:val="clear" w:color="auto" w:fill="auto"/>
            <w:vAlign w:val="center"/>
          </w:tcPr>
          <w:p>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邻氯甲苯泵</w:t>
            </w:r>
          </w:p>
        </w:tc>
        <w:tc>
          <w:tcPr>
            <w:tcW w:w="2694" w:type="dxa"/>
            <w:tcBorders>
              <w:top w:val="nil"/>
              <w:left w:val="nil"/>
              <w:bottom w:val="single" w:color="auto" w:sz="4" w:space="0"/>
              <w:right w:val="single" w:color="auto" w:sz="4" w:space="0"/>
            </w:tcBorders>
            <w:shd w:val="clear" w:color="auto" w:fill="auto"/>
            <w:vAlign w:val="center"/>
          </w:tcPr>
          <w:p>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FSB25-18</w:t>
            </w:r>
          </w:p>
        </w:tc>
        <w:tc>
          <w:tcPr>
            <w:tcW w:w="708"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台</w:t>
            </w:r>
          </w:p>
        </w:tc>
        <w:tc>
          <w:tcPr>
            <w:tcW w:w="993"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w:t>
            </w:r>
          </w:p>
        </w:tc>
        <w:tc>
          <w:tcPr>
            <w:tcW w:w="1275"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氟塑料</w:t>
            </w:r>
          </w:p>
        </w:tc>
      </w:tr>
      <w:tr>
        <w:tblPrEx>
          <w:tblCellMar>
            <w:top w:w="0" w:type="dxa"/>
            <w:left w:w="108" w:type="dxa"/>
            <w:bottom w:w="0" w:type="dxa"/>
            <w:right w:w="108" w:type="dxa"/>
          </w:tblCellMar>
        </w:tblPrEx>
        <w:trPr>
          <w:trHeight w:val="480" w:hRule="atLeast"/>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22</w:t>
            </w:r>
          </w:p>
        </w:tc>
        <w:tc>
          <w:tcPr>
            <w:tcW w:w="2268" w:type="dxa"/>
            <w:tcBorders>
              <w:top w:val="nil"/>
              <w:left w:val="nil"/>
              <w:bottom w:val="single" w:color="auto" w:sz="4" w:space="0"/>
              <w:right w:val="single" w:color="auto" w:sz="4" w:space="0"/>
            </w:tcBorders>
            <w:shd w:val="clear" w:color="auto" w:fill="auto"/>
            <w:vAlign w:val="center"/>
          </w:tcPr>
          <w:p>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精馏釜</w:t>
            </w:r>
          </w:p>
        </w:tc>
        <w:tc>
          <w:tcPr>
            <w:tcW w:w="2694" w:type="dxa"/>
            <w:tcBorders>
              <w:top w:val="nil"/>
              <w:left w:val="nil"/>
              <w:bottom w:val="single" w:color="auto" w:sz="4" w:space="0"/>
              <w:right w:val="single" w:color="auto" w:sz="4" w:space="0"/>
            </w:tcBorders>
            <w:shd w:val="clear" w:color="auto" w:fill="auto"/>
            <w:vAlign w:val="center"/>
          </w:tcPr>
          <w:p>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V=4000L</w:t>
            </w:r>
          </w:p>
        </w:tc>
        <w:tc>
          <w:tcPr>
            <w:tcW w:w="708"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台</w:t>
            </w:r>
          </w:p>
        </w:tc>
        <w:tc>
          <w:tcPr>
            <w:tcW w:w="993"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3</w:t>
            </w:r>
          </w:p>
        </w:tc>
        <w:tc>
          <w:tcPr>
            <w:tcW w:w="1275"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搪瓷</w:t>
            </w:r>
          </w:p>
        </w:tc>
      </w:tr>
      <w:tr>
        <w:tblPrEx>
          <w:tblCellMar>
            <w:top w:w="0" w:type="dxa"/>
            <w:left w:w="108" w:type="dxa"/>
            <w:bottom w:w="0" w:type="dxa"/>
            <w:right w:w="108" w:type="dxa"/>
          </w:tblCellMar>
        </w:tblPrEx>
        <w:trPr>
          <w:trHeight w:val="510" w:hRule="atLeast"/>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23</w:t>
            </w:r>
          </w:p>
        </w:tc>
        <w:tc>
          <w:tcPr>
            <w:tcW w:w="2268" w:type="dxa"/>
            <w:tcBorders>
              <w:top w:val="nil"/>
              <w:left w:val="nil"/>
              <w:bottom w:val="single" w:color="auto" w:sz="4" w:space="0"/>
              <w:right w:val="single" w:color="auto" w:sz="4" w:space="0"/>
            </w:tcBorders>
            <w:shd w:val="clear" w:color="auto" w:fill="auto"/>
            <w:vAlign w:val="center"/>
          </w:tcPr>
          <w:p>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精馏成品釜</w:t>
            </w:r>
          </w:p>
        </w:tc>
        <w:tc>
          <w:tcPr>
            <w:tcW w:w="2694" w:type="dxa"/>
            <w:tcBorders>
              <w:top w:val="nil"/>
              <w:left w:val="nil"/>
              <w:bottom w:val="single" w:color="auto" w:sz="4" w:space="0"/>
              <w:right w:val="single" w:color="auto" w:sz="4" w:space="0"/>
            </w:tcBorders>
            <w:shd w:val="clear" w:color="auto" w:fill="auto"/>
            <w:vAlign w:val="center"/>
          </w:tcPr>
          <w:p>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V=3000L</w:t>
            </w:r>
          </w:p>
        </w:tc>
        <w:tc>
          <w:tcPr>
            <w:tcW w:w="708"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台</w:t>
            </w:r>
          </w:p>
        </w:tc>
        <w:tc>
          <w:tcPr>
            <w:tcW w:w="993"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3</w:t>
            </w:r>
          </w:p>
        </w:tc>
        <w:tc>
          <w:tcPr>
            <w:tcW w:w="1275"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搪瓷</w:t>
            </w:r>
          </w:p>
        </w:tc>
      </w:tr>
      <w:tr>
        <w:tblPrEx>
          <w:tblCellMar>
            <w:top w:w="0" w:type="dxa"/>
            <w:left w:w="108" w:type="dxa"/>
            <w:bottom w:w="0" w:type="dxa"/>
            <w:right w:w="108" w:type="dxa"/>
          </w:tblCellMar>
        </w:tblPrEx>
        <w:trPr>
          <w:trHeight w:val="510" w:hRule="atLeast"/>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24</w:t>
            </w:r>
          </w:p>
        </w:tc>
        <w:tc>
          <w:tcPr>
            <w:tcW w:w="2268" w:type="dxa"/>
            <w:tcBorders>
              <w:top w:val="nil"/>
              <w:left w:val="nil"/>
              <w:bottom w:val="single" w:color="auto" w:sz="4" w:space="0"/>
              <w:right w:val="single" w:color="auto" w:sz="4" w:space="0"/>
            </w:tcBorders>
            <w:shd w:val="clear" w:color="auto" w:fill="auto"/>
            <w:vAlign w:val="center"/>
          </w:tcPr>
          <w:p>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前馏分釜</w:t>
            </w:r>
          </w:p>
        </w:tc>
        <w:tc>
          <w:tcPr>
            <w:tcW w:w="2694" w:type="dxa"/>
            <w:tcBorders>
              <w:top w:val="nil"/>
              <w:left w:val="nil"/>
              <w:bottom w:val="single" w:color="auto" w:sz="4" w:space="0"/>
              <w:right w:val="single" w:color="auto" w:sz="4" w:space="0"/>
            </w:tcBorders>
            <w:shd w:val="clear" w:color="auto" w:fill="auto"/>
            <w:vAlign w:val="center"/>
          </w:tcPr>
          <w:p>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V=1000L</w:t>
            </w:r>
          </w:p>
        </w:tc>
        <w:tc>
          <w:tcPr>
            <w:tcW w:w="708"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台</w:t>
            </w:r>
          </w:p>
        </w:tc>
        <w:tc>
          <w:tcPr>
            <w:tcW w:w="993"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3</w:t>
            </w:r>
          </w:p>
        </w:tc>
        <w:tc>
          <w:tcPr>
            <w:tcW w:w="1275"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搪瓷</w:t>
            </w:r>
          </w:p>
        </w:tc>
      </w:tr>
      <w:tr>
        <w:tblPrEx>
          <w:tblCellMar>
            <w:top w:w="0" w:type="dxa"/>
            <w:left w:w="108" w:type="dxa"/>
            <w:bottom w:w="0" w:type="dxa"/>
            <w:right w:w="108" w:type="dxa"/>
          </w:tblCellMar>
        </w:tblPrEx>
        <w:trPr>
          <w:trHeight w:val="510" w:hRule="atLeast"/>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25</w:t>
            </w:r>
          </w:p>
        </w:tc>
        <w:tc>
          <w:tcPr>
            <w:tcW w:w="2268" w:type="dxa"/>
            <w:tcBorders>
              <w:top w:val="nil"/>
              <w:left w:val="nil"/>
              <w:bottom w:val="single" w:color="auto" w:sz="4" w:space="0"/>
              <w:right w:val="single" w:color="auto" w:sz="4" w:space="0"/>
            </w:tcBorders>
            <w:shd w:val="clear" w:color="auto" w:fill="auto"/>
            <w:vAlign w:val="center"/>
          </w:tcPr>
          <w:p>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精馏捕集器</w:t>
            </w:r>
          </w:p>
        </w:tc>
        <w:tc>
          <w:tcPr>
            <w:tcW w:w="2694" w:type="dxa"/>
            <w:tcBorders>
              <w:top w:val="nil"/>
              <w:left w:val="nil"/>
              <w:bottom w:val="single" w:color="auto" w:sz="4" w:space="0"/>
              <w:right w:val="single" w:color="auto" w:sz="4" w:space="0"/>
            </w:tcBorders>
            <w:shd w:val="clear" w:color="auto" w:fill="auto"/>
            <w:vAlign w:val="center"/>
          </w:tcPr>
          <w:p>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V=500L</w:t>
            </w:r>
          </w:p>
        </w:tc>
        <w:tc>
          <w:tcPr>
            <w:tcW w:w="708"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台</w:t>
            </w:r>
          </w:p>
        </w:tc>
        <w:tc>
          <w:tcPr>
            <w:tcW w:w="993"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3</w:t>
            </w:r>
          </w:p>
        </w:tc>
        <w:tc>
          <w:tcPr>
            <w:tcW w:w="1275"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搪瓷</w:t>
            </w:r>
          </w:p>
        </w:tc>
      </w:tr>
      <w:tr>
        <w:tblPrEx>
          <w:tblCellMar>
            <w:top w:w="0" w:type="dxa"/>
            <w:left w:w="108" w:type="dxa"/>
            <w:bottom w:w="0" w:type="dxa"/>
            <w:right w:w="108" w:type="dxa"/>
          </w:tblCellMar>
        </w:tblPrEx>
        <w:trPr>
          <w:trHeight w:val="480" w:hRule="atLeast"/>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26</w:t>
            </w:r>
          </w:p>
        </w:tc>
        <w:tc>
          <w:tcPr>
            <w:tcW w:w="2268" w:type="dxa"/>
            <w:tcBorders>
              <w:top w:val="nil"/>
              <w:left w:val="nil"/>
              <w:bottom w:val="single" w:color="auto" w:sz="4" w:space="0"/>
              <w:right w:val="single" w:color="auto" w:sz="4" w:space="0"/>
            </w:tcBorders>
            <w:shd w:val="clear" w:color="auto" w:fill="auto"/>
            <w:vAlign w:val="center"/>
          </w:tcPr>
          <w:p>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蒸馏釜</w:t>
            </w:r>
          </w:p>
        </w:tc>
        <w:tc>
          <w:tcPr>
            <w:tcW w:w="2694" w:type="dxa"/>
            <w:tcBorders>
              <w:top w:val="nil"/>
              <w:left w:val="nil"/>
              <w:bottom w:val="single" w:color="auto" w:sz="4" w:space="0"/>
              <w:right w:val="single" w:color="auto" w:sz="4" w:space="0"/>
            </w:tcBorders>
            <w:shd w:val="clear" w:color="auto" w:fill="auto"/>
            <w:vAlign w:val="center"/>
          </w:tcPr>
          <w:p>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V=4000L</w:t>
            </w:r>
          </w:p>
        </w:tc>
        <w:tc>
          <w:tcPr>
            <w:tcW w:w="708"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台</w:t>
            </w:r>
          </w:p>
        </w:tc>
        <w:tc>
          <w:tcPr>
            <w:tcW w:w="993"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w:t>
            </w:r>
          </w:p>
        </w:tc>
        <w:tc>
          <w:tcPr>
            <w:tcW w:w="1275"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搪瓷</w:t>
            </w:r>
          </w:p>
        </w:tc>
      </w:tr>
      <w:tr>
        <w:tblPrEx>
          <w:tblCellMar>
            <w:top w:w="0" w:type="dxa"/>
            <w:left w:w="108" w:type="dxa"/>
            <w:bottom w:w="0" w:type="dxa"/>
            <w:right w:w="108" w:type="dxa"/>
          </w:tblCellMar>
        </w:tblPrEx>
        <w:trPr>
          <w:trHeight w:val="510" w:hRule="atLeast"/>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27</w:t>
            </w:r>
          </w:p>
        </w:tc>
        <w:tc>
          <w:tcPr>
            <w:tcW w:w="2268" w:type="dxa"/>
            <w:tcBorders>
              <w:top w:val="nil"/>
              <w:left w:val="nil"/>
              <w:bottom w:val="single" w:color="auto" w:sz="4" w:space="0"/>
              <w:right w:val="single" w:color="auto" w:sz="4" w:space="0"/>
            </w:tcBorders>
            <w:shd w:val="clear" w:color="auto" w:fill="auto"/>
            <w:vAlign w:val="center"/>
          </w:tcPr>
          <w:p>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蒸馏成品釜</w:t>
            </w:r>
          </w:p>
        </w:tc>
        <w:tc>
          <w:tcPr>
            <w:tcW w:w="2694" w:type="dxa"/>
            <w:tcBorders>
              <w:top w:val="nil"/>
              <w:left w:val="nil"/>
              <w:bottom w:val="single" w:color="auto" w:sz="4" w:space="0"/>
              <w:right w:val="single" w:color="auto" w:sz="4" w:space="0"/>
            </w:tcBorders>
            <w:shd w:val="clear" w:color="auto" w:fill="auto"/>
            <w:vAlign w:val="center"/>
          </w:tcPr>
          <w:p>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V=3000L</w:t>
            </w:r>
          </w:p>
        </w:tc>
        <w:tc>
          <w:tcPr>
            <w:tcW w:w="708"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台</w:t>
            </w:r>
          </w:p>
        </w:tc>
        <w:tc>
          <w:tcPr>
            <w:tcW w:w="993"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w:t>
            </w:r>
          </w:p>
        </w:tc>
        <w:tc>
          <w:tcPr>
            <w:tcW w:w="1275"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搪瓷</w:t>
            </w:r>
          </w:p>
        </w:tc>
      </w:tr>
      <w:tr>
        <w:tblPrEx>
          <w:tblCellMar>
            <w:top w:w="0" w:type="dxa"/>
            <w:left w:w="108" w:type="dxa"/>
            <w:bottom w:w="0" w:type="dxa"/>
            <w:right w:w="108" w:type="dxa"/>
          </w:tblCellMar>
        </w:tblPrEx>
        <w:trPr>
          <w:trHeight w:val="480" w:hRule="atLeast"/>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28</w:t>
            </w:r>
          </w:p>
        </w:tc>
        <w:tc>
          <w:tcPr>
            <w:tcW w:w="2268" w:type="dxa"/>
            <w:tcBorders>
              <w:top w:val="nil"/>
              <w:left w:val="nil"/>
              <w:bottom w:val="single" w:color="auto" w:sz="4" w:space="0"/>
              <w:right w:val="single" w:color="auto" w:sz="4" w:space="0"/>
            </w:tcBorders>
            <w:shd w:val="clear" w:color="auto" w:fill="auto"/>
            <w:vAlign w:val="center"/>
          </w:tcPr>
          <w:p>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蒸馏捕集器</w:t>
            </w:r>
          </w:p>
        </w:tc>
        <w:tc>
          <w:tcPr>
            <w:tcW w:w="2694" w:type="dxa"/>
            <w:tcBorders>
              <w:top w:val="nil"/>
              <w:left w:val="nil"/>
              <w:bottom w:val="single" w:color="auto" w:sz="4" w:space="0"/>
              <w:right w:val="single" w:color="auto" w:sz="4" w:space="0"/>
            </w:tcBorders>
            <w:shd w:val="clear" w:color="auto" w:fill="auto"/>
            <w:vAlign w:val="center"/>
          </w:tcPr>
          <w:p>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V=500L</w:t>
            </w:r>
          </w:p>
        </w:tc>
        <w:tc>
          <w:tcPr>
            <w:tcW w:w="708"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台</w:t>
            </w:r>
          </w:p>
        </w:tc>
        <w:tc>
          <w:tcPr>
            <w:tcW w:w="993"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w:t>
            </w:r>
          </w:p>
        </w:tc>
        <w:tc>
          <w:tcPr>
            <w:tcW w:w="1275"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搪瓷</w:t>
            </w:r>
          </w:p>
        </w:tc>
      </w:tr>
      <w:tr>
        <w:tblPrEx>
          <w:tblCellMar>
            <w:top w:w="0" w:type="dxa"/>
            <w:left w:w="108" w:type="dxa"/>
            <w:bottom w:w="0" w:type="dxa"/>
            <w:right w:w="108" w:type="dxa"/>
          </w:tblCellMar>
        </w:tblPrEx>
        <w:trPr>
          <w:trHeight w:val="510" w:hRule="atLeast"/>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29</w:t>
            </w:r>
          </w:p>
        </w:tc>
        <w:tc>
          <w:tcPr>
            <w:tcW w:w="2268" w:type="dxa"/>
            <w:tcBorders>
              <w:top w:val="nil"/>
              <w:left w:val="nil"/>
              <w:bottom w:val="single" w:color="auto" w:sz="4" w:space="0"/>
              <w:right w:val="single" w:color="auto" w:sz="4" w:space="0"/>
            </w:tcBorders>
            <w:shd w:val="clear" w:color="auto" w:fill="auto"/>
            <w:vAlign w:val="center"/>
          </w:tcPr>
          <w:p>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精馏塔顶冷凝器</w:t>
            </w:r>
          </w:p>
        </w:tc>
        <w:tc>
          <w:tcPr>
            <w:tcW w:w="2694" w:type="dxa"/>
            <w:tcBorders>
              <w:top w:val="nil"/>
              <w:left w:val="nil"/>
              <w:bottom w:val="single" w:color="auto" w:sz="4" w:space="0"/>
              <w:right w:val="single" w:color="auto" w:sz="4" w:space="0"/>
            </w:tcBorders>
            <w:shd w:val="clear" w:color="auto" w:fill="auto"/>
            <w:vAlign w:val="center"/>
          </w:tcPr>
          <w:p>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S=10m2</w:t>
            </w:r>
          </w:p>
        </w:tc>
        <w:tc>
          <w:tcPr>
            <w:tcW w:w="708"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台</w:t>
            </w:r>
          </w:p>
        </w:tc>
        <w:tc>
          <w:tcPr>
            <w:tcW w:w="993"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3</w:t>
            </w:r>
          </w:p>
        </w:tc>
        <w:tc>
          <w:tcPr>
            <w:tcW w:w="1275"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石墨</w:t>
            </w:r>
          </w:p>
        </w:tc>
      </w:tr>
      <w:tr>
        <w:tblPrEx>
          <w:tblCellMar>
            <w:top w:w="0" w:type="dxa"/>
            <w:left w:w="108" w:type="dxa"/>
            <w:bottom w:w="0" w:type="dxa"/>
            <w:right w:w="108" w:type="dxa"/>
          </w:tblCellMar>
        </w:tblPrEx>
        <w:trPr>
          <w:trHeight w:val="480" w:hRule="atLeast"/>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30</w:t>
            </w:r>
          </w:p>
        </w:tc>
        <w:tc>
          <w:tcPr>
            <w:tcW w:w="2268" w:type="dxa"/>
            <w:tcBorders>
              <w:top w:val="nil"/>
              <w:left w:val="nil"/>
              <w:bottom w:val="single" w:color="auto" w:sz="4" w:space="0"/>
              <w:right w:val="single" w:color="auto" w:sz="4" w:space="0"/>
            </w:tcBorders>
            <w:shd w:val="clear" w:color="auto" w:fill="auto"/>
            <w:vAlign w:val="center"/>
          </w:tcPr>
          <w:p>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蒸馏冷凝器</w:t>
            </w:r>
          </w:p>
        </w:tc>
        <w:tc>
          <w:tcPr>
            <w:tcW w:w="2694" w:type="dxa"/>
            <w:tcBorders>
              <w:top w:val="nil"/>
              <w:left w:val="nil"/>
              <w:bottom w:val="single" w:color="auto" w:sz="4" w:space="0"/>
              <w:right w:val="single" w:color="auto" w:sz="4" w:space="0"/>
            </w:tcBorders>
            <w:shd w:val="clear" w:color="auto" w:fill="auto"/>
            <w:vAlign w:val="center"/>
          </w:tcPr>
          <w:p>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S=10m2</w:t>
            </w:r>
          </w:p>
        </w:tc>
        <w:tc>
          <w:tcPr>
            <w:tcW w:w="708"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台</w:t>
            </w:r>
          </w:p>
        </w:tc>
        <w:tc>
          <w:tcPr>
            <w:tcW w:w="993"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w:t>
            </w:r>
          </w:p>
        </w:tc>
        <w:tc>
          <w:tcPr>
            <w:tcW w:w="1275"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石墨</w:t>
            </w:r>
          </w:p>
        </w:tc>
      </w:tr>
      <w:tr>
        <w:tblPrEx>
          <w:tblCellMar>
            <w:top w:w="0" w:type="dxa"/>
            <w:left w:w="108" w:type="dxa"/>
            <w:bottom w:w="0" w:type="dxa"/>
            <w:right w:w="108" w:type="dxa"/>
          </w:tblCellMar>
        </w:tblPrEx>
        <w:trPr>
          <w:trHeight w:val="480" w:hRule="atLeast"/>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31</w:t>
            </w:r>
          </w:p>
        </w:tc>
        <w:tc>
          <w:tcPr>
            <w:tcW w:w="2268" w:type="dxa"/>
            <w:tcBorders>
              <w:top w:val="nil"/>
              <w:left w:val="nil"/>
              <w:bottom w:val="single" w:color="auto" w:sz="4" w:space="0"/>
              <w:right w:val="single" w:color="auto" w:sz="4" w:space="0"/>
            </w:tcBorders>
            <w:shd w:val="clear" w:color="auto" w:fill="auto"/>
            <w:vAlign w:val="center"/>
          </w:tcPr>
          <w:p>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精馏冷油换热器</w:t>
            </w:r>
          </w:p>
        </w:tc>
        <w:tc>
          <w:tcPr>
            <w:tcW w:w="2694" w:type="dxa"/>
            <w:tcBorders>
              <w:top w:val="nil"/>
              <w:left w:val="nil"/>
              <w:bottom w:val="single" w:color="auto" w:sz="4" w:space="0"/>
              <w:right w:val="single" w:color="auto" w:sz="4" w:space="0"/>
            </w:tcBorders>
            <w:shd w:val="clear" w:color="auto" w:fill="auto"/>
            <w:vAlign w:val="center"/>
          </w:tcPr>
          <w:p>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S=10m2</w:t>
            </w:r>
          </w:p>
        </w:tc>
        <w:tc>
          <w:tcPr>
            <w:tcW w:w="708"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台</w:t>
            </w:r>
          </w:p>
        </w:tc>
        <w:tc>
          <w:tcPr>
            <w:tcW w:w="993"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w:t>
            </w:r>
          </w:p>
        </w:tc>
        <w:tc>
          <w:tcPr>
            <w:tcW w:w="1275"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Q235B</w:t>
            </w:r>
          </w:p>
        </w:tc>
      </w:tr>
      <w:tr>
        <w:tblPrEx>
          <w:tblCellMar>
            <w:top w:w="0" w:type="dxa"/>
            <w:left w:w="108" w:type="dxa"/>
            <w:bottom w:w="0" w:type="dxa"/>
            <w:right w:w="108" w:type="dxa"/>
          </w:tblCellMar>
        </w:tblPrEx>
        <w:trPr>
          <w:trHeight w:val="480" w:hRule="atLeast"/>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32</w:t>
            </w:r>
          </w:p>
        </w:tc>
        <w:tc>
          <w:tcPr>
            <w:tcW w:w="2268" w:type="dxa"/>
            <w:tcBorders>
              <w:top w:val="nil"/>
              <w:left w:val="nil"/>
              <w:bottom w:val="single" w:color="auto" w:sz="4" w:space="0"/>
              <w:right w:val="single" w:color="auto" w:sz="4" w:space="0"/>
            </w:tcBorders>
            <w:shd w:val="clear" w:color="auto" w:fill="auto"/>
            <w:vAlign w:val="center"/>
          </w:tcPr>
          <w:p>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精馏冷油泵</w:t>
            </w:r>
          </w:p>
        </w:tc>
        <w:tc>
          <w:tcPr>
            <w:tcW w:w="2694" w:type="dxa"/>
            <w:tcBorders>
              <w:top w:val="nil"/>
              <w:left w:val="nil"/>
              <w:bottom w:val="single" w:color="auto" w:sz="4" w:space="0"/>
              <w:right w:val="single" w:color="auto" w:sz="4" w:space="0"/>
            </w:tcBorders>
            <w:shd w:val="clear" w:color="auto" w:fill="auto"/>
            <w:vAlign w:val="center"/>
          </w:tcPr>
          <w:p>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RY50-32-160</w:t>
            </w:r>
          </w:p>
        </w:tc>
        <w:tc>
          <w:tcPr>
            <w:tcW w:w="708"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台</w:t>
            </w:r>
          </w:p>
        </w:tc>
        <w:tc>
          <w:tcPr>
            <w:tcW w:w="993"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w:t>
            </w:r>
          </w:p>
        </w:tc>
        <w:tc>
          <w:tcPr>
            <w:tcW w:w="1275"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CS</w:t>
            </w:r>
          </w:p>
        </w:tc>
      </w:tr>
      <w:tr>
        <w:tblPrEx>
          <w:tblCellMar>
            <w:top w:w="0" w:type="dxa"/>
            <w:left w:w="108" w:type="dxa"/>
            <w:bottom w:w="0" w:type="dxa"/>
            <w:right w:w="108" w:type="dxa"/>
          </w:tblCellMar>
        </w:tblPrEx>
        <w:trPr>
          <w:trHeight w:val="480" w:hRule="atLeast"/>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33</w:t>
            </w:r>
          </w:p>
        </w:tc>
        <w:tc>
          <w:tcPr>
            <w:tcW w:w="2268" w:type="dxa"/>
            <w:tcBorders>
              <w:top w:val="nil"/>
              <w:left w:val="nil"/>
              <w:bottom w:val="single" w:color="auto" w:sz="4" w:space="0"/>
              <w:right w:val="single" w:color="auto" w:sz="4" w:space="0"/>
            </w:tcBorders>
            <w:shd w:val="clear" w:color="auto" w:fill="auto"/>
            <w:vAlign w:val="center"/>
          </w:tcPr>
          <w:p>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精馏热水泵</w:t>
            </w:r>
          </w:p>
        </w:tc>
        <w:tc>
          <w:tcPr>
            <w:tcW w:w="2694" w:type="dxa"/>
            <w:tcBorders>
              <w:top w:val="nil"/>
              <w:left w:val="nil"/>
              <w:bottom w:val="single" w:color="auto" w:sz="4" w:space="0"/>
              <w:right w:val="single" w:color="auto" w:sz="4" w:space="0"/>
            </w:tcBorders>
            <w:shd w:val="clear" w:color="auto" w:fill="auto"/>
            <w:vAlign w:val="center"/>
          </w:tcPr>
          <w:p>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H=24,Q=43 ISW80/140</w:t>
            </w:r>
          </w:p>
        </w:tc>
        <w:tc>
          <w:tcPr>
            <w:tcW w:w="708"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台</w:t>
            </w:r>
          </w:p>
        </w:tc>
        <w:tc>
          <w:tcPr>
            <w:tcW w:w="993"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w:t>
            </w:r>
          </w:p>
        </w:tc>
        <w:tc>
          <w:tcPr>
            <w:tcW w:w="1275"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CS</w:t>
            </w:r>
          </w:p>
        </w:tc>
      </w:tr>
      <w:tr>
        <w:tblPrEx>
          <w:tblCellMar>
            <w:top w:w="0" w:type="dxa"/>
            <w:left w:w="108" w:type="dxa"/>
            <w:bottom w:w="0" w:type="dxa"/>
            <w:right w:w="108" w:type="dxa"/>
          </w:tblCellMar>
        </w:tblPrEx>
        <w:trPr>
          <w:trHeight w:val="480" w:hRule="atLeast"/>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34</w:t>
            </w:r>
          </w:p>
        </w:tc>
        <w:tc>
          <w:tcPr>
            <w:tcW w:w="2268" w:type="dxa"/>
            <w:tcBorders>
              <w:top w:val="nil"/>
              <w:left w:val="nil"/>
              <w:bottom w:val="single" w:color="auto" w:sz="4" w:space="0"/>
              <w:right w:val="single" w:color="auto" w:sz="4" w:space="0"/>
            </w:tcBorders>
            <w:shd w:val="clear" w:color="auto" w:fill="auto"/>
            <w:vAlign w:val="center"/>
          </w:tcPr>
          <w:p>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热水箱</w:t>
            </w:r>
          </w:p>
        </w:tc>
        <w:tc>
          <w:tcPr>
            <w:tcW w:w="2694" w:type="dxa"/>
            <w:tcBorders>
              <w:top w:val="nil"/>
              <w:left w:val="nil"/>
              <w:bottom w:val="single" w:color="auto" w:sz="4" w:space="0"/>
              <w:right w:val="single" w:color="auto" w:sz="4" w:space="0"/>
            </w:tcBorders>
            <w:shd w:val="clear" w:color="auto" w:fill="auto"/>
            <w:vAlign w:val="center"/>
          </w:tcPr>
          <w:p>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V=6m3</w:t>
            </w:r>
          </w:p>
        </w:tc>
        <w:tc>
          <w:tcPr>
            <w:tcW w:w="708"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台</w:t>
            </w:r>
          </w:p>
        </w:tc>
        <w:tc>
          <w:tcPr>
            <w:tcW w:w="993"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w:t>
            </w:r>
          </w:p>
        </w:tc>
        <w:tc>
          <w:tcPr>
            <w:tcW w:w="1275"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Q235B</w:t>
            </w:r>
          </w:p>
        </w:tc>
      </w:tr>
      <w:tr>
        <w:tblPrEx>
          <w:tblCellMar>
            <w:top w:w="0" w:type="dxa"/>
            <w:left w:w="108" w:type="dxa"/>
            <w:bottom w:w="0" w:type="dxa"/>
            <w:right w:w="108" w:type="dxa"/>
          </w:tblCellMar>
        </w:tblPrEx>
        <w:trPr>
          <w:trHeight w:val="480" w:hRule="atLeast"/>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35</w:t>
            </w:r>
          </w:p>
        </w:tc>
        <w:tc>
          <w:tcPr>
            <w:tcW w:w="2268" w:type="dxa"/>
            <w:tcBorders>
              <w:top w:val="nil"/>
              <w:left w:val="nil"/>
              <w:bottom w:val="single" w:color="auto" w:sz="4" w:space="0"/>
              <w:right w:val="single" w:color="auto" w:sz="4" w:space="0"/>
            </w:tcBorders>
            <w:shd w:val="clear" w:color="auto" w:fill="auto"/>
            <w:vAlign w:val="center"/>
          </w:tcPr>
          <w:p>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氯化尾气一吸缓冲罐</w:t>
            </w:r>
          </w:p>
        </w:tc>
        <w:tc>
          <w:tcPr>
            <w:tcW w:w="2694" w:type="dxa"/>
            <w:tcBorders>
              <w:top w:val="nil"/>
              <w:left w:val="nil"/>
              <w:bottom w:val="single" w:color="auto" w:sz="4" w:space="0"/>
              <w:right w:val="single" w:color="auto" w:sz="4" w:space="0"/>
            </w:tcBorders>
            <w:shd w:val="clear" w:color="auto" w:fill="auto"/>
            <w:vAlign w:val="center"/>
          </w:tcPr>
          <w:p>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V=0.5m3立式</w:t>
            </w:r>
          </w:p>
        </w:tc>
        <w:tc>
          <w:tcPr>
            <w:tcW w:w="708"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台</w:t>
            </w:r>
          </w:p>
        </w:tc>
        <w:tc>
          <w:tcPr>
            <w:tcW w:w="993"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3</w:t>
            </w:r>
          </w:p>
        </w:tc>
        <w:tc>
          <w:tcPr>
            <w:tcW w:w="1275"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PP</w:t>
            </w:r>
          </w:p>
        </w:tc>
      </w:tr>
      <w:tr>
        <w:tblPrEx>
          <w:tblCellMar>
            <w:top w:w="0" w:type="dxa"/>
            <w:left w:w="108" w:type="dxa"/>
            <w:bottom w:w="0" w:type="dxa"/>
            <w:right w:w="108" w:type="dxa"/>
          </w:tblCellMar>
        </w:tblPrEx>
        <w:trPr>
          <w:trHeight w:val="480" w:hRule="atLeast"/>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36</w:t>
            </w:r>
          </w:p>
        </w:tc>
        <w:tc>
          <w:tcPr>
            <w:tcW w:w="2268" w:type="dxa"/>
            <w:tcBorders>
              <w:top w:val="nil"/>
              <w:left w:val="nil"/>
              <w:bottom w:val="single" w:color="auto" w:sz="4" w:space="0"/>
              <w:right w:val="single" w:color="auto" w:sz="4" w:space="0"/>
            </w:tcBorders>
            <w:shd w:val="clear" w:color="auto" w:fill="auto"/>
            <w:vAlign w:val="center"/>
          </w:tcPr>
          <w:p>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氯化尾气一吸盐酸罐</w:t>
            </w:r>
          </w:p>
        </w:tc>
        <w:tc>
          <w:tcPr>
            <w:tcW w:w="2694" w:type="dxa"/>
            <w:tcBorders>
              <w:top w:val="nil"/>
              <w:left w:val="nil"/>
              <w:bottom w:val="single" w:color="auto" w:sz="4" w:space="0"/>
              <w:right w:val="single" w:color="auto" w:sz="4" w:space="0"/>
            </w:tcBorders>
            <w:shd w:val="clear" w:color="auto" w:fill="auto"/>
            <w:vAlign w:val="center"/>
          </w:tcPr>
          <w:p>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V=5m3立式</w:t>
            </w:r>
          </w:p>
        </w:tc>
        <w:tc>
          <w:tcPr>
            <w:tcW w:w="708"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台</w:t>
            </w:r>
          </w:p>
        </w:tc>
        <w:tc>
          <w:tcPr>
            <w:tcW w:w="993"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3</w:t>
            </w:r>
          </w:p>
        </w:tc>
        <w:tc>
          <w:tcPr>
            <w:tcW w:w="1275"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PP</w:t>
            </w:r>
          </w:p>
        </w:tc>
      </w:tr>
      <w:tr>
        <w:tblPrEx>
          <w:tblCellMar>
            <w:top w:w="0" w:type="dxa"/>
            <w:left w:w="108" w:type="dxa"/>
            <w:bottom w:w="0" w:type="dxa"/>
            <w:right w:w="108" w:type="dxa"/>
          </w:tblCellMar>
        </w:tblPrEx>
        <w:trPr>
          <w:trHeight w:val="480" w:hRule="atLeast"/>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37</w:t>
            </w:r>
          </w:p>
        </w:tc>
        <w:tc>
          <w:tcPr>
            <w:tcW w:w="2268" w:type="dxa"/>
            <w:tcBorders>
              <w:top w:val="nil"/>
              <w:left w:val="nil"/>
              <w:bottom w:val="single" w:color="auto" w:sz="4" w:space="0"/>
              <w:right w:val="single" w:color="auto" w:sz="4" w:space="0"/>
            </w:tcBorders>
            <w:shd w:val="clear" w:color="auto" w:fill="auto"/>
            <w:vAlign w:val="center"/>
          </w:tcPr>
          <w:p>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水解尾气二吸缓冲罐</w:t>
            </w:r>
          </w:p>
        </w:tc>
        <w:tc>
          <w:tcPr>
            <w:tcW w:w="2694" w:type="dxa"/>
            <w:tcBorders>
              <w:top w:val="nil"/>
              <w:left w:val="nil"/>
              <w:bottom w:val="single" w:color="auto" w:sz="4" w:space="0"/>
              <w:right w:val="single" w:color="auto" w:sz="4" w:space="0"/>
            </w:tcBorders>
            <w:shd w:val="clear" w:color="auto" w:fill="auto"/>
            <w:vAlign w:val="center"/>
          </w:tcPr>
          <w:p>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V=0.5m3立式</w:t>
            </w:r>
          </w:p>
        </w:tc>
        <w:tc>
          <w:tcPr>
            <w:tcW w:w="708"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台</w:t>
            </w:r>
          </w:p>
        </w:tc>
        <w:tc>
          <w:tcPr>
            <w:tcW w:w="993"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w:t>
            </w:r>
          </w:p>
        </w:tc>
        <w:tc>
          <w:tcPr>
            <w:tcW w:w="1275"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PP</w:t>
            </w:r>
          </w:p>
        </w:tc>
      </w:tr>
      <w:tr>
        <w:tblPrEx>
          <w:tblCellMar>
            <w:top w:w="0" w:type="dxa"/>
            <w:left w:w="108" w:type="dxa"/>
            <w:bottom w:w="0" w:type="dxa"/>
            <w:right w:w="108" w:type="dxa"/>
          </w:tblCellMar>
        </w:tblPrEx>
        <w:trPr>
          <w:trHeight w:val="480" w:hRule="atLeast"/>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38</w:t>
            </w:r>
          </w:p>
        </w:tc>
        <w:tc>
          <w:tcPr>
            <w:tcW w:w="2268" w:type="dxa"/>
            <w:tcBorders>
              <w:top w:val="nil"/>
              <w:left w:val="nil"/>
              <w:bottom w:val="single" w:color="auto" w:sz="4" w:space="0"/>
              <w:right w:val="single" w:color="auto" w:sz="4" w:space="0"/>
            </w:tcBorders>
            <w:shd w:val="clear" w:color="auto" w:fill="auto"/>
            <w:vAlign w:val="center"/>
          </w:tcPr>
          <w:p>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氯化尾气二吸盐酸罐</w:t>
            </w:r>
          </w:p>
        </w:tc>
        <w:tc>
          <w:tcPr>
            <w:tcW w:w="2694" w:type="dxa"/>
            <w:tcBorders>
              <w:top w:val="nil"/>
              <w:left w:val="nil"/>
              <w:bottom w:val="single" w:color="auto" w:sz="4" w:space="0"/>
              <w:right w:val="single" w:color="auto" w:sz="4" w:space="0"/>
            </w:tcBorders>
            <w:shd w:val="clear" w:color="auto" w:fill="auto"/>
            <w:vAlign w:val="center"/>
          </w:tcPr>
          <w:p>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V=5m3立式</w:t>
            </w:r>
          </w:p>
        </w:tc>
        <w:tc>
          <w:tcPr>
            <w:tcW w:w="708"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台</w:t>
            </w:r>
          </w:p>
        </w:tc>
        <w:tc>
          <w:tcPr>
            <w:tcW w:w="993"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w:t>
            </w:r>
          </w:p>
        </w:tc>
        <w:tc>
          <w:tcPr>
            <w:tcW w:w="1275"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PP</w:t>
            </w:r>
          </w:p>
        </w:tc>
      </w:tr>
      <w:tr>
        <w:tblPrEx>
          <w:tblCellMar>
            <w:top w:w="0" w:type="dxa"/>
            <w:left w:w="108" w:type="dxa"/>
            <w:bottom w:w="0" w:type="dxa"/>
            <w:right w:w="108" w:type="dxa"/>
          </w:tblCellMar>
        </w:tblPrEx>
        <w:trPr>
          <w:trHeight w:val="480" w:hRule="atLeast"/>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39</w:t>
            </w:r>
          </w:p>
        </w:tc>
        <w:tc>
          <w:tcPr>
            <w:tcW w:w="2268" w:type="dxa"/>
            <w:tcBorders>
              <w:top w:val="nil"/>
              <w:left w:val="nil"/>
              <w:bottom w:val="single" w:color="auto" w:sz="4" w:space="0"/>
              <w:right w:val="single" w:color="auto" w:sz="4" w:space="0"/>
            </w:tcBorders>
            <w:shd w:val="clear" w:color="auto" w:fill="auto"/>
            <w:vAlign w:val="center"/>
          </w:tcPr>
          <w:p>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水解尾气一吸盐酸罐</w:t>
            </w:r>
          </w:p>
        </w:tc>
        <w:tc>
          <w:tcPr>
            <w:tcW w:w="2694" w:type="dxa"/>
            <w:tcBorders>
              <w:top w:val="nil"/>
              <w:left w:val="nil"/>
              <w:bottom w:val="single" w:color="auto" w:sz="4" w:space="0"/>
              <w:right w:val="single" w:color="auto" w:sz="4" w:space="0"/>
            </w:tcBorders>
            <w:shd w:val="clear" w:color="auto" w:fill="auto"/>
            <w:vAlign w:val="center"/>
          </w:tcPr>
          <w:p>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V=5m3立式</w:t>
            </w:r>
          </w:p>
        </w:tc>
        <w:tc>
          <w:tcPr>
            <w:tcW w:w="708"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台</w:t>
            </w:r>
          </w:p>
        </w:tc>
        <w:tc>
          <w:tcPr>
            <w:tcW w:w="993"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w:t>
            </w:r>
          </w:p>
        </w:tc>
        <w:tc>
          <w:tcPr>
            <w:tcW w:w="1275"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PP</w:t>
            </w:r>
          </w:p>
        </w:tc>
      </w:tr>
      <w:tr>
        <w:tblPrEx>
          <w:tblCellMar>
            <w:top w:w="0" w:type="dxa"/>
            <w:left w:w="108" w:type="dxa"/>
            <w:bottom w:w="0" w:type="dxa"/>
            <w:right w:w="108" w:type="dxa"/>
          </w:tblCellMar>
        </w:tblPrEx>
        <w:trPr>
          <w:trHeight w:val="480" w:hRule="atLeast"/>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40</w:t>
            </w:r>
          </w:p>
        </w:tc>
        <w:tc>
          <w:tcPr>
            <w:tcW w:w="2268" w:type="dxa"/>
            <w:tcBorders>
              <w:top w:val="nil"/>
              <w:left w:val="nil"/>
              <w:bottom w:val="single" w:color="auto" w:sz="4" w:space="0"/>
              <w:right w:val="single" w:color="auto" w:sz="4" w:space="0"/>
            </w:tcBorders>
            <w:shd w:val="clear" w:color="auto" w:fill="auto"/>
            <w:vAlign w:val="center"/>
          </w:tcPr>
          <w:p>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水解尾气二吸缓冲罐</w:t>
            </w:r>
          </w:p>
        </w:tc>
        <w:tc>
          <w:tcPr>
            <w:tcW w:w="2694" w:type="dxa"/>
            <w:tcBorders>
              <w:top w:val="nil"/>
              <w:left w:val="nil"/>
              <w:bottom w:val="single" w:color="auto" w:sz="4" w:space="0"/>
              <w:right w:val="single" w:color="auto" w:sz="4" w:space="0"/>
            </w:tcBorders>
            <w:shd w:val="clear" w:color="auto" w:fill="auto"/>
            <w:vAlign w:val="center"/>
          </w:tcPr>
          <w:p>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V=0.5m3立式</w:t>
            </w:r>
          </w:p>
        </w:tc>
        <w:tc>
          <w:tcPr>
            <w:tcW w:w="708"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台</w:t>
            </w:r>
          </w:p>
        </w:tc>
        <w:tc>
          <w:tcPr>
            <w:tcW w:w="993"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w:t>
            </w:r>
          </w:p>
        </w:tc>
        <w:tc>
          <w:tcPr>
            <w:tcW w:w="1275"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PP</w:t>
            </w:r>
          </w:p>
        </w:tc>
      </w:tr>
      <w:tr>
        <w:tblPrEx>
          <w:tblCellMar>
            <w:top w:w="0" w:type="dxa"/>
            <w:left w:w="108" w:type="dxa"/>
            <w:bottom w:w="0" w:type="dxa"/>
            <w:right w:w="108" w:type="dxa"/>
          </w:tblCellMar>
        </w:tblPrEx>
        <w:trPr>
          <w:trHeight w:val="480" w:hRule="atLeast"/>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41</w:t>
            </w:r>
          </w:p>
        </w:tc>
        <w:tc>
          <w:tcPr>
            <w:tcW w:w="2268" w:type="dxa"/>
            <w:tcBorders>
              <w:top w:val="nil"/>
              <w:left w:val="nil"/>
              <w:bottom w:val="single" w:color="auto" w:sz="4" w:space="0"/>
              <w:right w:val="single" w:color="auto" w:sz="4" w:space="0"/>
            </w:tcBorders>
            <w:shd w:val="clear" w:color="auto" w:fill="auto"/>
            <w:vAlign w:val="center"/>
          </w:tcPr>
          <w:p>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水解尾气二吸盐酸罐</w:t>
            </w:r>
          </w:p>
        </w:tc>
        <w:tc>
          <w:tcPr>
            <w:tcW w:w="2694" w:type="dxa"/>
            <w:tcBorders>
              <w:top w:val="nil"/>
              <w:left w:val="nil"/>
              <w:bottom w:val="single" w:color="auto" w:sz="4" w:space="0"/>
              <w:right w:val="single" w:color="auto" w:sz="4" w:space="0"/>
            </w:tcBorders>
            <w:shd w:val="clear" w:color="auto" w:fill="auto"/>
            <w:vAlign w:val="center"/>
          </w:tcPr>
          <w:p>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V=5m3立式</w:t>
            </w:r>
          </w:p>
        </w:tc>
        <w:tc>
          <w:tcPr>
            <w:tcW w:w="708"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台</w:t>
            </w:r>
          </w:p>
        </w:tc>
        <w:tc>
          <w:tcPr>
            <w:tcW w:w="993"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w:t>
            </w:r>
          </w:p>
        </w:tc>
        <w:tc>
          <w:tcPr>
            <w:tcW w:w="1275"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PP</w:t>
            </w:r>
          </w:p>
        </w:tc>
      </w:tr>
      <w:tr>
        <w:tblPrEx>
          <w:tblCellMar>
            <w:top w:w="0" w:type="dxa"/>
            <w:left w:w="108" w:type="dxa"/>
            <w:bottom w:w="0" w:type="dxa"/>
            <w:right w:w="108" w:type="dxa"/>
          </w:tblCellMar>
        </w:tblPrEx>
        <w:trPr>
          <w:trHeight w:val="480" w:hRule="atLeast"/>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42</w:t>
            </w:r>
          </w:p>
        </w:tc>
        <w:tc>
          <w:tcPr>
            <w:tcW w:w="2268" w:type="dxa"/>
            <w:tcBorders>
              <w:top w:val="nil"/>
              <w:left w:val="nil"/>
              <w:bottom w:val="single" w:color="auto" w:sz="4" w:space="0"/>
              <w:right w:val="single" w:color="auto" w:sz="4" w:space="0"/>
            </w:tcBorders>
            <w:shd w:val="clear" w:color="auto" w:fill="auto"/>
            <w:vAlign w:val="center"/>
          </w:tcPr>
          <w:p>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浓碱槽</w:t>
            </w:r>
          </w:p>
        </w:tc>
        <w:tc>
          <w:tcPr>
            <w:tcW w:w="2694" w:type="dxa"/>
            <w:tcBorders>
              <w:top w:val="nil"/>
              <w:left w:val="nil"/>
              <w:bottom w:val="single" w:color="auto" w:sz="4" w:space="0"/>
              <w:right w:val="single" w:color="auto" w:sz="4" w:space="0"/>
            </w:tcBorders>
            <w:shd w:val="clear" w:color="auto" w:fill="auto"/>
            <w:vAlign w:val="center"/>
          </w:tcPr>
          <w:p>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V=10m3立式</w:t>
            </w:r>
          </w:p>
        </w:tc>
        <w:tc>
          <w:tcPr>
            <w:tcW w:w="708"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台</w:t>
            </w:r>
          </w:p>
        </w:tc>
        <w:tc>
          <w:tcPr>
            <w:tcW w:w="993"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w:t>
            </w:r>
          </w:p>
        </w:tc>
        <w:tc>
          <w:tcPr>
            <w:tcW w:w="1275"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Q235</w:t>
            </w:r>
          </w:p>
        </w:tc>
      </w:tr>
      <w:tr>
        <w:tblPrEx>
          <w:tblCellMar>
            <w:top w:w="0" w:type="dxa"/>
            <w:left w:w="108" w:type="dxa"/>
            <w:bottom w:w="0" w:type="dxa"/>
            <w:right w:w="108" w:type="dxa"/>
          </w:tblCellMar>
        </w:tblPrEx>
        <w:trPr>
          <w:trHeight w:val="480" w:hRule="atLeast"/>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43</w:t>
            </w:r>
          </w:p>
        </w:tc>
        <w:tc>
          <w:tcPr>
            <w:tcW w:w="2268" w:type="dxa"/>
            <w:tcBorders>
              <w:top w:val="nil"/>
              <w:left w:val="nil"/>
              <w:bottom w:val="single" w:color="auto" w:sz="4" w:space="0"/>
              <w:right w:val="single" w:color="auto" w:sz="4" w:space="0"/>
            </w:tcBorders>
            <w:shd w:val="clear" w:color="auto" w:fill="auto"/>
            <w:vAlign w:val="center"/>
          </w:tcPr>
          <w:p>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盐酸储罐</w:t>
            </w:r>
          </w:p>
        </w:tc>
        <w:tc>
          <w:tcPr>
            <w:tcW w:w="2694" w:type="dxa"/>
            <w:tcBorders>
              <w:top w:val="nil"/>
              <w:left w:val="nil"/>
              <w:bottom w:val="single" w:color="auto" w:sz="4" w:space="0"/>
              <w:right w:val="single" w:color="auto" w:sz="4" w:space="0"/>
            </w:tcBorders>
            <w:shd w:val="clear" w:color="auto" w:fill="auto"/>
            <w:vAlign w:val="center"/>
          </w:tcPr>
          <w:p>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V=100m3</w:t>
            </w:r>
          </w:p>
        </w:tc>
        <w:tc>
          <w:tcPr>
            <w:tcW w:w="708"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台</w:t>
            </w:r>
          </w:p>
        </w:tc>
        <w:tc>
          <w:tcPr>
            <w:tcW w:w="993"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4</w:t>
            </w:r>
          </w:p>
        </w:tc>
        <w:tc>
          <w:tcPr>
            <w:tcW w:w="1275"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玻璃钢</w:t>
            </w:r>
          </w:p>
        </w:tc>
      </w:tr>
      <w:tr>
        <w:tblPrEx>
          <w:tblCellMar>
            <w:top w:w="0" w:type="dxa"/>
            <w:left w:w="108" w:type="dxa"/>
            <w:bottom w:w="0" w:type="dxa"/>
            <w:right w:w="108" w:type="dxa"/>
          </w:tblCellMar>
        </w:tblPrEx>
        <w:trPr>
          <w:trHeight w:val="480" w:hRule="atLeast"/>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44</w:t>
            </w:r>
          </w:p>
        </w:tc>
        <w:tc>
          <w:tcPr>
            <w:tcW w:w="2268" w:type="dxa"/>
            <w:tcBorders>
              <w:top w:val="nil"/>
              <w:left w:val="nil"/>
              <w:bottom w:val="single" w:color="auto" w:sz="4" w:space="0"/>
              <w:right w:val="single" w:color="auto" w:sz="4" w:space="0"/>
            </w:tcBorders>
            <w:shd w:val="clear" w:color="auto" w:fill="auto"/>
            <w:vAlign w:val="center"/>
          </w:tcPr>
          <w:p>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尾气吸收塔</w:t>
            </w:r>
          </w:p>
        </w:tc>
        <w:tc>
          <w:tcPr>
            <w:tcW w:w="2694" w:type="dxa"/>
            <w:tcBorders>
              <w:top w:val="nil"/>
              <w:left w:val="nil"/>
              <w:bottom w:val="single" w:color="auto" w:sz="4" w:space="0"/>
              <w:right w:val="single" w:color="auto" w:sz="4" w:space="0"/>
            </w:tcBorders>
            <w:shd w:val="clear" w:color="auto" w:fill="auto"/>
            <w:vAlign w:val="center"/>
          </w:tcPr>
          <w:p>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V=0.8mX4.5m</w:t>
            </w:r>
          </w:p>
        </w:tc>
        <w:tc>
          <w:tcPr>
            <w:tcW w:w="708"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台</w:t>
            </w:r>
          </w:p>
        </w:tc>
        <w:tc>
          <w:tcPr>
            <w:tcW w:w="993"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3</w:t>
            </w:r>
          </w:p>
        </w:tc>
        <w:tc>
          <w:tcPr>
            <w:tcW w:w="1275"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PP</w:t>
            </w:r>
          </w:p>
        </w:tc>
      </w:tr>
      <w:tr>
        <w:tblPrEx>
          <w:tblCellMar>
            <w:top w:w="0" w:type="dxa"/>
            <w:left w:w="108" w:type="dxa"/>
            <w:bottom w:w="0" w:type="dxa"/>
            <w:right w:w="108" w:type="dxa"/>
          </w:tblCellMar>
        </w:tblPrEx>
        <w:trPr>
          <w:trHeight w:val="480" w:hRule="atLeast"/>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45</w:t>
            </w:r>
          </w:p>
        </w:tc>
        <w:tc>
          <w:tcPr>
            <w:tcW w:w="2268" w:type="dxa"/>
            <w:tcBorders>
              <w:top w:val="nil"/>
              <w:left w:val="nil"/>
              <w:bottom w:val="single" w:color="auto" w:sz="4" w:space="0"/>
              <w:right w:val="single" w:color="auto" w:sz="4" w:space="0"/>
            </w:tcBorders>
            <w:shd w:val="clear" w:color="auto" w:fill="auto"/>
            <w:vAlign w:val="center"/>
          </w:tcPr>
          <w:p>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一级尾气排空风机</w:t>
            </w:r>
          </w:p>
        </w:tc>
        <w:tc>
          <w:tcPr>
            <w:tcW w:w="2694" w:type="dxa"/>
            <w:tcBorders>
              <w:top w:val="nil"/>
              <w:left w:val="nil"/>
              <w:bottom w:val="single" w:color="auto" w:sz="4" w:space="0"/>
              <w:right w:val="single" w:color="auto" w:sz="4" w:space="0"/>
            </w:tcBorders>
            <w:shd w:val="clear" w:color="auto" w:fill="auto"/>
            <w:vAlign w:val="center"/>
          </w:tcPr>
          <w:p>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Q=3200m3/h</w:t>
            </w:r>
          </w:p>
        </w:tc>
        <w:tc>
          <w:tcPr>
            <w:tcW w:w="708"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套</w:t>
            </w:r>
          </w:p>
        </w:tc>
        <w:tc>
          <w:tcPr>
            <w:tcW w:w="993"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w:t>
            </w:r>
          </w:p>
        </w:tc>
        <w:tc>
          <w:tcPr>
            <w:tcW w:w="1275"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PP</w:t>
            </w:r>
          </w:p>
        </w:tc>
      </w:tr>
      <w:tr>
        <w:tblPrEx>
          <w:tblCellMar>
            <w:top w:w="0" w:type="dxa"/>
            <w:left w:w="108" w:type="dxa"/>
            <w:bottom w:w="0" w:type="dxa"/>
            <w:right w:w="108" w:type="dxa"/>
          </w:tblCellMar>
        </w:tblPrEx>
        <w:trPr>
          <w:trHeight w:val="480" w:hRule="atLeast"/>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46</w:t>
            </w:r>
          </w:p>
        </w:tc>
        <w:tc>
          <w:tcPr>
            <w:tcW w:w="2268" w:type="dxa"/>
            <w:tcBorders>
              <w:top w:val="nil"/>
              <w:left w:val="nil"/>
              <w:bottom w:val="single" w:color="auto" w:sz="4" w:space="0"/>
              <w:right w:val="single" w:color="auto" w:sz="4" w:space="0"/>
            </w:tcBorders>
            <w:shd w:val="clear" w:color="auto" w:fill="auto"/>
            <w:vAlign w:val="center"/>
          </w:tcPr>
          <w:p>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二级尾气排空风机</w:t>
            </w:r>
          </w:p>
        </w:tc>
        <w:tc>
          <w:tcPr>
            <w:tcW w:w="2694" w:type="dxa"/>
            <w:tcBorders>
              <w:top w:val="nil"/>
              <w:left w:val="nil"/>
              <w:bottom w:val="single" w:color="auto" w:sz="4" w:space="0"/>
              <w:right w:val="single" w:color="auto" w:sz="4" w:space="0"/>
            </w:tcBorders>
            <w:shd w:val="clear" w:color="auto" w:fill="auto"/>
            <w:vAlign w:val="center"/>
          </w:tcPr>
          <w:p>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Q=3200m3/h</w:t>
            </w:r>
          </w:p>
        </w:tc>
        <w:tc>
          <w:tcPr>
            <w:tcW w:w="708"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套</w:t>
            </w:r>
          </w:p>
        </w:tc>
        <w:tc>
          <w:tcPr>
            <w:tcW w:w="993"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w:t>
            </w:r>
          </w:p>
        </w:tc>
        <w:tc>
          <w:tcPr>
            <w:tcW w:w="1275"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PP</w:t>
            </w:r>
          </w:p>
        </w:tc>
      </w:tr>
      <w:tr>
        <w:tblPrEx>
          <w:tblCellMar>
            <w:top w:w="0" w:type="dxa"/>
            <w:left w:w="108" w:type="dxa"/>
            <w:bottom w:w="0" w:type="dxa"/>
            <w:right w:w="108" w:type="dxa"/>
          </w:tblCellMar>
        </w:tblPrEx>
        <w:trPr>
          <w:trHeight w:val="480" w:hRule="atLeast"/>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47</w:t>
            </w:r>
          </w:p>
        </w:tc>
        <w:tc>
          <w:tcPr>
            <w:tcW w:w="2268" w:type="dxa"/>
            <w:tcBorders>
              <w:top w:val="nil"/>
              <w:left w:val="nil"/>
              <w:bottom w:val="single" w:color="auto" w:sz="4" w:space="0"/>
              <w:right w:val="single" w:color="auto" w:sz="4" w:space="0"/>
            </w:tcBorders>
            <w:shd w:val="clear" w:color="auto" w:fill="auto"/>
            <w:vAlign w:val="center"/>
          </w:tcPr>
          <w:p>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一级尾气吸收泵</w:t>
            </w:r>
          </w:p>
        </w:tc>
        <w:tc>
          <w:tcPr>
            <w:tcW w:w="2694" w:type="dxa"/>
            <w:tcBorders>
              <w:top w:val="nil"/>
              <w:left w:val="nil"/>
              <w:bottom w:val="single" w:color="auto" w:sz="4" w:space="0"/>
              <w:right w:val="single" w:color="auto" w:sz="4" w:space="0"/>
            </w:tcBorders>
            <w:shd w:val="clear" w:color="auto" w:fill="auto"/>
            <w:vAlign w:val="center"/>
          </w:tcPr>
          <w:p>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50FP(D)-22</w:t>
            </w:r>
          </w:p>
        </w:tc>
        <w:tc>
          <w:tcPr>
            <w:tcW w:w="708"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台</w:t>
            </w:r>
          </w:p>
        </w:tc>
        <w:tc>
          <w:tcPr>
            <w:tcW w:w="993"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w:t>
            </w:r>
          </w:p>
        </w:tc>
        <w:tc>
          <w:tcPr>
            <w:tcW w:w="1275"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氟塑料</w:t>
            </w:r>
          </w:p>
        </w:tc>
      </w:tr>
      <w:tr>
        <w:tblPrEx>
          <w:tblCellMar>
            <w:top w:w="0" w:type="dxa"/>
            <w:left w:w="108" w:type="dxa"/>
            <w:bottom w:w="0" w:type="dxa"/>
            <w:right w:w="108" w:type="dxa"/>
          </w:tblCellMar>
        </w:tblPrEx>
        <w:trPr>
          <w:trHeight w:val="480" w:hRule="atLeast"/>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48</w:t>
            </w:r>
          </w:p>
        </w:tc>
        <w:tc>
          <w:tcPr>
            <w:tcW w:w="2268" w:type="dxa"/>
            <w:tcBorders>
              <w:top w:val="nil"/>
              <w:left w:val="nil"/>
              <w:bottom w:val="single" w:color="auto" w:sz="4" w:space="0"/>
              <w:right w:val="single" w:color="auto" w:sz="4" w:space="0"/>
            </w:tcBorders>
            <w:shd w:val="clear" w:color="auto" w:fill="auto"/>
            <w:vAlign w:val="center"/>
          </w:tcPr>
          <w:p>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二级尾气吸收泵</w:t>
            </w:r>
          </w:p>
        </w:tc>
        <w:tc>
          <w:tcPr>
            <w:tcW w:w="2694" w:type="dxa"/>
            <w:tcBorders>
              <w:top w:val="nil"/>
              <w:left w:val="nil"/>
              <w:bottom w:val="single" w:color="auto" w:sz="4" w:space="0"/>
              <w:right w:val="single" w:color="auto" w:sz="4" w:space="0"/>
            </w:tcBorders>
            <w:shd w:val="clear" w:color="auto" w:fill="auto"/>
            <w:vAlign w:val="center"/>
          </w:tcPr>
          <w:p>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50FP(D)-22</w:t>
            </w:r>
          </w:p>
        </w:tc>
        <w:tc>
          <w:tcPr>
            <w:tcW w:w="708"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台</w:t>
            </w:r>
          </w:p>
        </w:tc>
        <w:tc>
          <w:tcPr>
            <w:tcW w:w="993"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w:t>
            </w:r>
          </w:p>
        </w:tc>
        <w:tc>
          <w:tcPr>
            <w:tcW w:w="1275"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氟塑料</w:t>
            </w:r>
          </w:p>
        </w:tc>
      </w:tr>
      <w:tr>
        <w:tblPrEx>
          <w:tblCellMar>
            <w:top w:w="0" w:type="dxa"/>
            <w:left w:w="108" w:type="dxa"/>
            <w:bottom w:w="0" w:type="dxa"/>
            <w:right w:w="108" w:type="dxa"/>
          </w:tblCellMar>
        </w:tblPrEx>
        <w:trPr>
          <w:trHeight w:val="480" w:hRule="atLeast"/>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49</w:t>
            </w:r>
          </w:p>
        </w:tc>
        <w:tc>
          <w:tcPr>
            <w:tcW w:w="2268" w:type="dxa"/>
            <w:tcBorders>
              <w:top w:val="nil"/>
              <w:left w:val="nil"/>
              <w:bottom w:val="single" w:color="auto" w:sz="4" w:space="0"/>
              <w:right w:val="single" w:color="auto" w:sz="4" w:space="0"/>
            </w:tcBorders>
            <w:shd w:val="clear" w:color="auto" w:fill="auto"/>
            <w:vAlign w:val="center"/>
          </w:tcPr>
          <w:p>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三级尾气吸收泵</w:t>
            </w:r>
          </w:p>
        </w:tc>
        <w:tc>
          <w:tcPr>
            <w:tcW w:w="2694" w:type="dxa"/>
            <w:tcBorders>
              <w:top w:val="nil"/>
              <w:left w:val="nil"/>
              <w:bottom w:val="single" w:color="auto" w:sz="4" w:space="0"/>
              <w:right w:val="single" w:color="auto" w:sz="4" w:space="0"/>
            </w:tcBorders>
            <w:shd w:val="clear" w:color="auto" w:fill="auto"/>
            <w:vAlign w:val="center"/>
          </w:tcPr>
          <w:p>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50FP(D)-22</w:t>
            </w:r>
          </w:p>
        </w:tc>
        <w:tc>
          <w:tcPr>
            <w:tcW w:w="708"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台</w:t>
            </w:r>
          </w:p>
        </w:tc>
        <w:tc>
          <w:tcPr>
            <w:tcW w:w="993"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w:t>
            </w:r>
          </w:p>
        </w:tc>
        <w:tc>
          <w:tcPr>
            <w:tcW w:w="1275"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氟塑料</w:t>
            </w:r>
          </w:p>
        </w:tc>
      </w:tr>
      <w:tr>
        <w:tblPrEx>
          <w:tblCellMar>
            <w:top w:w="0" w:type="dxa"/>
            <w:left w:w="108" w:type="dxa"/>
            <w:bottom w:w="0" w:type="dxa"/>
            <w:right w:w="108" w:type="dxa"/>
          </w:tblCellMar>
        </w:tblPrEx>
        <w:trPr>
          <w:trHeight w:val="480" w:hRule="atLeast"/>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50</w:t>
            </w:r>
          </w:p>
        </w:tc>
        <w:tc>
          <w:tcPr>
            <w:tcW w:w="2268" w:type="dxa"/>
            <w:tcBorders>
              <w:top w:val="nil"/>
              <w:left w:val="nil"/>
              <w:bottom w:val="single" w:color="auto" w:sz="4" w:space="0"/>
              <w:right w:val="single" w:color="auto" w:sz="4" w:space="0"/>
            </w:tcBorders>
            <w:shd w:val="clear" w:color="auto" w:fill="auto"/>
            <w:vAlign w:val="center"/>
          </w:tcPr>
          <w:p>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氯化一级盐酸吸收器</w:t>
            </w:r>
          </w:p>
        </w:tc>
        <w:tc>
          <w:tcPr>
            <w:tcW w:w="2694" w:type="dxa"/>
            <w:tcBorders>
              <w:top w:val="nil"/>
              <w:left w:val="nil"/>
              <w:bottom w:val="single" w:color="auto" w:sz="4" w:space="0"/>
              <w:right w:val="single" w:color="auto" w:sz="4" w:space="0"/>
            </w:tcBorders>
            <w:shd w:val="clear" w:color="auto" w:fill="auto"/>
            <w:vAlign w:val="center"/>
          </w:tcPr>
          <w:p>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S=20m2</w:t>
            </w:r>
          </w:p>
        </w:tc>
        <w:tc>
          <w:tcPr>
            <w:tcW w:w="708"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台</w:t>
            </w:r>
          </w:p>
        </w:tc>
        <w:tc>
          <w:tcPr>
            <w:tcW w:w="993"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3</w:t>
            </w:r>
          </w:p>
        </w:tc>
        <w:tc>
          <w:tcPr>
            <w:tcW w:w="1275"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石墨</w:t>
            </w:r>
          </w:p>
        </w:tc>
      </w:tr>
      <w:tr>
        <w:tblPrEx>
          <w:tblCellMar>
            <w:top w:w="0" w:type="dxa"/>
            <w:left w:w="108" w:type="dxa"/>
            <w:bottom w:w="0" w:type="dxa"/>
            <w:right w:w="108" w:type="dxa"/>
          </w:tblCellMar>
        </w:tblPrEx>
        <w:trPr>
          <w:trHeight w:val="480" w:hRule="atLeast"/>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51</w:t>
            </w:r>
          </w:p>
        </w:tc>
        <w:tc>
          <w:tcPr>
            <w:tcW w:w="2268" w:type="dxa"/>
            <w:tcBorders>
              <w:top w:val="nil"/>
              <w:left w:val="nil"/>
              <w:bottom w:val="single" w:color="auto" w:sz="4" w:space="0"/>
              <w:right w:val="single" w:color="auto" w:sz="4" w:space="0"/>
            </w:tcBorders>
            <w:shd w:val="clear" w:color="auto" w:fill="auto"/>
            <w:vAlign w:val="center"/>
          </w:tcPr>
          <w:p>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氯化二级盐酸吸收器</w:t>
            </w:r>
          </w:p>
        </w:tc>
        <w:tc>
          <w:tcPr>
            <w:tcW w:w="2694" w:type="dxa"/>
            <w:tcBorders>
              <w:top w:val="nil"/>
              <w:left w:val="nil"/>
              <w:bottom w:val="single" w:color="auto" w:sz="4" w:space="0"/>
              <w:right w:val="single" w:color="auto" w:sz="4" w:space="0"/>
            </w:tcBorders>
            <w:shd w:val="clear" w:color="auto" w:fill="auto"/>
            <w:vAlign w:val="center"/>
          </w:tcPr>
          <w:p>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S=10m2</w:t>
            </w:r>
          </w:p>
        </w:tc>
        <w:tc>
          <w:tcPr>
            <w:tcW w:w="708"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台</w:t>
            </w:r>
          </w:p>
        </w:tc>
        <w:tc>
          <w:tcPr>
            <w:tcW w:w="993"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3</w:t>
            </w:r>
          </w:p>
        </w:tc>
        <w:tc>
          <w:tcPr>
            <w:tcW w:w="1275"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石墨</w:t>
            </w:r>
          </w:p>
        </w:tc>
      </w:tr>
      <w:tr>
        <w:tblPrEx>
          <w:tblCellMar>
            <w:top w:w="0" w:type="dxa"/>
            <w:left w:w="108" w:type="dxa"/>
            <w:bottom w:w="0" w:type="dxa"/>
            <w:right w:w="108" w:type="dxa"/>
          </w:tblCellMar>
        </w:tblPrEx>
        <w:trPr>
          <w:trHeight w:val="480" w:hRule="atLeast"/>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52</w:t>
            </w:r>
          </w:p>
        </w:tc>
        <w:tc>
          <w:tcPr>
            <w:tcW w:w="2268" w:type="dxa"/>
            <w:tcBorders>
              <w:top w:val="nil"/>
              <w:left w:val="nil"/>
              <w:bottom w:val="single" w:color="auto" w:sz="4" w:space="0"/>
              <w:right w:val="single" w:color="auto" w:sz="4" w:space="0"/>
            </w:tcBorders>
            <w:shd w:val="clear" w:color="auto" w:fill="auto"/>
            <w:vAlign w:val="center"/>
          </w:tcPr>
          <w:p>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水解一级盐酸吸收器</w:t>
            </w:r>
          </w:p>
        </w:tc>
        <w:tc>
          <w:tcPr>
            <w:tcW w:w="2694" w:type="dxa"/>
            <w:tcBorders>
              <w:top w:val="nil"/>
              <w:left w:val="nil"/>
              <w:bottom w:val="single" w:color="auto" w:sz="4" w:space="0"/>
              <w:right w:val="single" w:color="auto" w:sz="4" w:space="0"/>
            </w:tcBorders>
            <w:shd w:val="clear" w:color="auto" w:fill="auto"/>
            <w:vAlign w:val="center"/>
          </w:tcPr>
          <w:p>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S=20m2</w:t>
            </w:r>
          </w:p>
        </w:tc>
        <w:tc>
          <w:tcPr>
            <w:tcW w:w="708"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台</w:t>
            </w:r>
          </w:p>
        </w:tc>
        <w:tc>
          <w:tcPr>
            <w:tcW w:w="993"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w:t>
            </w:r>
          </w:p>
        </w:tc>
        <w:tc>
          <w:tcPr>
            <w:tcW w:w="1275"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石墨</w:t>
            </w:r>
          </w:p>
        </w:tc>
      </w:tr>
      <w:tr>
        <w:tblPrEx>
          <w:tblCellMar>
            <w:top w:w="0" w:type="dxa"/>
            <w:left w:w="108" w:type="dxa"/>
            <w:bottom w:w="0" w:type="dxa"/>
            <w:right w:w="108" w:type="dxa"/>
          </w:tblCellMar>
        </w:tblPrEx>
        <w:trPr>
          <w:trHeight w:val="480" w:hRule="atLeast"/>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53</w:t>
            </w:r>
          </w:p>
        </w:tc>
        <w:tc>
          <w:tcPr>
            <w:tcW w:w="2268" w:type="dxa"/>
            <w:tcBorders>
              <w:top w:val="nil"/>
              <w:left w:val="nil"/>
              <w:bottom w:val="single" w:color="auto" w:sz="4" w:space="0"/>
              <w:right w:val="single" w:color="auto" w:sz="4" w:space="0"/>
            </w:tcBorders>
            <w:shd w:val="clear" w:color="auto" w:fill="auto"/>
            <w:vAlign w:val="center"/>
          </w:tcPr>
          <w:p>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水解二级盐酸吸收器</w:t>
            </w:r>
          </w:p>
        </w:tc>
        <w:tc>
          <w:tcPr>
            <w:tcW w:w="2694" w:type="dxa"/>
            <w:tcBorders>
              <w:top w:val="nil"/>
              <w:left w:val="nil"/>
              <w:bottom w:val="single" w:color="auto" w:sz="4" w:space="0"/>
              <w:right w:val="single" w:color="auto" w:sz="4" w:space="0"/>
            </w:tcBorders>
            <w:shd w:val="clear" w:color="auto" w:fill="auto"/>
            <w:vAlign w:val="center"/>
          </w:tcPr>
          <w:p>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S=10m2</w:t>
            </w:r>
          </w:p>
        </w:tc>
        <w:tc>
          <w:tcPr>
            <w:tcW w:w="708"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台</w:t>
            </w:r>
          </w:p>
        </w:tc>
        <w:tc>
          <w:tcPr>
            <w:tcW w:w="993"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w:t>
            </w:r>
          </w:p>
        </w:tc>
        <w:tc>
          <w:tcPr>
            <w:tcW w:w="1275"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石墨</w:t>
            </w:r>
          </w:p>
        </w:tc>
      </w:tr>
      <w:tr>
        <w:tblPrEx>
          <w:tblCellMar>
            <w:top w:w="0" w:type="dxa"/>
            <w:left w:w="108" w:type="dxa"/>
            <w:bottom w:w="0" w:type="dxa"/>
            <w:right w:w="108" w:type="dxa"/>
          </w:tblCellMar>
        </w:tblPrEx>
        <w:trPr>
          <w:trHeight w:val="480" w:hRule="atLeast"/>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54</w:t>
            </w:r>
          </w:p>
        </w:tc>
        <w:tc>
          <w:tcPr>
            <w:tcW w:w="2268" w:type="dxa"/>
            <w:tcBorders>
              <w:top w:val="nil"/>
              <w:left w:val="nil"/>
              <w:bottom w:val="single" w:color="auto" w:sz="4" w:space="0"/>
              <w:right w:val="single" w:color="auto" w:sz="4" w:space="0"/>
            </w:tcBorders>
            <w:shd w:val="clear" w:color="auto" w:fill="auto"/>
            <w:vAlign w:val="center"/>
          </w:tcPr>
          <w:p>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氯化一级盐酸泵</w:t>
            </w:r>
          </w:p>
        </w:tc>
        <w:tc>
          <w:tcPr>
            <w:tcW w:w="2694" w:type="dxa"/>
            <w:tcBorders>
              <w:top w:val="nil"/>
              <w:left w:val="nil"/>
              <w:bottom w:val="single" w:color="auto" w:sz="4" w:space="0"/>
              <w:right w:val="single" w:color="auto" w:sz="4" w:space="0"/>
            </w:tcBorders>
            <w:shd w:val="clear" w:color="auto" w:fill="auto"/>
            <w:vAlign w:val="center"/>
          </w:tcPr>
          <w:p>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65FSB-32</w:t>
            </w:r>
          </w:p>
        </w:tc>
        <w:tc>
          <w:tcPr>
            <w:tcW w:w="708"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台</w:t>
            </w:r>
          </w:p>
        </w:tc>
        <w:tc>
          <w:tcPr>
            <w:tcW w:w="993"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5</w:t>
            </w:r>
          </w:p>
        </w:tc>
        <w:tc>
          <w:tcPr>
            <w:tcW w:w="1275"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氟塑料</w:t>
            </w:r>
          </w:p>
        </w:tc>
      </w:tr>
      <w:tr>
        <w:tblPrEx>
          <w:tblCellMar>
            <w:top w:w="0" w:type="dxa"/>
            <w:left w:w="108" w:type="dxa"/>
            <w:bottom w:w="0" w:type="dxa"/>
            <w:right w:w="108" w:type="dxa"/>
          </w:tblCellMar>
        </w:tblPrEx>
        <w:trPr>
          <w:trHeight w:val="480" w:hRule="atLeast"/>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55</w:t>
            </w:r>
          </w:p>
        </w:tc>
        <w:tc>
          <w:tcPr>
            <w:tcW w:w="2268" w:type="dxa"/>
            <w:tcBorders>
              <w:top w:val="nil"/>
              <w:left w:val="nil"/>
              <w:bottom w:val="single" w:color="auto" w:sz="4" w:space="0"/>
              <w:right w:val="single" w:color="auto" w:sz="4" w:space="0"/>
            </w:tcBorders>
            <w:shd w:val="clear" w:color="auto" w:fill="auto"/>
            <w:vAlign w:val="center"/>
          </w:tcPr>
          <w:p>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水解一级盐酸泵</w:t>
            </w:r>
          </w:p>
        </w:tc>
        <w:tc>
          <w:tcPr>
            <w:tcW w:w="2694" w:type="dxa"/>
            <w:tcBorders>
              <w:top w:val="nil"/>
              <w:left w:val="nil"/>
              <w:bottom w:val="single" w:color="auto" w:sz="4" w:space="0"/>
              <w:right w:val="single" w:color="auto" w:sz="4" w:space="0"/>
            </w:tcBorders>
            <w:shd w:val="clear" w:color="auto" w:fill="auto"/>
            <w:vAlign w:val="center"/>
          </w:tcPr>
          <w:p>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65FSB-32</w:t>
            </w:r>
          </w:p>
        </w:tc>
        <w:tc>
          <w:tcPr>
            <w:tcW w:w="708"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台</w:t>
            </w:r>
          </w:p>
        </w:tc>
        <w:tc>
          <w:tcPr>
            <w:tcW w:w="993"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3</w:t>
            </w:r>
          </w:p>
        </w:tc>
        <w:tc>
          <w:tcPr>
            <w:tcW w:w="1275"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氟塑料</w:t>
            </w:r>
          </w:p>
        </w:tc>
      </w:tr>
      <w:tr>
        <w:tblPrEx>
          <w:tblCellMar>
            <w:top w:w="0" w:type="dxa"/>
            <w:left w:w="108" w:type="dxa"/>
            <w:bottom w:w="0" w:type="dxa"/>
            <w:right w:w="108" w:type="dxa"/>
          </w:tblCellMar>
        </w:tblPrEx>
        <w:trPr>
          <w:trHeight w:val="480" w:hRule="atLeast"/>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56</w:t>
            </w:r>
          </w:p>
        </w:tc>
        <w:tc>
          <w:tcPr>
            <w:tcW w:w="2268" w:type="dxa"/>
            <w:tcBorders>
              <w:top w:val="nil"/>
              <w:left w:val="nil"/>
              <w:bottom w:val="single" w:color="auto" w:sz="4" w:space="0"/>
              <w:right w:val="single" w:color="auto" w:sz="4" w:space="0"/>
            </w:tcBorders>
            <w:shd w:val="clear" w:color="auto" w:fill="auto"/>
            <w:vAlign w:val="center"/>
          </w:tcPr>
          <w:p>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氯化二级盐酸泵</w:t>
            </w:r>
          </w:p>
        </w:tc>
        <w:tc>
          <w:tcPr>
            <w:tcW w:w="2694" w:type="dxa"/>
            <w:tcBorders>
              <w:top w:val="nil"/>
              <w:left w:val="nil"/>
              <w:bottom w:val="single" w:color="auto" w:sz="4" w:space="0"/>
              <w:right w:val="single" w:color="auto" w:sz="4" w:space="0"/>
            </w:tcBorders>
            <w:shd w:val="clear" w:color="auto" w:fill="auto"/>
            <w:vAlign w:val="center"/>
          </w:tcPr>
          <w:p>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40FSB-20 Q=5,H=20</w:t>
            </w:r>
          </w:p>
        </w:tc>
        <w:tc>
          <w:tcPr>
            <w:tcW w:w="708"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台</w:t>
            </w:r>
          </w:p>
        </w:tc>
        <w:tc>
          <w:tcPr>
            <w:tcW w:w="993"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w:t>
            </w:r>
          </w:p>
        </w:tc>
        <w:tc>
          <w:tcPr>
            <w:tcW w:w="1275"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氟塑料</w:t>
            </w:r>
          </w:p>
        </w:tc>
      </w:tr>
      <w:tr>
        <w:tblPrEx>
          <w:tblCellMar>
            <w:top w:w="0" w:type="dxa"/>
            <w:left w:w="108" w:type="dxa"/>
            <w:bottom w:w="0" w:type="dxa"/>
            <w:right w:w="108" w:type="dxa"/>
          </w:tblCellMar>
        </w:tblPrEx>
        <w:trPr>
          <w:trHeight w:val="480" w:hRule="atLeast"/>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57</w:t>
            </w:r>
          </w:p>
        </w:tc>
        <w:tc>
          <w:tcPr>
            <w:tcW w:w="2268" w:type="dxa"/>
            <w:tcBorders>
              <w:top w:val="nil"/>
              <w:left w:val="nil"/>
              <w:bottom w:val="single" w:color="auto" w:sz="4" w:space="0"/>
              <w:right w:val="single" w:color="auto" w:sz="4" w:space="0"/>
            </w:tcBorders>
            <w:shd w:val="clear" w:color="auto" w:fill="auto"/>
            <w:vAlign w:val="center"/>
          </w:tcPr>
          <w:p>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水解二级盐酸泵</w:t>
            </w:r>
          </w:p>
        </w:tc>
        <w:tc>
          <w:tcPr>
            <w:tcW w:w="2694" w:type="dxa"/>
            <w:tcBorders>
              <w:top w:val="nil"/>
              <w:left w:val="nil"/>
              <w:bottom w:val="single" w:color="auto" w:sz="4" w:space="0"/>
              <w:right w:val="single" w:color="auto" w:sz="4" w:space="0"/>
            </w:tcBorders>
            <w:shd w:val="clear" w:color="auto" w:fill="auto"/>
            <w:vAlign w:val="center"/>
          </w:tcPr>
          <w:p>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40FSB-20 Q=5,H=20</w:t>
            </w:r>
          </w:p>
        </w:tc>
        <w:tc>
          <w:tcPr>
            <w:tcW w:w="708"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台</w:t>
            </w:r>
          </w:p>
        </w:tc>
        <w:tc>
          <w:tcPr>
            <w:tcW w:w="993"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w:t>
            </w:r>
          </w:p>
        </w:tc>
        <w:tc>
          <w:tcPr>
            <w:tcW w:w="1275"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氟塑料</w:t>
            </w:r>
          </w:p>
        </w:tc>
      </w:tr>
      <w:tr>
        <w:tblPrEx>
          <w:tblCellMar>
            <w:top w:w="0" w:type="dxa"/>
            <w:left w:w="108" w:type="dxa"/>
            <w:bottom w:w="0" w:type="dxa"/>
            <w:right w:w="108" w:type="dxa"/>
          </w:tblCellMar>
        </w:tblPrEx>
        <w:trPr>
          <w:trHeight w:val="480" w:hRule="atLeast"/>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58</w:t>
            </w:r>
          </w:p>
        </w:tc>
        <w:tc>
          <w:tcPr>
            <w:tcW w:w="2268" w:type="dxa"/>
            <w:tcBorders>
              <w:top w:val="nil"/>
              <w:left w:val="nil"/>
              <w:bottom w:val="single" w:color="auto" w:sz="4" w:space="0"/>
              <w:right w:val="single" w:color="auto" w:sz="4" w:space="0"/>
            </w:tcBorders>
            <w:shd w:val="clear" w:color="auto" w:fill="auto"/>
            <w:vAlign w:val="center"/>
          </w:tcPr>
          <w:p>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氯化酸输送泵</w:t>
            </w:r>
          </w:p>
        </w:tc>
        <w:tc>
          <w:tcPr>
            <w:tcW w:w="2694" w:type="dxa"/>
            <w:tcBorders>
              <w:top w:val="nil"/>
              <w:left w:val="nil"/>
              <w:bottom w:val="single" w:color="auto" w:sz="4" w:space="0"/>
              <w:right w:val="single" w:color="auto" w:sz="4" w:space="0"/>
            </w:tcBorders>
            <w:shd w:val="clear" w:color="auto" w:fill="auto"/>
            <w:vAlign w:val="center"/>
          </w:tcPr>
          <w:p>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65FSB-32</w:t>
            </w:r>
          </w:p>
        </w:tc>
        <w:tc>
          <w:tcPr>
            <w:tcW w:w="708"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台</w:t>
            </w:r>
          </w:p>
        </w:tc>
        <w:tc>
          <w:tcPr>
            <w:tcW w:w="993"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w:t>
            </w:r>
          </w:p>
        </w:tc>
        <w:tc>
          <w:tcPr>
            <w:tcW w:w="1275"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氟塑料</w:t>
            </w:r>
          </w:p>
        </w:tc>
      </w:tr>
      <w:tr>
        <w:tblPrEx>
          <w:tblCellMar>
            <w:top w:w="0" w:type="dxa"/>
            <w:left w:w="108" w:type="dxa"/>
            <w:bottom w:w="0" w:type="dxa"/>
            <w:right w:w="108" w:type="dxa"/>
          </w:tblCellMar>
        </w:tblPrEx>
        <w:trPr>
          <w:trHeight w:val="480" w:hRule="atLeast"/>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59</w:t>
            </w:r>
          </w:p>
        </w:tc>
        <w:tc>
          <w:tcPr>
            <w:tcW w:w="2268" w:type="dxa"/>
            <w:tcBorders>
              <w:top w:val="nil"/>
              <w:left w:val="nil"/>
              <w:bottom w:val="single" w:color="auto" w:sz="4" w:space="0"/>
              <w:right w:val="single" w:color="auto" w:sz="4" w:space="0"/>
            </w:tcBorders>
            <w:shd w:val="clear" w:color="auto" w:fill="auto"/>
            <w:vAlign w:val="center"/>
          </w:tcPr>
          <w:p>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水解酸输送泵</w:t>
            </w:r>
          </w:p>
        </w:tc>
        <w:tc>
          <w:tcPr>
            <w:tcW w:w="2694" w:type="dxa"/>
            <w:tcBorders>
              <w:top w:val="nil"/>
              <w:left w:val="nil"/>
              <w:bottom w:val="single" w:color="auto" w:sz="4" w:space="0"/>
              <w:right w:val="single" w:color="auto" w:sz="4" w:space="0"/>
            </w:tcBorders>
            <w:shd w:val="clear" w:color="auto" w:fill="auto"/>
            <w:vAlign w:val="center"/>
          </w:tcPr>
          <w:p>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65FSB-32</w:t>
            </w:r>
          </w:p>
        </w:tc>
        <w:tc>
          <w:tcPr>
            <w:tcW w:w="708"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台</w:t>
            </w:r>
          </w:p>
        </w:tc>
        <w:tc>
          <w:tcPr>
            <w:tcW w:w="993"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w:t>
            </w:r>
          </w:p>
        </w:tc>
        <w:tc>
          <w:tcPr>
            <w:tcW w:w="1275"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氟塑料</w:t>
            </w:r>
          </w:p>
        </w:tc>
      </w:tr>
      <w:tr>
        <w:tblPrEx>
          <w:tblCellMar>
            <w:top w:w="0" w:type="dxa"/>
            <w:left w:w="108" w:type="dxa"/>
            <w:bottom w:w="0" w:type="dxa"/>
            <w:right w:w="108" w:type="dxa"/>
          </w:tblCellMar>
        </w:tblPrEx>
        <w:trPr>
          <w:trHeight w:val="480" w:hRule="atLeast"/>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60</w:t>
            </w:r>
          </w:p>
        </w:tc>
        <w:tc>
          <w:tcPr>
            <w:tcW w:w="2268" w:type="dxa"/>
            <w:tcBorders>
              <w:top w:val="nil"/>
              <w:left w:val="nil"/>
              <w:bottom w:val="single" w:color="auto" w:sz="4" w:space="0"/>
              <w:right w:val="single" w:color="auto" w:sz="4" w:space="0"/>
            </w:tcBorders>
            <w:shd w:val="clear" w:color="auto" w:fill="auto"/>
            <w:vAlign w:val="center"/>
          </w:tcPr>
          <w:p>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液碱泵</w:t>
            </w:r>
          </w:p>
        </w:tc>
        <w:tc>
          <w:tcPr>
            <w:tcW w:w="2694" w:type="dxa"/>
            <w:tcBorders>
              <w:top w:val="nil"/>
              <w:left w:val="nil"/>
              <w:bottom w:val="single" w:color="auto" w:sz="4" w:space="0"/>
              <w:right w:val="single" w:color="auto" w:sz="4" w:space="0"/>
            </w:tcBorders>
            <w:shd w:val="clear" w:color="auto" w:fill="auto"/>
            <w:vAlign w:val="center"/>
          </w:tcPr>
          <w:p>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H=12,Q=6</w:t>
            </w:r>
          </w:p>
        </w:tc>
        <w:tc>
          <w:tcPr>
            <w:tcW w:w="708"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台</w:t>
            </w:r>
          </w:p>
        </w:tc>
        <w:tc>
          <w:tcPr>
            <w:tcW w:w="993"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w:t>
            </w:r>
          </w:p>
        </w:tc>
        <w:tc>
          <w:tcPr>
            <w:tcW w:w="1275"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碳钢</w:t>
            </w:r>
          </w:p>
        </w:tc>
      </w:tr>
      <w:tr>
        <w:tblPrEx>
          <w:tblCellMar>
            <w:top w:w="0" w:type="dxa"/>
            <w:left w:w="108" w:type="dxa"/>
            <w:bottom w:w="0" w:type="dxa"/>
            <w:right w:w="108" w:type="dxa"/>
          </w:tblCellMar>
        </w:tblPrEx>
        <w:trPr>
          <w:trHeight w:val="480" w:hRule="atLeast"/>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61</w:t>
            </w:r>
          </w:p>
        </w:tc>
        <w:tc>
          <w:tcPr>
            <w:tcW w:w="2268" w:type="dxa"/>
            <w:tcBorders>
              <w:top w:val="nil"/>
              <w:left w:val="nil"/>
              <w:bottom w:val="single" w:color="auto" w:sz="4" w:space="0"/>
              <w:right w:val="single" w:color="auto" w:sz="4" w:space="0"/>
            </w:tcBorders>
            <w:shd w:val="clear" w:color="auto" w:fill="auto"/>
            <w:vAlign w:val="center"/>
          </w:tcPr>
          <w:p>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废水泵</w:t>
            </w:r>
          </w:p>
        </w:tc>
        <w:tc>
          <w:tcPr>
            <w:tcW w:w="2694" w:type="dxa"/>
            <w:tcBorders>
              <w:top w:val="nil"/>
              <w:left w:val="nil"/>
              <w:bottom w:val="single" w:color="auto" w:sz="4" w:space="0"/>
              <w:right w:val="single" w:color="auto" w:sz="4" w:space="0"/>
            </w:tcBorders>
            <w:shd w:val="clear" w:color="auto" w:fill="auto"/>
            <w:vAlign w:val="center"/>
          </w:tcPr>
          <w:p>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65FSB-32</w:t>
            </w:r>
          </w:p>
        </w:tc>
        <w:tc>
          <w:tcPr>
            <w:tcW w:w="708"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台</w:t>
            </w:r>
          </w:p>
        </w:tc>
        <w:tc>
          <w:tcPr>
            <w:tcW w:w="993"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w:t>
            </w:r>
          </w:p>
        </w:tc>
        <w:tc>
          <w:tcPr>
            <w:tcW w:w="1275"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氟塑料</w:t>
            </w:r>
          </w:p>
        </w:tc>
      </w:tr>
      <w:tr>
        <w:tblPrEx>
          <w:tblCellMar>
            <w:top w:w="0" w:type="dxa"/>
            <w:left w:w="108" w:type="dxa"/>
            <w:bottom w:w="0" w:type="dxa"/>
            <w:right w:w="108" w:type="dxa"/>
          </w:tblCellMar>
        </w:tblPrEx>
        <w:trPr>
          <w:trHeight w:val="480" w:hRule="atLeast"/>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62</w:t>
            </w:r>
          </w:p>
        </w:tc>
        <w:tc>
          <w:tcPr>
            <w:tcW w:w="2268" w:type="dxa"/>
            <w:tcBorders>
              <w:top w:val="nil"/>
              <w:left w:val="nil"/>
              <w:bottom w:val="single" w:color="auto" w:sz="4" w:space="0"/>
              <w:right w:val="single" w:color="auto" w:sz="4" w:space="0"/>
            </w:tcBorders>
            <w:shd w:val="clear" w:color="auto" w:fill="auto"/>
            <w:vAlign w:val="center"/>
          </w:tcPr>
          <w:p>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真空泵(含缓冲罐）</w:t>
            </w:r>
          </w:p>
        </w:tc>
        <w:tc>
          <w:tcPr>
            <w:tcW w:w="2694" w:type="dxa"/>
            <w:tcBorders>
              <w:top w:val="nil"/>
              <w:left w:val="nil"/>
              <w:bottom w:val="single" w:color="auto" w:sz="4" w:space="0"/>
              <w:right w:val="single" w:color="auto" w:sz="4" w:space="0"/>
            </w:tcBorders>
            <w:shd w:val="clear" w:color="auto" w:fill="auto"/>
            <w:vAlign w:val="center"/>
          </w:tcPr>
          <w:p>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6JW-RPP-65-280</w:t>
            </w:r>
          </w:p>
        </w:tc>
        <w:tc>
          <w:tcPr>
            <w:tcW w:w="708"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套</w:t>
            </w:r>
          </w:p>
        </w:tc>
        <w:tc>
          <w:tcPr>
            <w:tcW w:w="993"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1275"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PP</w:t>
            </w:r>
          </w:p>
        </w:tc>
      </w:tr>
      <w:tr>
        <w:tblPrEx>
          <w:tblCellMar>
            <w:top w:w="0" w:type="dxa"/>
            <w:left w:w="108" w:type="dxa"/>
            <w:bottom w:w="0" w:type="dxa"/>
            <w:right w:w="108" w:type="dxa"/>
          </w:tblCellMar>
        </w:tblPrEx>
        <w:trPr>
          <w:trHeight w:val="495" w:hRule="atLeast"/>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63</w:t>
            </w:r>
          </w:p>
        </w:tc>
        <w:tc>
          <w:tcPr>
            <w:tcW w:w="2268" w:type="dxa"/>
            <w:tcBorders>
              <w:top w:val="nil"/>
              <w:left w:val="nil"/>
              <w:bottom w:val="single" w:color="auto" w:sz="4" w:space="0"/>
              <w:right w:val="single" w:color="auto" w:sz="4" w:space="0"/>
            </w:tcBorders>
            <w:shd w:val="clear" w:color="auto" w:fill="auto"/>
            <w:vAlign w:val="center"/>
          </w:tcPr>
          <w:p>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循环水供水泵</w:t>
            </w:r>
          </w:p>
        </w:tc>
        <w:tc>
          <w:tcPr>
            <w:tcW w:w="2694" w:type="dxa"/>
            <w:tcBorders>
              <w:top w:val="nil"/>
              <w:left w:val="nil"/>
              <w:bottom w:val="single" w:color="auto" w:sz="4" w:space="0"/>
              <w:right w:val="single" w:color="auto" w:sz="4" w:space="0"/>
            </w:tcBorders>
            <w:shd w:val="clear" w:color="auto" w:fill="auto"/>
            <w:vAlign w:val="center"/>
          </w:tcPr>
          <w:p>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ISW150/300-22/4</w:t>
            </w:r>
          </w:p>
        </w:tc>
        <w:tc>
          <w:tcPr>
            <w:tcW w:w="708"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套</w:t>
            </w:r>
          </w:p>
        </w:tc>
        <w:tc>
          <w:tcPr>
            <w:tcW w:w="993"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w:t>
            </w:r>
          </w:p>
        </w:tc>
        <w:tc>
          <w:tcPr>
            <w:tcW w:w="1275"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CS</w:t>
            </w:r>
          </w:p>
        </w:tc>
      </w:tr>
      <w:tr>
        <w:tblPrEx>
          <w:tblCellMar>
            <w:top w:w="0" w:type="dxa"/>
            <w:left w:w="108" w:type="dxa"/>
            <w:bottom w:w="0" w:type="dxa"/>
            <w:right w:w="108" w:type="dxa"/>
          </w:tblCellMar>
        </w:tblPrEx>
        <w:trPr>
          <w:trHeight w:val="495" w:hRule="atLeast"/>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64</w:t>
            </w:r>
          </w:p>
        </w:tc>
        <w:tc>
          <w:tcPr>
            <w:tcW w:w="2268" w:type="dxa"/>
            <w:tcBorders>
              <w:top w:val="nil"/>
              <w:left w:val="nil"/>
              <w:bottom w:val="single" w:color="auto" w:sz="4" w:space="0"/>
              <w:right w:val="single" w:color="auto" w:sz="4" w:space="0"/>
            </w:tcBorders>
            <w:shd w:val="clear" w:color="auto" w:fill="auto"/>
            <w:vAlign w:val="center"/>
          </w:tcPr>
          <w:p>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脱轻塔进料罐</w:t>
            </w:r>
          </w:p>
        </w:tc>
        <w:tc>
          <w:tcPr>
            <w:tcW w:w="2694" w:type="dxa"/>
            <w:tcBorders>
              <w:top w:val="nil"/>
              <w:left w:val="nil"/>
              <w:bottom w:val="single" w:color="auto" w:sz="4" w:space="0"/>
              <w:right w:val="single" w:color="auto" w:sz="4" w:space="0"/>
            </w:tcBorders>
            <w:shd w:val="clear" w:color="auto" w:fill="auto"/>
            <w:vAlign w:val="center"/>
          </w:tcPr>
          <w:p>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WN10000 DN2000×3920</w:t>
            </w:r>
          </w:p>
        </w:tc>
        <w:tc>
          <w:tcPr>
            <w:tcW w:w="708"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台</w:t>
            </w:r>
          </w:p>
        </w:tc>
        <w:tc>
          <w:tcPr>
            <w:tcW w:w="993"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w:t>
            </w:r>
          </w:p>
        </w:tc>
        <w:tc>
          <w:tcPr>
            <w:tcW w:w="1275"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搪瓷</w:t>
            </w:r>
          </w:p>
        </w:tc>
      </w:tr>
      <w:tr>
        <w:tblPrEx>
          <w:tblCellMar>
            <w:top w:w="0" w:type="dxa"/>
            <w:left w:w="108" w:type="dxa"/>
            <w:bottom w:w="0" w:type="dxa"/>
            <w:right w:w="108" w:type="dxa"/>
          </w:tblCellMar>
        </w:tblPrEx>
        <w:trPr>
          <w:trHeight w:val="555" w:hRule="atLeast"/>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65</w:t>
            </w:r>
          </w:p>
        </w:tc>
        <w:tc>
          <w:tcPr>
            <w:tcW w:w="2268" w:type="dxa"/>
            <w:tcBorders>
              <w:top w:val="nil"/>
              <w:left w:val="nil"/>
              <w:bottom w:val="single" w:color="auto" w:sz="4" w:space="0"/>
              <w:right w:val="single" w:color="auto" w:sz="4" w:space="0"/>
            </w:tcBorders>
            <w:shd w:val="clear" w:color="auto" w:fill="auto"/>
            <w:vAlign w:val="center"/>
          </w:tcPr>
          <w:p>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脱轻塔回流罐</w:t>
            </w:r>
          </w:p>
        </w:tc>
        <w:tc>
          <w:tcPr>
            <w:tcW w:w="2694" w:type="dxa"/>
            <w:tcBorders>
              <w:top w:val="nil"/>
              <w:left w:val="nil"/>
              <w:bottom w:val="single" w:color="auto" w:sz="4" w:space="0"/>
              <w:right w:val="single" w:color="auto" w:sz="4" w:space="0"/>
            </w:tcBorders>
            <w:shd w:val="clear" w:color="auto" w:fill="auto"/>
            <w:vAlign w:val="center"/>
          </w:tcPr>
          <w:p>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F1000L</w:t>
            </w:r>
          </w:p>
        </w:tc>
        <w:tc>
          <w:tcPr>
            <w:tcW w:w="708"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台</w:t>
            </w:r>
          </w:p>
        </w:tc>
        <w:tc>
          <w:tcPr>
            <w:tcW w:w="993"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w:t>
            </w:r>
          </w:p>
        </w:tc>
        <w:tc>
          <w:tcPr>
            <w:tcW w:w="1275"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搪瓷</w:t>
            </w:r>
          </w:p>
        </w:tc>
      </w:tr>
      <w:tr>
        <w:tblPrEx>
          <w:tblCellMar>
            <w:top w:w="0" w:type="dxa"/>
            <w:left w:w="108" w:type="dxa"/>
            <w:bottom w:w="0" w:type="dxa"/>
            <w:right w:w="108" w:type="dxa"/>
          </w:tblCellMar>
        </w:tblPrEx>
        <w:trPr>
          <w:trHeight w:val="480" w:hRule="atLeast"/>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66</w:t>
            </w:r>
          </w:p>
        </w:tc>
        <w:tc>
          <w:tcPr>
            <w:tcW w:w="2268" w:type="dxa"/>
            <w:tcBorders>
              <w:top w:val="nil"/>
              <w:left w:val="nil"/>
              <w:bottom w:val="single" w:color="auto" w:sz="4" w:space="0"/>
              <w:right w:val="single" w:color="auto" w:sz="4" w:space="0"/>
            </w:tcBorders>
            <w:shd w:val="clear" w:color="auto" w:fill="auto"/>
            <w:vAlign w:val="center"/>
          </w:tcPr>
          <w:p>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低沸物中转釜</w:t>
            </w:r>
          </w:p>
        </w:tc>
        <w:tc>
          <w:tcPr>
            <w:tcW w:w="2694" w:type="dxa"/>
            <w:tcBorders>
              <w:top w:val="nil"/>
              <w:left w:val="nil"/>
              <w:bottom w:val="single" w:color="auto" w:sz="4" w:space="0"/>
              <w:right w:val="single" w:color="auto" w:sz="4" w:space="0"/>
            </w:tcBorders>
            <w:shd w:val="clear" w:color="auto" w:fill="auto"/>
            <w:vAlign w:val="center"/>
          </w:tcPr>
          <w:p>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5000L</w:t>
            </w:r>
          </w:p>
        </w:tc>
        <w:tc>
          <w:tcPr>
            <w:tcW w:w="708"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台</w:t>
            </w:r>
          </w:p>
        </w:tc>
        <w:tc>
          <w:tcPr>
            <w:tcW w:w="993"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w:t>
            </w:r>
          </w:p>
        </w:tc>
        <w:tc>
          <w:tcPr>
            <w:tcW w:w="1275"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搪瓷</w:t>
            </w:r>
          </w:p>
        </w:tc>
      </w:tr>
      <w:tr>
        <w:tblPrEx>
          <w:tblCellMar>
            <w:top w:w="0" w:type="dxa"/>
            <w:left w:w="108" w:type="dxa"/>
            <w:bottom w:w="0" w:type="dxa"/>
            <w:right w:w="108" w:type="dxa"/>
          </w:tblCellMar>
        </w:tblPrEx>
        <w:trPr>
          <w:trHeight w:val="480" w:hRule="atLeast"/>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67</w:t>
            </w:r>
          </w:p>
        </w:tc>
        <w:tc>
          <w:tcPr>
            <w:tcW w:w="2268" w:type="dxa"/>
            <w:tcBorders>
              <w:top w:val="nil"/>
              <w:left w:val="nil"/>
              <w:bottom w:val="single" w:color="auto" w:sz="4" w:space="0"/>
              <w:right w:val="single" w:color="auto" w:sz="4" w:space="0"/>
            </w:tcBorders>
            <w:shd w:val="clear" w:color="auto" w:fill="auto"/>
            <w:vAlign w:val="center"/>
          </w:tcPr>
          <w:p>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精馏塔回流罐</w:t>
            </w:r>
          </w:p>
        </w:tc>
        <w:tc>
          <w:tcPr>
            <w:tcW w:w="2694" w:type="dxa"/>
            <w:tcBorders>
              <w:top w:val="nil"/>
              <w:left w:val="nil"/>
              <w:bottom w:val="single" w:color="auto" w:sz="4" w:space="0"/>
              <w:right w:val="single" w:color="auto" w:sz="4" w:space="0"/>
            </w:tcBorders>
            <w:shd w:val="clear" w:color="auto" w:fill="auto"/>
            <w:vAlign w:val="center"/>
          </w:tcPr>
          <w:p>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F1000L</w:t>
            </w:r>
          </w:p>
        </w:tc>
        <w:tc>
          <w:tcPr>
            <w:tcW w:w="708"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台</w:t>
            </w:r>
          </w:p>
        </w:tc>
        <w:tc>
          <w:tcPr>
            <w:tcW w:w="993"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w:t>
            </w:r>
          </w:p>
        </w:tc>
        <w:tc>
          <w:tcPr>
            <w:tcW w:w="1275"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搪瓷</w:t>
            </w:r>
          </w:p>
        </w:tc>
      </w:tr>
      <w:tr>
        <w:tblPrEx>
          <w:tblCellMar>
            <w:top w:w="0" w:type="dxa"/>
            <w:left w:w="108" w:type="dxa"/>
            <w:bottom w:w="0" w:type="dxa"/>
            <w:right w:w="108" w:type="dxa"/>
          </w:tblCellMar>
        </w:tblPrEx>
        <w:trPr>
          <w:trHeight w:val="495" w:hRule="atLeast"/>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68</w:t>
            </w:r>
          </w:p>
        </w:tc>
        <w:tc>
          <w:tcPr>
            <w:tcW w:w="2268" w:type="dxa"/>
            <w:tcBorders>
              <w:top w:val="nil"/>
              <w:left w:val="nil"/>
              <w:bottom w:val="single" w:color="auto" w:sz="4" w:space="0"/>
              <w:right w:val="single" w:color="auto" w:sz="4" w:space="0"/>
            </w:tcBorders>
            <w:shd w:val="clear" w:color="auto" w:fill="auto"/>
            <w:vAlign w:val="center"/>
          </w:tcPr>
          <w:p>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精馏残液中转釜</w:t>
            </w:r>
          </w:p>
        </w:tc>
        <w:tc>
          <w:tcPr>
            <w:tcW w:w="2694" w:type="dxa"/>
            <w:tcBorders>
              <w:top w:val="nil"/>
              <w:left w:val="nil"/>
              <w:bottom w:val="single" w:color="auto" w:sz="4" w:space="0"/>
              <w:right w:val="single" w:color="auto" w:sz="4" w:space="0"/>
            </w:tcBorders>
            <w:shd w:val="clear" w:color="auto" w:fill="auto"/>
            <w:vAlign w:val="center"/>
          </w:tcPr>
          <w:p>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5000L</w:t>
            </w:r>
          </w:p>
        </w:tc>
        <w:tc>
          <w:tcPr>
            <w:tcW w:w="708"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台</w:t>
            </w:r>
          </w:p>
        </w:tc>
        <w:tc>
          <w:tcPr>
            <w:tcW w:w="993"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w:t>
            </w:r>
          </w:p>
        </w:tc>
        <w:tc>
          <w:tcPr>
            <w:tcW w:w="1275"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搪瓷</w:t>
            </w:r>
          </w:p>
        </w:tc>
      </w:tr>
      <w:tr>
        <w:tblPrEx>
          <w:tblCellMar>
            <w:top w:w="0" w:type="dxa"/>
            <w:left w:w="108" w:type="dxa"/>
            <w:bottom w:w="0" w:type="dxa"/>
            <w:right w:w="108" w:type="dxa"/>
          </w:tblCellMar>
        </w:tblPrEx>
        <w:trPr>
          <w:trHeight w:val="480" w:hRule="atLeast"/>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69</w:t>
            </w:r>
          </w:p>
        </w:tc>
        <w:tc>
          <w:tcPr>
            <w:tcW w:w="2268" w:type="dxa"/>
            <w:tcBorders>
              <w:top w:val="nil"/>
              <w:left w:val="nil"/>
              <w:bottom w:val="single" w:color="auto" w:sz="4" w:space="0"/>
              <w:right w:val="single" w:color="auto" w:sz="4" w:space="0"/>
            </w:tcBorders>
            <w:shd w:val="clear" w:color="auto" w:fill="auto"/>
            <w:vAlign w:val="center"/>
          </w:tcPr>
          <w:p>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产品中转罐</w:t>
            </w:r>
          </w:p>
        </w:tc>
        <w:tc>
          <w:tcPr>
            <w:tcW w:w="2694" w:type="dxa"/>
            <w:tcBorders>
              <w:top w:val="nil"/>
              <w:left w:val="nil"/>
              <w:bottom w:val="single" w:color="auto" w:sz="4" w:space="0"/>
              <w:right w:val="single" w:color="auto" w:sz="4" w:space="0"/>
            </w:tcBorders>
            <w:shd w:val="clear" w:color="auto" w:fill="auto"/>
            <w:vAlign w:val="center"/>
          </w:tcPr>
          <w:p>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WN10000 DN2000×3920</w:t>
            </w:r>
          </w:p>
        </w:tc>
        <w:tc>
          <w:tcPr>
            <w:tcW w:w="708"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台</w:t>
            </w:r>
          </w:p>
        </w:tc>
        <w:tc>
          <w:tcPr>
            <w:tcW w:w="993"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3</w:t>
            </w:r>
          </w:p>
        </w:tc>
        <w:tc>
          <w:tcPr>
            <w:tcW w:w="1275"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搪瓷</w:t>
            </w:r>
          </w:p>
        </w:tc>
      </w:tr>
      <w:tr>
        <w:tblPrEx>
          <w:tblCellMar>
            <w:top w:w="0" w:type="dxa"/>
            <w:left w:w="108" w:type="dxa"/>
            <w:bottom w:w="0" w:type="dxa"/>
            <w:right w:w="108" w:type="dxa"/>
          </w:tblCellMar>
        </w:tblPrEx>
        <w:trPr>
          <w:trHeight w:val="480" w:hRule="atLeast"/>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70</w:t>
            </w:r>
          </w:p>
        </w:tc>
        <w:tc>
          <w:tcPr>
            <w:tcW w:w="2268" w:type="dxa"/>
            <w:tcBorders>
              <w:top w:val="nil"/>
              <w:left w:val="nil"/>
              <w:bottom w:val="single" w:color="auto" w:sz="4" w:space="0"/>
              <w:right w:val="single" w:color="auto" w:sz="4" w:space="0"/>
            </w:tcBorders>
            <w:shd w:val="clear" w:color="auto" w:fill="auto"/>
            <w:vAlign w:val="center"/>
          </w:tcPr>
          <w:p>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真空缓冲罐</w:t>
            </w:r>
          </w:p>
        </w:tc>
        <w:tc>
          <w:tcPr>
            <w:tcW w:w="2694" w:type="dxa"/>
            <w:tcBorders>
              <w:top w:val="nil"/>
              <w:left w:val="nil"/>
              <w:bottom w:val="single" w:color="auto" w:sz="4" w:space="0"/>
              <w:right w:val="single" w:color="auto" w:sz="4" w:space="0"/>
            </w:tcBorders>
            <w:shd w:val="clear" w:color="auto" w:fill="auto"/>
            <w:vAlign w:val="center"/>
          </w:tcPr>
          <w:p>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2000L</w:t>
            </w:r>
          </w:p>
        </w:tc>
        <w:tc>
          <w:tcPr>
            <w:tcW w:w="708"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台</w:t>
            </w:r>
          </w:p>
        </w:tc>
        <w:tc>
          <w:tcPr>
            <w:tcW w:w="993"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3</w:t>
            </w:r>
          </w:p>
        </w:tc>
        <w:tc>
          <w:tcPr>
            <w:tcW w:w="1275"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PP</w:t>
            </w:r>
          </w:p>
        </w:tc>
      </w:tr>
      <w:tr>
        <w:tblPrEx>
          <w:tblCellMar>
            <w:top w:w="0" w:type="dxa"/>
            <w:left w:w="108" w:type="dxa"/>
            <w:bottom w:w="0" w:type="dxa"/>
            <w:right w:w="108" w:type="dxa"/>
          </w:tblCellMar>
        </w:tblPrEx>
        <w:trPr>
          <w:trHeight w:val="480" w:hRule="atLeast"/>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71</w:t>
            </w:r>
          </w:p>
        </w:tc>
        <w:tc>
          <w:tcPr>
            <w:tcW w:w="2268" w:type="dxa"/>
            <w:tcBorders>
              <w:top w:val="nil"/>
              <w:left w:val="nil"/>
              <w:bottom w:val="single" w:color="auto" w:sz="4" w:space="0"/>
              <w:right w:val="single" w:color="auto" w:sz="4" w:space="0"/>
            </w:tcBorders>
            <w:shd w:val="clear" w:color="auto" w:fill="auto"/>
            <w:vAlign w:val="center"/>
          </w:tcPr>
          <w:p>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尾气分离罐</w:t>
            </w:r>
          </w:p>
        </w:tc>
        <w:tc>
          <w:tcPr>
            <w:tcW w:w="2694" w:type="dxa"/>
            <w:tcBorders>
              <w:top w:val="nil"/>
              <w:left w:val="nil"/>
              <w:bottom w:val="single" w:color="auto" w:sz="4" w:space="0"/>
              <w:right w:val="single" w:color="auto" w:sz="4" w:space="0"/>
            </w:tcBorders>
            <w:shd w:val="clear" w:color="auto" w:fill="auto"/>
            <w:vAlign w:val="center"/>
          </w:tcPr>
          <w:p>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500L</w:t>
            </w:r>
          </w:p>
        </w:tc>
        <w:tc>
          <w:tcPr>
            <w:tcW w:w="708"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台</w:t>
            </w:r>
          </w:p>
        </w:tc>
        <w:tc>
          <w:tcPr>
            <w:tcW w:w="993"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w:t>
            </w:r>
          </w:p>
        </w:tc>
        <w:tc>
          <w:tcPr>
            <w:tcW w:w="1275"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PP</w:t>
            </w:r>
          </w:p>
        </w:tc>
      </w:tr>
      <w:tr>
        <w:tblPrEx>
          <w:tblCellMar>
            <w:top w:w="0" w:type="dxa"/>
            <w:left w:w="108" w:type="dxa"/>
            <w:bottom w:w="0" w:type="dxa"/>
            <w:right w:w="108" w:type="dxa"/>
          </w:tblCellMar>
        </w:tblPrEx>
        <w:trPr>
          <w:trHeight w:val="480" w:hRule="atLeast"/>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72</w:t>
            </w:r>
          </w:p>
        </w:tc>
        <w:tc>
          <w:tcPr>
            <w:tcW w:w="2268" w:type="dxa"/>
            <w:tcBorders>
              <w:top w:val="nil"/>
              <w:left w:val="nil"/>
              <w:bottom w:val="single" w:color="auto" w:sz="4" w:space="0"/>
              <w:right w:val="single" w:color="auto" w:sz="4" w:space="0"/>
            </w:tcBorders>
            <w:shd w:val="clear" w:color="auto" w:fill="auto"/>
            <w:vAlign w:val="center"/>
          </w:tcPr>
          <w:p>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粗产品罐</w:t>
            </w:r>
          </w:p>
        </w:tc>
        <w:tc>
          <w:tcPr>
            <w:tcW w:w="2694" w:type="dxa"/>
            <w:tcBorders>
              <w:top w:val="nil"/>
              <w:left w:val="nil"/>
              <w:bottom w:val="single" w:color="auto" w:sz="4" w:space="0"/>
              <w:right w:val="single" w:color="auto" w:sz="4" w:space="0"/>
            </w:tcBorders>
            <w:shd w:val="clear" w:color="auto" w:fill="auto"/>
            <w:vAlign w:val="center"/>
          </w:tcPr>
          <w:p>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5000L</w:t>
            </w:r>
          </w:p>
        </w:tc>
        <w:tc>
          <w:tcPr>
            <w:tcW w:w="708"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台</w:t>
            </w:r>
          </w:p>
        </w:tc>
        <w:tc>
          <w:tcPr>
            <w:tcW w:w="993"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w:t>
            </w:r>
          </w:p>
        </w:tc>
        <w:tc>
          <w:tcPr>
            <w:tcW w:w="1275"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搪瓷</w:t>
            </w:r>
          </w:p>
        </w:tc>
      </w:tr>
      <w:tr>
        <w:tblPrEx>
          <w:tblCellMar>
            <w:top w:w="0" w:type="dxa"/>
            <w:left w:w="108" w:type="dxa"/>
            <w:bottom w:w="0" w:type="dxa"/>
            <w:right w:w="108" w:type="dxa"/>
          </w:tblCellMar>
        </w:tblPrEx>
        <w:trPr>
          <w:trHeight w:val="495" w:hRule="atLeast"/>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73</w:t>
            </w:r>
          </w:p>
        </w:tc>
        <w:tc>
          <w:tcPr>
            <w:tcW w:w="2268" w:type="dxa"/>
            <w:tcBorders>
              <w:top w:val="nil"/>
              <w:left w:val="nil"/>
              <w:bottom w:val="single" w:color="auto" w:sz="4" w:space="0"/>
              <w:right w:val="single" w:color="auto" w:sz="4" w:space="0"/>
            </w:tcBorders>
            <w:shd w:val="clear" w:color="auto" w:fill="auto"/>
            <w:vAlign w:val="center"/>
          </w:tcPr>
          <w:p>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低沸物接收罐</w:t>
            </w:r>
          </w:p>
        </w:tc>
        <w:tc>
          <w:tcPr>
            <w:tcW w:w="2694" w:type="dxa"/>
            <w:tcBorders>
              <w:top w:val="nil"/>
              <w:left w:val="nil"/>
              <w:bottom w:val="single" w:color="auto" w:sz="4" w:space="0"/>
              <w:right w:val="single" w:color="auto" w:sz="4" w:space="0"/>
            </w:tcBorders>
            <w:shd w:val="clear" w:color="auto" w:fill="auto"/>
            <w:vAlign w:val="center"/>
          </w:tcPr>
          <w:p>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5000L</w:t>
            </w:r>
          </w:p>
        </w:tc>
        <w:tc>
          <w:tcPr>
            <w:tcW w:w="708"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台</w:t>
            </w:r>
          </w:p>
        </w:tc>
        <w:tc>
          <w:tcPr>
            <w:tcW w:w="993"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w:t>
            </w:r>
          </w:p>
        </w:tc>
        <w:tc>
          <w:tcPr>
            <w:tcW w:w="1275"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搪瓷</w:t>
            </w:r>
          </w:p>
        </w:tc>
      </w:tr>
      <w:tr>
        <w:tblPrEx>
          <w:tblCellMar>
            <w:top w:w="0" w:type="dxa"/>
            <w:left w:w="108" w:type="dxa"/>
            <w:bottom w:w="0" w:type="dxa"/>
            <w:right w:w="108" w:type="dxa"/>
          </w:tblCellMar>
        </w:tblPrEx>
        <w:trPr>
          <w:trHeight w:val="480" w:hRule="atLeast"/>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74</w:t>
            </w:r>
          </w:p>
        </w:tc>
        <w:tc>
          <w:tcPr>
            <w:tcW w:w="2268" w:type="dxa"/>
            <w:tcBorders>
              <w:top w:val="nil"/>
              <w:left w:val="nil"/>
              <w:bottom w:val="single" w:color="auto" w:sz="4" w:space="0"/>
              <w:right w:val="single" w:color="auto" w:sz="4" w:space="0"/>
            </w:tcBorders>
            <w:shd w:val="clear" w:color="auto" w:fill="auto"/>
            <w:vAlign w:val="center"/>
          </w:tcPr>
          <w:p>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精馏残液接收罐</w:t>
            </w:r>
          </w:p>
        </w:tc>
        <w:tc>
          <w:tcPr>
            <w:tcW w:w="2694" w:type="dxa"/>
            <w:tcBorders>
              <w:top w:val="nil"/>
              <w:left w:val="nil"/>
              <w:bottom w:val="single" w:color="auto" w:sz="4" w:space="0"/>
              <w:right w:val="single" w:color="auto" w:sz="4" w:space="0"/>
            </w:tcBorders>
            <w:shd w:val="clear" w:color="auto" w:fill="auto"/>
            <w:vAlign w:val="center"/>
          </w:tcPr>
          <w:p>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5000L</w:t>
            </w:r>
          </w:p>
        </w:tc>
        <w:tc>
          <w:tcPr>
            <w:tcW w:w="708"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台</w:t>
            </w:r>
          </w:p>
        </w:tc>
        <w:tc>
          <w:tcPr>
            <w:tcW w:w="993"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w:t>
            </w:r>
          </w:p>
        </w:tc>
        <w:tc>
          <w:tcPr>
            <w:tcW w:w="1275"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搪瓷</w:t>
            </w:r>
          </w:p>
        </w:tc>
      </w:tr>
      <w:tr>
        <w:tblPrEx>
          <w:tblCellMar>
            <w:top w:w="0" w:type="dxa"/>
            <w:left w:w="108" w:type="dxa"/>
            <w:bottom w:w="0" w:type="dxa"/>
            <w:right w:w="108" w:type="dxa"/>
          </w:tblCellMar>
        </w:tblPrEx>
        <w:trPr>
          <w:trHeight w:val="495" w:hRule="atLeast"/>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75</w:t>
            </w:r>
          </w:p>
        </w:tc>
        <w:tc>
          <w:tcPr>
            <w:tcW w:w="2268" w:type="dxa"/>
            <w:tcBorders>
              <w:top w:val="nil"/>
              <w:left w:val="nil"/>
              <w:bottom w:val="single" w:color="auto" w:sz="4" w:space="0"/>
              <w:right w:val="single" w:color="auto" w:sz="4" w:space="0"/>
            </w:tcBorders>
            <w:shd w:val="clear" w:color="auto" w:fill="auto"/>
            <w:vAlign w:val="center"/>
          </w:tcPr>
          <w:p>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高位槽</w:t>
            </w:r>
          </w:p>
        </w:tc>
        <w:tc>
          <w:tcPr>
            <w:tcW w:w="2694" w:type="dxa"/>
            <w:tcBorders>
              <w:top w:val="nil"/>
              <w:left w:val="nil"/>
              <w:bottom w:val="single" w:color="auto" w:sz="4" w:space="0"/>
              <w:right w:val="single" w:color="auto" w:sz="4" w:space="0"/>
            </w:tcBorders>
            <w:shd w:val="clear" w:color="auto" w:fill="auto"/>
            <w:vAlign w:val="center"/>
          </w:tcPr>
          <w:p>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5000L</w:t>
            </w:r>
          </w:p>
        </w:tc>
        <w:tc>
          <w:tcPr>
            <w:tcW w:w="708"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台</w:t>
            </w:r>
          </w:p>
        </w:tc>
        <w:tc>
          <w:tcPr>
            <w:tcW w:w="993"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w:t>
            </w:r>
          </w:p>
        </w:tc>
        <w:tc>
          <w:tcPr>
            <w:tcW w:w="1275"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搪瓷</w:t>
            </w:r>
          </w:p>
        </w:tc>
      </w:tr>
      <w:tr>
        <w:tblPrEx>
          <w:tblCellMar>
            <w:top w:w="0" w:type="dxa"/>
            <w:left w:w="108" w:type="dxa"/>
            <w:bottom w:w="0" w:type="dxa"/>
            <w:right w:w="108" w:type="dxa"/>
          </w:tblCellMar>
        </w:tblPrEx>
        <w:trPr>
          <w:trHeight w:val="495" w:hRule="atLeast"/>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76</w:t>
            </w:r>
          </w:p>
        </w:tc>
        <w:tc>
          <w:tcPr>
            <w:tcW w:w="2268" w:type="dxa"/>
            <w:tcBorders>
              <w:top w:val="nil"/>
              <w:left w:val="nil"/>
              <w:bottom w:val="single" w:color="auto" w:sz="4" w:space="0"/>
              <w:right w:val="single" w:color="auto" w:sz="4" w:space="0"/>
            </w:tcBorders>
            <w:shd w:val="clear" w:color="auto" w:fill="auto"/>
            <w:vAlign w:val="center"/>
          </w:tcPr>
          <w:p>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仪表空气缓冲罐</w:t>
            </w:r>
          </w:p>
        </w:tc>
        <w:tc>
          <w:tcPr>
            <w:tcW w:w="2694" w:type="dxa"/>
            <w:tcBorders>
              <w:top w:val="nil"/>
              <w:left w:val="nil"/>
              <w:bottom w:val="single" w:color="auto" w:sz="4" w:space="0"/>
              <w:right w:val="single" w:color="auto" w:sz="4" w:space="0"/>
            </w:tcBorders>
            <w:shd w:val="clear" w:color="auto" w:fill="auto"/>
            <w:vAlign w:val="center"/>
          </w:tcPr>
          <w:p>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V=30m3</w:t>
            </w:r>
          </w:p>
        </w:tc>
        <w:tc>
          <w:tcPr>
            <w:tcW w:w="708"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台</w:t>
            </w:r>
          </w:p>
        </w:tc>
        <w:tc>
          <w:tcPr>
            <w:tcW w:w="993"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w:t>
            </w:r>
          </w:p>
        </w:tc>
        <w:tc>
          <w:tcPr>
            <w:tcW w:w="1275"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Q235B</w:t>
            </w:r>
          </w:p>
        </w:tc>
      </w:tr>
      <w:tr>
        <w:tblPrEx>
          <w:tblCellMar>
            <w:top w:w="0" w:type="dxa"/>
            <w:left w:w="108" w:type="dxa"/>
            <w:bottom w:w="0" w:type="dxa"/>
            <w:right w:w="108" w:type="dxa"/>
          </w:tblCellMar>
        </w:tblPrEx>
        <w:trPr>
          <w:trHeight w:val="495" w:hRule="atLeast"/>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77</w:t>
            </w:r>
          </w:p>
        </w:tc>
        <w:tc>
          <w:tcPr>
            <w:tcW w:w="2268" w:type="dxa"/>
            <w:tcBorders>
              <w:top w:val="nil"/>
              <w:left w:val="nil"/>
              <w:bottom w:val="single" w:color="auto" w:sz="4" w:space="0"/>
              <w:right w:val="single" w:color="auto" w:sz="4" w:space="0"/>
            </w:tcBorders>
            <w:shd w:val="clear" w:color="auto" w:fill="auto"/>
            <w:vAlign w:val="center"/>
          </w:tcPr>
          <w:p>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产品储罐</w:t>
            </w:r>
          </w:p>
        </w:tc>
        <w:tc>
          <w:tcPr>
            <w:tcW w:w="2694" w:type="dxa"/>
            <w:tcBorders>
              <w:top w:val="nil"/>
              <w:left w:val="nil"/>
              <w:bottom w:val="single" w:color="auto" w:sz="4" w:space="0"/>
              <w:right w:val="single" w:color="auto" w:sz="4" w:space="0"/>
            </w:tcBorders>
            <w:shd w:val="clear" w:color="auto" w:fill="auto"/>
            <w:vAlign w:val="center"/>
          </w:tcPr>
          <w:p>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75m3，Φ4000×6400</w:t>
            </w:r>
          </w:p>
        </w:tc>
        <w:tc>
          <w:tcPr>
            <w:tcW w:w="708"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台</w:t>
            </w:r>
          </w:p>
        </w:tc>
        <w:tc>
          <w:tcPr>
            <w:tcW w:w="993"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w:t>
            </w:r>
          </w:p>
        </w:tc>
        <w:tc>
          <w:tcPr>
            <w:tcW w:w="1275"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钢衬四氟</w:t>
            </w:r>
          </w:p>
        </w:tc>
      </w:tr>
      <w:tr>
        <w:tblPrEx>
          <w:tblCellMar>
            <w:top w:w="0" w:type="dxa"/>
            <w:left w:w="108" w:type="dxa"/>
            <w:bottom w:w="0" w:type="dxa"/>
            <w:right w:w="108" w:type="dxa"/>
          </w:tblCellMar>
        </w:tblPrEx>
        <w:trPr>
          <w:trHeight w:val="495" w:hRule="atLeast"/>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78</w:t>
            </w:r>
          </w:p>
        </w:tc>
        <w:tc>
          <w:tcPr>
            <w:tcW w:w="2268" w:type="dxa"/>
            <w:tcBorders>
              <w:top w:val="nil"/>
              <w:left w:val="nil"/>
              <w:bottom w:val="single" w:color="auto" w:sz="4" w:space="0"/>
              <w:right w:val="single" w:color="auto" w:sz="4" w:space="0"/>
            </w:tcBorders>
            <w:shd w:val="clear" w:color="auto" w:fill="auto"/>
            <w:vAlign w:val="center"/>
          </w:tcPr>
          <w:p>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脱轻塔再沸器</w:t>
            </w:r>
          </w:p>
        </w:tc>
        <w:tc>
          <w:tcPr>
            <w:tcW w:w="2694" w:type="dxa"/>
            <w:tcBorders>
              <w:top w:val="nil"/>
              <w:left w:val="nil"/>
              <w:bottom w:val="single" w:color="auto" w:sz="4" w:space="0"/>
              <w:right w:val="single" w:color="auto" w:sz="4" w:space="0"/>
            </w:tcBorders>
            <w:shd w:val="clear" w:color="auto" w:fill="auto"/>
            <w:vAlign w:val="center"/>
          </w:tcPr>
          <w:p>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S=24m2</w:t>
            </w:r>
          </w:p>
        </w:tc>
        <w:tc>
          <w:tcPr>
            <w:tcW w:w="708"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台</w:t>
            </w:r>
          </w:p>
        </w:tc>
        <w:tc>
          <w:tcPr>
            <w:tcW w:w="993"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Theme="minorEastAsia" w:hAnsiTheme="minorEastAsia" w:eastAsiaTheme="minorEastAsia" w:cstheme="minorEastAsia"/>
                <w:sz w:val="18"/>
                <w:szCs w:val="18"/>
              </w:rPr>
            </w:pPr>
            <w:r>
              <w:rPr>
                <w:rFonts w:hint="eastAsia" w:asciiTheme="minorEastAsia" w:hAnsiTheme="minorEastAsia" w:eastAsiaTheme="minorEastAsia" w:cstheme="minorEastAsia"/>
                <w:kern w:val="0"/>
                <w:sz w:val="18"/>
                <w:szCs w:val="18"/>
              </w:rPr>
              <w:t>1</w:t>
            </w:r>
          </w:p>
        </w:tc>
        <w:tc>
          <w:tcPr>
            <w:tcW w:w="1275" w:type="dxa"/>
            <w:tcBorders>
              <w:top w:val="nil"/>
              <w:left w:val="nil"/>
              <w:bottom w:val="nil"/>
              <w:right w:val="nil"/>
            </w:tcBorders>
            <w:shd w:val="clear" w:color="auto" w:fill="auto"/>
            <w:noWrap/>
            <w:vAlign w:val="center"/>
          </w:tcPr>
          <w:p>
            <w:pPr>
              <w:widowControl/>
              <w:jc w:val="left"/>
              <w:textAlignment w:val="center"/>
              <w:rPr>
                <w:rFonts w:asciiTheme="minorEastAsia" w:hAnsiTheme="minorEastAsia" w:eastAsiaTheme="minorEastAsia" w:cstheme="minorEastAsia"/>
                <w:color w:val="000000"/>
                <w:sz w:val="18"/>
                <w:szCs w:val="18"/>
              </w:rPr>
            </w:pPr>
            <w:r>
              <w:rPr>
                <w:rStyle w:val="55"/>
                <w:rFonts w:hint="eastAsia" w:asciiTheme="minorEastAsia" w:hAnsiTheme="minorEastAsia" w:eastAsiaTheme="minorEastAsia" w:cstheme="minorEastAsia"/>
                <w:sz w:val="18"/>
                <w:szCs w:val="18"/>
              </w:rPr>
              <w:t>C.S/</w:t>
            </w:r>
            <w:r>
              <w:rPr>
                <w:rStyle w:val="56"/>
                <w:rFonts w:hint="default" w:asciiTheme="minorEastAsia" w:hAnsiTheme="minorEastAsia" w:eastAsiaTheme="minorEastAsia" w:cstheme="minorEastAsia"/>
                <w:sz w:val="18"/>
                <w:szCs w:val="18"/>
              </w:rPr>
              <w:t>碳化硅</w:t>
            </w:r>
          </w:p>
        </w:tc>
      </w:tr>
      <w:tr>
        <w:tblPrEx>
          <w:tblCellMar>
            <w:top w:w="0" w:type="dxa"/>
            <w:left w:w="108" w:type="dxa"/>
            <w:bottom w:w="0" w:type="dxa"/>
            <w:right w:w="108" w:type="dxa"/>
          </w:tblCellMar>
        </w:tblPrEx>
        <w:trPr>
          <w:trHeight w:val="495" w:hRule="atLeast"/>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79</w:t>
            </w:r>
          </w:p>
        </w:tc>
        <w:tc>
          <w:tcPr>
            <w:tcW w:w="2268" w:type="dxa"/>
            <w:tcBorders>
              <w:top w:val="nil"/>
              <w:left w:val="nil"/>
              <w:bottom w:val="single" w:color="auto" w:sz="4" w:space="0"/>
              <w:right w:val="single" w:color="auto" w:sz="4" w:space="0"/>
            </w:tcBorders>
            <w:shd w:val="clear" w:color="auto" w:fill="auto"/>
            <w:vAlign w:val="center"/>
          </w:tcPr>
          <w:p>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脱轻塔一级冷凝器</w:t>
            </w:r>
          </w:p>
        </w:tc>
        <w:tc>
          <w:tcPr>
            <w:tcW w:w="2694" w:type="dxa"/>
            <w:tcBorders>
              <w:top w:val="nil"/>
              <w:left w:val="nil"/>
              <w:bottom w:val="single" w:color="auto" w:sz="4" w:space="0"/>
              <w:right w:val="single" w:color="auto" w:sz="4" w:space="0"/>
            </w:tcBorders>
            <w:shd w:val="clear" w:color="auto" w:fill="auto"/>
            <w:vAlign w:val="center"/>
          </w:tcPr>
          <w:p>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S=50m2</w:t>
            </w:r>
          </w:p>
        </w:tc>
        <w:tc>
          <w:tcPr>
            <w:tcW w:w="708"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台</w:t>
            </w:r>
          </w:p>
        </w:tc>
        <w:tc>
          <w:tcPr>
            <w:tcW w:w="993"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Theme="minorEastAsia" w:hAnsiTheme="minorEastAsia" w:eastAsiaTheme="minorEastAsia" w:cstheme="minorEastAsia"/>
                <w:sz w:val="18"/>
                <w:szCs w:val="18"/>
              </w:rPr>
            </w:pPr>
            <w:r>
              <w:rPr>
                <w:rFonts w:hint="eastAsia" w:asciiTheme="minorEastAsia" w:hAnsiTheme="minorEastAsia" w:eastAsiaTheme="minorEastAsia" w:cstheme="minorEastAsia"/>
                <w:kern w:val="0"/>
                <w:sz w:val="18"/>
                <w:szCs w:val="18"/>
              </w:rPr>
              <w:t>1</w:t>
            </w:r>
          </w:p>
        </w:tc>
        <w:tc>
          <w:tcPr>
            <w:tcW w:w="1275" w:type="dxa"/>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石墨</w:t>
            </w:r>
          </w:p>
        </w:tc>
      </w:tr>
      <w:tr>
        <w:tblPrEx>
          <w:tblCellMar>
            <w:top w:w="0" w:type="dxa"/>
            <w:left w:w="108" w:type="dxa"/>
            <w:bottom w:w="0" w:type="dxa"/>
            <w:right w:w="108" w:type="dxa"/>
          </w:tblCellMar>
        </w:tblPrEx>
        <w:trPr>
          <w:trHeight w:val="495" w:hRule="atLeast"/>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80</w:t>
            </w:r>
          </w:p>
        </w:tc>
        <w:tc>
          <w:tcPr>
            <w:tcW w:w="2268" w:type="dxa"/>
            <w:tcBorders>
              <w:top w:val="nil"/>
              <w:left w:val="nil"/>
              <w:bottom w:val="single" w:color="auto" w:sz="4" w:space="0"/>
              <w:right w:val="single" w:color="auto" w:sz="4" w:space="0"/>
            </w:tcBorders>
            <w:shd w:val="clear" w:color="auto" w:fill="auto"/>
            <w:vAlign w:val="center"/>
          </w:tcPr>
          <w:p>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脱轻塔二级冷凝器</w:t>
            </w:r>
          </w:p>
        </w:tc>
        <w:tc>
          <w:tcPr>
            <w:tcW w:w="2694" w:type="dxa"/>
            <w:tcBorders>
              <w:top w:val="nil"/>
              <w:left w:val="nil"/>
              <w:bottom w:val="single" w:color="auto" w:sz="4" w:space="0"/>
              <w:right w:val="single" w:color="auto" w:sz="4" w:space="0"/>
            </w:tcBorders>
            <w:shd w:val="clear" w:color="auto" w:fill="auto"/>
            <w:vAlign w:val="center"/>
          </w:tcPr>
          <w:p>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S=50m2</w:t>
            </w:r>
          </w:p>
        </w:tc>
        <w:tc>
          <w:tcPr>
            <w:tcW w:w="708"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台</w:t>
            </w:r>
          </w:p>
        </w:tc>
        <w:tc>
          <w:tcPr>
            <w:tcW w:w="993"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Theme="minorEastAsia" w:hAnsiTheme="minorEastAsia" w:eastAsiaTheme="minorEastAsia" w:cstheme="minorEastAsia"/>
                <w:sz w:val="18"/>
                <w:szCs w:val="18"/>
              </w:rPr>
            </w:pPr>
            <w:r>
              <w:rPr>
                <w:rFonts w:hint="eastAsia" w:asciiTheme="minorEastAsia" w:hAnsiTheme="minorEastAsia" w:eastAsiaTheme="minorEastAsia" w:cstheme="minorEastAsia"/>
                <w:kern w:val="0"/>
                <w:sz w:val="18"/>
                <w:szCs w:val="18"/>
              </w:rPr>
              <w:t>1</w:t>
            </w:r>
          </w:p>
        </w:tc>
        <w:tc>
          <w:tcPr>
            <w:tcW w:w="1275"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石墨</w:t>
            </w:r>
          </w:p>
        </w:tc>
      </w:tr>
      <w:tr>
        <w:tblPrEx>
          <w:tblCellMar>
            <w:top w:w="0" w:type="dxa"/>
            <w:left w:w="108" w:type="dxa"/>
            <w:bottom w:w="0" w:type="dxa"/>
            <w:right w:w="108" w:type="dxa"/>
          </w:tblCellMar>
        </w:tblPrEx>
        <w:trPr>
          <w:trHeight w:val="495" w:hRule="atLeast"/>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81</w:t>
            </w:r>
          </w:p>
        </w:tc>
        <w:tc>
          <w:tcPr>
            <w:tcW w:w="2268" w:type="dxa"/>
            <w:tcBorders>
              <w:top w:val="nil"/>
              <w:left w:val="nil"/>
              <w:bottom w:val="single" w:color="auto" w:sz="4" w:space="0"/>
              <w:right w:val="single" w:color="auto" w:sz="4" w:space="0"/>
            </w:tcBorders>
            <w:shd w:val="clear" w:color="auto" w:fill="auto"/>
            <w:vAlign w:val="center"/>
          </w:tcPr>
          <w:p>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精馏塔再沸器</w:t>
            </w:r>
          </w:p>
        </w:tc>
        <w:tc>
          <w:tcPr>
            <w:tcW w:w="2694" w:type="dxa"/>
            <w:tcBorders>
              <w:top w:val="nil"/>
              <w:left w:val="nil"/>
              <w:bottom w:val="single" w:color="auto" w:sz="4" w:space="0"/>
              <w:right w:val="single" w:color="auto" w:sz="4" w:space="0"/>
            </w:tcBorders>
            <w:shd w:val="clear" w:color="auto" w:fill="auto"/>
            <w:vAlign w:val="center"/>
          </w:tcPr>
          <w:p>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S=43m2</w:t>
            </w:r>
          </w:p>
        </w:tc>
        <w:tc>
          <w:tcPr>
            <w:tcW w:w="708"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台</w:t>
            </w:r>
          </w:p>
        </w:tc>
        <w:tc>
          <w:tcPr>
            <w:tcW w:w="993"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Theme="minorEastAsia" w:hAnsiTheme="minorEastAsia" w:eastAsiaTheme="minorEastAsia" w:cstheme="minorEastAsia"/>
                <w:sz w:val="18"/>
                <w:szCs w:val="18"/>
              </w:rPr>
            </w:pPr>
            <w:r>
              <w:rPr>
                <w:rFonts w:hint="eastAsia" w:asciiTheme="minorEastAsia" w:hAnsiTheme="minorEastAsia" w:eastAsiaTheme="minorEastAsia" w:cstheme="minorEastAsia"/>
                <w:kern w:val="0"/>
                <w:sz w:val="18"/>
                <w:szCs w:val="18"/>
              </w:rPr>
              <w:t>1</w:t>
            </w:r>
          </w:p>
        </w:tc>
        <w:tc>
          <w:tcPr>
            <w:tcW w:w="1275" w:type="dxa"/>
            <w:tcBorders>
              <w:top w:val="nil"/>
              <w:left w:val="nil"/>
              <w:bottom w:val="nil"/>
              <w:right w:val="nil"/>
            </w:tcBorders>
            <w:shd w:val="clear" w:color="auto" w:fill="auto"/>
            <w:noWrap/>
            <w:vAlign w:val="center"/>
          </w:tcPr>
          <w:p>
            <w:pPr>
              <w:widowControl/>
              <w:jc w:val="left"/>
              <w:textAlignment w:val="center"/>
              <w:rPr>
                <w:rFonts w:asciiTheme="minorEastAsia" w:hAnsiTheme="minorEastAsia" w:eastAsiaTheme="minorEastAsia" w:cstheme="minorEastAsia"/>
                <w:color w:val="000000"/>
                <w:sz w:val="18"/>
                <w:szCs w:val="18"/>
              </w:rPr>
            </w:pPr>
            <w:r>
              <w:rPr>
                <w:rStyle w:val="55"/>
                <w:rFonts w:hint="eastAsia" w:asciiTheme="minorEastAsia" w:hAnsiTheme="minorEastAsia" w:eastAsiaTheme="minorEastAsia" w:cstheme="minorEastAsia"/>
                <w:sz w:val="18"/>
                <w:szCs w:val="18"/>
              </w:rPr>
              <w:t>C.S/</w:t>
            </w:r>
            <w:r>
              <w:rPr>
                <w:rStyle w:val="56"/>
                <w:rFonts w:hint="default" w:asciiTheme="minorEastAsia" w:hAnsiTheme="minorEastAsia" w:eastAsiaTheme="minorEastAsia" w:cstheme="minorEastAsia"/>
                <w:sz w:val="18"/>
                <w:szCs w:val="18"/>
              </w:rPr>
              <w:t>碳化硅</w:t>
            </w:r>
          </w:p>
        </w:tc>
      </w:tr>
      <w:tr>
        <w:tblPrEx>
          <w:tblCellMar>
            <w:top w:w="0" w:type="dxa"/>
            <w:left w:w="108" w:type="dxa"/>
            <w:bottom w:w="0" w:type="dxa"/>
            <w:right w:w="108" w:type="dxa"/>
          </w:tblCellMar>
        </w:tblPrEx>
        <w:trPr>
          <w:trHeight w:val="495" w:hRule="atLeast"/>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82</w:t>
            </w:r>
          </w:p>
        </w:tc>
        <w:tc>
          <w:tcPr>
            <w:tcW w:w="2268" w:type="dxa"/>
            <w:tcBorders>
              <w:top w:val="nil"/>
              <w:left w:val="nil"/>
              <w:bottom w:val="single" w:color="auto" w:sz="4" w:space="0"/>
              <w:right w:val="single" w:color="auto" w:sz="4" w:space="0"/>
            </w:tcBorders>
            <w:shd w:val="clear" w:color="auto" w:fill="auto"/>
            <w:vAlign w:val="center"/>
          </w:tcPr>
          <w:p>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精馏塔一级冷凝器</w:t>
            </w:r>
          </w:p>
        </w:tc>
        <w:tc>
          <w:tcPr>
            <w:tcW w:w="2694" w:type="dxa"/>
            <w:tcBorders>
              <w:top w:val="nil"/>
              <w:left w:val="nil"/>
              <w:bottom w:val="single" w:color="auto" w:sz="4" w:space="0"/>
              <w:right w:val="single" w:color="auto" w:sz="4" w:space="0"/>
            </w:tcBorders>
            <w:shd w:val="clear" w:color="auto" w:fill="auto"/>
            <w:vAlign w:val="center"/>
          </w:tcPr>
          <w:p>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S=50m2</w:t>
            </w:r>
          </w:p>
        </w:tc>
        <w:tc>
          <w:tcPr>
            <w:tcW w:w="708"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台</w:t>
            </w:r>
          </w:p>
        </w:tc>
        <w:tc>
          <w:tcPr>
            <w:tcW w:w="993"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Theme="minorEastAsia" w:hAnsiTheme="minorEastAsia" w:eastAsiaTheme="minorEastAsia" w:cstheme="minorEastAsia"/>
                <w:sz w:val="18"/>
                <w:szCs w:val="18"/>
              </w:rPr>
            </w:pPr>
            <w:r>
              <w:rPr>
                <w:rFonts w:hint="eastAsia" w:asciiTheme="minorEastAsia" w:hAnsiTheme="minorEastAsia" w:eastAsiaTheme="minorEastAsia" w:cstheme="minorEastAsia"/>
                <w:kern w:val="0"/>
                <w:sz w:val="18"/>
                <w:szCs w:val="18"/>
              </w:rPr>
              <w:t>1</w:t>
            </w:r>
          </w:p>
        </w:tc>
        <w:tc>
          <w:tcPr>
            <w:tcW w:w="1275" w:type="dxa"/>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石墨</w:t>
            </w:r>
          </w:p>
        </w:tc>
      </w:tr>
      <w:tr>
        <w:tblPrEx>
          <w:tblCellMar>
            <w:top w:w="0" w:type="dxa"/>
            <w:left w:w="108" w:type="dxa"/>
            <w:bottom w:w="0" w:type="dxa"/>
            <w:right w:w="108" w:type="dxa"/>
          </w:tblCellMar>
        </w:tblPrEx>
        <w:trPr>
          <w:trHeight w:val="495" w:hRule="atLeast"/>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83</w:t>
            </w:r>
          </w:p>
        </w:tc>
        <w:tc>
          <w:tcPr>
            <w:tcW w:w="2268" w:type="dxa"/>
            <w:tcBorders>
              <w:top w:val="nil"/>
              <w:left w:val="nil"/>
              <w:bottom w:val="single" w:color="auto" w:sz="4" w:space="0"/>
              <w:right w:val="single" w:color="auto" w:sz="4" w:space="0"/>
            </w:tcBorders>
            <w:shd w:val="clear" w:color="auto" w:fill="auto"/>
            <w:vAlign w:val="center"/>
          </w:tcPr>
          <w:p>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精馏塔二级冷凝器</w:t>
            </w:r>
          </w:p>
        </w:tc>
        <w:tc>
          <w:tcPr>
            <w:tcW w:w="2694" w:type="dxa"/>
            <w:tcBorders>
              <w:top w:val="nil"/>
              <w:left w:val="nil"/>
              <w:bottom w:val="single" w:color="auto" w:sz="4" w:space="0"/>
              <w:right w:val="single" w:color="auto" w:sz="4" w:space="0"/>
            </w:tcBorders>
            <w:shd w:val="clear" w:color="auto" w:fill="auto"/>
            <w:vAlign w:val="center"/>
          </w:tcPr>
          <w:p>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S=50m2</w:t>
            </w:r>
          </w:p>
        </w:tc>
        <w:tc>
          <w:tcPr>
            <w:tcW w:w="708"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台</w:t>
            </w:r>
          </w:p>
        </w:tc>
        <w:tc>
          <w:tcPr>
            <w:tcW w:w="993"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Theme="minorEastAsia" w:hAnsiTheme="minorEastAsia" w:eastAsiaTheme="minorEastAsia" w:cstheme="minorEastAsia"/>
                <w:sz w:val="18"/>
                <w:szCs w:val="18"/>
              </w:rPr>
            </w:pPr>
            <w:r>
              <w:rPr>
                <w:rFonts w:hint="eastAsia" w:asciiTheme="minorEastAsia" w:hAnsiTheme="minorEastAsia" w:eastAsiaTheme="minorEastAsia" w:cstheme="minorEastAsia"/>
                <w:kern w:val="0"/>
                <w:sz w:val="18"/>
                <w:szCs w:val="18"/>
              </w:rPr>
              <w:t>1</w:t>
            </w:r>
          </w:p>
        </w:tc>
        <w:tc>
          <w:tcPr>
            <w:tcW w:w="1275"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石墨</w:t>
            </w:r>
          </w:p>
        </w:tc>
      </w:tr>
      <w:tr>
        <w:tblPrEx>
          <w:tblCellMar>
            <w:top w:w="0" w:type="dxa"/>
            <w:left w:w="108" w:type="dxa"/>
            <w:bottom w:w="0" w:type="dxa"/>
            <w:right w:w="108" w:type="dxa"/>
          </w:tblCellMar>
        </w:tblPrEx>
        <w:trPr>
          <w:trHeight w:val="495" w:hRule="atLeast"/>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84</w:t>
            </w:r>
          </w:p>
        </w:tc>
        <w:tc>
          <w:tcPr>
            <w:tcW w:w="2268" w:type="dxa"/>
            <w:tcBorders>
              <w:top w:val="nil"/>
              <w:left w:val="nil"/>
              <w:bottom w:val="single" w:color="auto" w:sz="4" w:space="0"/>
              <w:right w:val="single" w:color="auto" w:sz="4" w:space="0"/>
            </w:tcBorders>
            <w:shd w:val="clear" w:color="auto" w:fill="auto"/>
            <w:vAlign w:val="center"/>
          </w:tcPr>
          <w:p>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真空泵水冷却器</w:t>
            </w:r>
          </w:p>
        </w:tc>
        <w:tc>
          <w:tcPr>
            <w:tcW w:w="2694" w:type="dxa"/>
            <w:tcBorders>
              <w:top w:val="nil"/>
              <w:left w:val="nil"/>
              <w:bottom w:val="single" w:color="auto" w:sz="4" w:space="0"/>
              <w:right w:val="single" w:color="auto" w:sz="4" w:space="0"/>
            </w:tcBorders>
            <w:shd w:val="clear" w:color="auto" w:fill="auto"/>
            <w:vAlign w:val="center"/>
          </w:tcPr>
          <w:p>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S=20m2</w:t>
            </w:r>
          </w:p>
        </w:tc>
        <w:tc>
          <w:tcPr>
            <w:tcW w:w="708"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台</w:t>
            </w:r>
          </w:p>
        </w:tc>
        <w:tc>
          <w:tcPr>
            <w:tcW w:w="993"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Theme="minorEastAsia" w:hAnsiTheme="minorEastAsia" w:eastAsiaTheme="minorEastAsia" w:cstheme="minorEastAsia"/>
                <w:sz w:val="18"/>
                <w:szCs w:val="18"/>
              </w:rPr>
            </w:pPr>
            <w:r>
              <w:rPr>
                <w:rFonts w:hint="eastAsia" w:asciiTheme="minorEastAsia" w:hAnsiTheme="minorEastAsia" w:eastAsiaTheme="minorEastAsia" w:cstheme="minorEastAsia"/>
                <w:kern w:val="0"/>
                <w:sz w:val="18"/>
                <w:szCs w:val="18"/>
              </w:rPr>
              <w:t>1</w:t>
            </w:r>
          </w:p>
        </w:tc>
        <w:tc>
          <w:tcPr>
            <w:tcW w:w="1275"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石墨</w:t>
            </w:r>
          </w:p>
        </w:tc>
      </w:tr>
      <w:tr>
        <w:tblPrEx>
          <w:tblCellMar>
            <w:top w:w="0" w:type="dxa"/>
            <w:left w:w="108" w:type="dxa"/>
            <w:bottom w:w="0" w:type="dxa"/>
            <w:right w:w="108" w:type="dxa"/>
          </w:tblCellMar>
        </w:tblPrEx>
        <w:trPr>
          <w:trHeight w:val="525" w:hRule="atLeast"/>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85</w:t>
            </w:r>
          </w:p>
        </w:tc>
        <w:tc>
          <w:tcPr>
            <w:tcW w:w="2268" w:type="dxa"/>
            <w:tcBorders>
              <w:top w:val="nil"/>
              <w:left w:val="nil"/>
              <w:bottom w:val="single" w:color="auto" w:sz="4" w:space="0"/>
              <w:right w:val="single" w:color="auto" w:sz="4" w:space="0"/>
            </w:tcBorders>
            <w:shd w:val="clear" w:color="auto" w:fill="auto"/>
            <w:vAlign w:val="center"/>
          </w:tcPr>
          <w:p>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搪瓷脱轻塔</w:t>
            </w:r>
          </w:p>
        </w:tc>
        <w:tc>
          <w:tcPr>
            <w:tcW w:w="2694" w:type="dxa"/>
            <w:tcBorders>
              <w:top w:val="nil"/>
              <w:left w:val="nil"/>
              <w:bottom w:val="single" w:color="auto" w:sz="4" w:space="0"/>
              <w:right w:val="single" w:color="auto" w:sz="4" w:space="0"/>
            </w:tcBorders>
            <w:shd w:val="clear" w:color="auto" w:fill="auto"/>
            <w:vAlign w:val="center"/>
          </w:tcPr>
          <w:p>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DN800×29046</w:t>
            </w:r>
          </w:p>
        </w:tc>
        <w:tc>
          <w:tcPr>
            <w:tcW w:w="708"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台</w:t>
            </w:r>
          </w:p>
        </w:tc>
        <w:tc>
          <w:tcPr>
            <w:tcW w:w="993"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w:t>
            </w:r>
          </w:p>
        </w:tc>
        <w:tc>
          <w:tcPr>
            <w:tcW w:w="1275"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搪瓷</w:t>
            </w:r>
          </w:p>
        </w:tc>
      </w:tr>
      <w:tr>
        <w:tblPrEx>
          <w:tblCellMar>
            <w:top w:w="0" w:type="dxa"/>
            <w:left w:w="108" w:type="dxa"/>
            <w:bottom w:w="0" w:type="dxa"/>
            <w:right w:w="108" w:type="dxa"/>
          </w:tblCellMar>
        </w:tblPrEx>
        <w:trPr>
          <w:trHeight w:val="495" w:hRule="atLeast"/>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86</w:t>
            </w:r>
          </w:p>
        </w:tc>
        <w:tc>
          <w:tcPr>
            <w:tcW w:w="2268" w:type="dxa"/>
            <w:tcBorders>
              <w:top w:val="nil"/>
              <w:left w:val="nil"/>
              <w:bottom w:val="single" w:color="auto" w:sz="4" w:space="0"/>
              <w:right w:val="single" w:color="auto" w:sz="4" w:space="0"/>
            </w:tcBorders>
            <w:shd w:val="clear" w:color="auto" w:fill="auto"/>
            <w:vAlign w:val="center"/>
          </w:tcPr>
          <w:p>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搪瓷精馏塔</w:t>
            </w:r>
          </w:p>
        </w:tc>
        <w:tc>
          <w:tcPr>
            <w:tcW w:w="2694" w:type="dxa"/>
            <w:tcBorders>
              <w:top w:val="nil"/>
              <w:left w:val="nil"/>
              <w:bottom w:val="single" w:color="auto" w:sz="4" w:space="0"/>
              <w:right w:val="single" w:color="auto" w:sz="4" w:space="0"/>
            </w:tcBorders>
            <w:shd w:val="clear" w:color="auto" w:fill="auto"/>
            <w:vAlign w:val="center"/>
          </w:tcPr>
          <w:p>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DN1000×34038</w:t>
            </w:r>
          </w:p>
        </w:tc>
        <w:tc>
          <w:tcPr>
            <w:tcW w:w="708"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台</w:t>
            </w:r>
          </w:p>
        </w:tc>
        <w:tc>
          <w:tcPr>
            <w:tcW w:w="993"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w:t>
            </w:r>
          </w:p>
        </w:tc>
        <w:tc>
          <w:tcPr>
            <w:tcW w:w="1275"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搪瓷</w:t>
            </w:r>
          </w:p>
        </w:tc>
      </w:tr>
      <w:tr>
        <w:tblPrEx>
          <w:tblCellMar>
            <w:top w:w="0" w:type="dxa"/>
            <w:left w:w="108" w:type="dxa"/>
            <w:bottom w:w="0" w:type="dxa"/>
            <w:right w:w="108" w:type="dxa"/>
          </w:tblCellMar>
        </w:tblPrEx>
        <w:trPr>
          <w:trHeight w:val="480" w:hRule="atLeast"/>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87</w:t>
            </w:r>
          </w:p>
        </w:tc>
        <w:tc>
          <w:tcPr>
            <w:tcW w:w="2268" w:type="dxa"/>
            <w:tcBorders>
              <w:top w:val="nil"/>
              <w:left w:val="nil"/>
              <w:bottom w:val="single" w:color="auto" w:sz="4" w:space="0"/>
              <w:right w:val="single" w:color="auto" w:sz="4" w:space="0"/>
            </w:tcBorders>
            <w:shd w:val="clear" w:color="auto" w:fill="auto"/>
            <w:vAlign w:val="center"/>
          </w:tcPr>
          <w:p>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水洗塔</w:t>
            </w:r>
          </w:p>
        </w:tc>
        <w:tc>
          <w:tcPr>
            <w:tcW w:w="2694" w:type="dxa"/>
            <w:tcBorders>
              <w:top w:val="nil"/>
              <w:left w:val="nil"/>
              <w:bottom w:val="single" w:color="auto" w:sz="4" w:space="0"/>
              <w:right w:val="single" w:color="auto" w:sz="4" w:space="0"/>
            </w:tcBorders>
            <w:shd w:val="clear" w:color="auto" w:fill="auto"/>
            <w:vAlign w:val="center"/>
          </w:tcPr>
          <w:p>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DN1400/600</w:t>
            </w:r>
          </w:p>
        </w:tc>
        <w:tc>
          <w:tcPr>
            <w:tcW w:w="708"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台</w:t>
            </w:r>
          </w:p>
        </w:tc>
        <w:tc>
          <w:tcPr>
            <w:tcW w:w="993"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w:t>
            </w:r>
          </w:p>
        </w:tc>
        <w:tc>
          <w:tcPr>
            <w:tcW w:w="1275"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PP</w:t>
            </w:r>
          </w:p>
        </w:tc>
      </w:tr>
      <w:tr>
        <w:tblPrEx>
          <w:tblCellMar>
            <w:top w:w="0" w:type="dxa"/>
            <w:left w:w="108" w:type="dxa"/>
            <w:bottom w:w="0" w:type="dxa"/>
            <w:right w:w="108" w:type="dxa"/>
          </w:tblCellMar>
        </w:tblPrEx>
        <w:trPr>
          <w:trHeight w:val="480" w:hRule="atLeast"/>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88</w:t>
            </w:r>
          </w:p>
        </w:tc>
        <w:tc>
          <w:tcPr>
            <w:tcW w:w="2268" w:type="dxa"/>
            <w:tcBorders>
              <w:top w:val="nil"/>
              <w:left w:val="nil"/>
              <w:bottom w:val="single" w:color="auto" w:sz="4" w:space="0"/>
              <w:right w:val="single" w:color="auto" w:sz="4" w:space="0"/>
            </w:tcBorders>
            <w:shd w:val="clear" w:color="auto" w:fill="auto"/>
            <w:vAlign w:val="center"/>
          </w:tcPr>
          <w:p>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碱洗塔</w:t>
            </w:r>
          </w:p>
        </w:tc>
        <w:tc>
          <w:tcPr>
            <w:tcW w:w="2694" w:type="dxa"/>
            <w:tcBorders>
              <w:top w:val="nil"/>
              <w:left w:val="nil"/>
              <w:bottom w:val="single" w:color="auto" w:sz="4" w:space="0"/>
              <w:right w:val="single" w:color="auto" w:sz="4" w:space="0"/>
            </w:tcBorders>
            <w:shd w:val="clear" w:color="auto" w:fill="auto"/>
            <w:vAlign w:val="center"/>
          </w:tcPr>
          <w:p>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DN1400/600</w:t>
            </w:r>
          </w:p>
        </w:tc>
        <w:tc>
          <w:tcPr>
            <w:tcW w:w="708"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台</w:t>
            </w:r>
          </w:p>
        </w:tc>
        <w:tc>
          <w:tcPr>
            <w:tcW w:w="993"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w:t>
            </w:r>
          </w:p>
        </w:tc>
        <w:tc>
          <w:tcPr>
            <w:tcW w:w="1275"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PP</w:t>
            </w:r>
          </w:p>
        </w:tc>
      </w:tr>
      <w:tr>
        <w:tblPrEx>
          <w:tblCellMar>
            <w:top w:w="0" w:type="dxa"/>
            <w:left w:w="108" w:type="dxa"/>
            <w:bottom w:w="0" w:type="dxa"/>
            <w:right w:w="108" w:type="dxa"/>
          </w:tblCellMar>
        </w:tblPrEx>
        <w:trPr>
          <w:trHeight w:val="735" w:hRule="atLeast"/>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89</w:t>
            </w:r>
          </w:p>
        </w:tc>
        <w:tc>
          <w:tcPr>
            <w:tcW w:w="2268" w:type="dxa"/>
            <w:tcBorders>
              <w:top w:val="nil"/>
              <w:left w:val="nil"/>
              <w:bottom w:val="single" w:color="auto" w:sz="4" w:space="0"/>
              <w:right w:val="single" w:color="auto" w:sz="4" w:space="0"/>
            </w:tcBorders>
            <w:shd w:val="clear" w:color="auto" w:fill="auto"/>
            <w:vAlign w:val="center"/>
          </w:tcPr>
          <w:p>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甲苯塔进料泵</w:t>
            </w:r>
          </w:p>
        </w:tc>
        <w:tc>
          <w:tcPr>
            <w:tcW w:w="2694" w:type="dxa"/>
            <w:tcBorders>
              <w:top w:val="nil"/>
              <w:left w:val="nil"/>
              <w:bottom w:val="single" w:color="auto" w:sz="4" w:space="0"/>
              <w:right w:val="single" w:color="auto" w:sz="4" w:space="0"/>
            </w:tcBorders>
            <w:shd w:val="clear" w:color="auto" w:fill="auto"/>
            <w:vAlign w:val="center"/>
          </w:tcPr>
          <w:p>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衬氟磁力泵IMD32-20-160F,2.2KW防爆电机</w:t>
            </w:r>
          </w:p>
        </w:tc>
        <w:tc>
          <w:tcPr>
            <w:tcW w:w="708"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台</w:t>
            </w:r>
          </w:p>
        </w:tc>
        <w:tc>
          <w:tcPr>
            <w:tcW w:w="993"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Theme="minorEastAsia" w:hAnsiTheme="minorEastAsia" w:eastAsiaTheme="minorEastAsia" w:cstheme="minorEastAsia"/>
                <w:sz w:val="18"/>
                <w:szCs w:val="18"/>
              </w:rPr>
            </w:pPr>
            <w:r>
              <w:rPr>
                <w:rFonts w:hint="eastAsia" w:asciiTheme="minorEastAsia" w:hAnsiTheme="minorEastAsia" w:eastAsiaTheme="minorEastAsia" w:cstheme="minorEastAsia"/>
                <w:kern w:val="0"/>
                <w:sz w:val="18"/>
                <w:szCs w:val="18"/>
              </w:rPr>
              <w:t>2</w:t>
            </w:r>
          </w:p>
        </w:tc>
        <w:tc>
          <w:tcPr>
            <w:tcW w:w="1275"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衬PFA</w:t>
            </w:r>
          </w:p>
        </w:tc>
      </w:tr>
      <w:tr>
        <w:tblPrEx>
          <w:tblCellMar>
            <w:top w:w="0" w:type="dxa"/>
            <w:left w:w="108" w:type="dxa"/>
            <w:bottom w:w="0" w:type="dxa"/>
            <w:right w:w="108" w:type="dxa"/>
          </w:tblCellMar>
        </w:tblPrEx>
        <w:trPr>
          <w:trHeight w:val="480" w:hRule="atLeast"/>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90</w:t>
            </w:r>
          </w:p>
        </w:tc>
        <w:tc>
          <w:tcPr>
            <w:tcW w:w="2268" w:type="dxa"/>
            <w:tcBorders>
              <w:top w:val="nil"/>
              <w:left w:val="nil"/>
              <w:bottom w:val="single" w:color="auto" w:sz="4" w:space="0"/>
              <w:right w:val="single" w:color="auto" w:sz="4" w:space="0"/>
            </w:tcBorders>
            <w:shd w:val="clear" w:color="auto" w:fill="auto"/>
            <w:vAlign w:val="center"/>
          </w:tcPr>
          <w:p>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精馏塔进料泵</w:t>
            </w:r>
          </w:p>
        </w:tc>
        <w:tc>
          <w:tcPr>
            <w:tcW w:w="2694" w:type="dxa"/>
            <w:tcBorders>
              <w:top w:val="nil"/>
              <w:left w:val="nil"/>
              <w:bottom w:val="single" w:color="auto" w:sz="4" w:space="0"/>
              <w:right w:val="single" w:color="auto" w:sz="4" w:space="0"/>
            </w:tcBorders>
            <w:shd w:val="clear" w:color="auto" w:fill="auto"/>
            <w:vAlign w:val="center"/>
          </w:tcPr>
          <w:p>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衬氟磁力泵IMD40-25-185F,3KW防爆电机</w:t>
            </w:r>
          </w:p>
        </w:tc>
        <w:tc>
          <w:tcPr>
            <w:tcW w:w="708"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台</w:t>
            </w:r>
          </w:p>
        </w:tc>
        <w:tc>
          <w:tcPr>
            <w:tcW w:w="993"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Theme="minorEastAsia" w:hAnsiTheme="minorEastAsia" w:eastAsiaTheme="minorEastAsia" w:cstheme="minorEastAsia"/>
                <w:sz w:val="18"/>
                <w:szCs w:val="18"/>
              </w:rPr>
            </w:pPr>
            <w:r>
              <w:rPr>
                <w:rFonts w:hint="eastAsia" w:asciiTheme="minorEastAsia" w:hAnsiTheme="minorEastAsia" w:eastAsiaTheme="minorEastAsia" w:cstheme="minorEastAsia"/>
                <w:kern w:val="0"/>
                <w:sz w:val="18"/>
                <w:szCs w:val="18"/>
              </w:rPr>
              <w:t>2</w:t>
            </w:r>
          </w:p>
        </w:tc>
        <w:tc>
          <w:tcPr>
            <w:tcW w:w="1275"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衬PFA</w:t>
            </w:r>
          </w:p>
        </w:tc>
      </w:tr>
      <w:tr>
        <w:tblPrEx>
          <w:tblCellMar>
            <w:top w:w="0" w:type="dxa"/>
            <w:left w:w="108" w:type="dxa"/>
            <w:bottom w:w="0" w:type="dxa"/>
            <w:right w:w="108" w:type="dxa"/>
          </w:tblCellMar>
        </w:tblPrEx>
        <w:trPr>
          <w:trHeight w:val="495" w:hRule="atLeast"/>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91</w:t>
            </w:r>
          </w:p>
        </w:tc>
        <w:tc>
          <w:tcPr>
            <w:tcW w:w="2268" w:type="dxa"/>
            <w:tcBorders>
              <w:top w:val="nil"/>
              <w:left w:val="nil"/>
              <w:bottom w:val="single" w:color="auto" w:sz="4" w:space="0"/>
              <w:right w:val="single" w:color="auto" w:sz="4" w:space="0"/>
            </w:tcBorders>
            <w:shd w:val="clear" w:color="auto" w:fill="auto"/>
            <w:vAlign w:val="center"/>
          </w:tcPr>
          <w:p>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脱轻塔回流泵</w:t>
            </w:r>
          </w:p>
        </w:tc>
        <w:tc>
          <w:tcPr>
            <w:tcW w:w="2694" w:type="dxa"/>
            <w:tcBorders>
              <w:top w:val="nil"/>
              <w:left w:val="nil"/>
              <w:bottom w:val="single" w:color="auto" w:sz="4" w:space="0"/>
              <w:right w:val="single" w:color="auto" w:sz="4" w:space="0"/>
            </w:tcBorders>
            <w:shd w:val="clear" w:color="auto" w:fill="auto"/>
            <w:vAlign w:val="center"/>
          </w:tcPr>
          <w:p>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衬氟磁力泵IMD32-20-160F,2.2KW防爆电机</w:t>
            </w:r>
          </w:p>
        </w:tc>
        <w:tc>
          <w:tcPr>
            <w:tcW w:w="708"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台</w:t>
            </w:r>
          </w:p>
        </w:tc>
        <w:tc>
          <w:tcPr>
            <w:tcW w:w="993"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Theme="minorEastAsia" w:hAnsiTheme="minorEastAsia" w:eastAsiaTheme="minorEastAsia" w:cstheme="minorEastAsia"/>
                <w:sz w:val="18"/>
                <w:szCs w:val="18"/>
              </w:rPr>
            </w:pPr>
            <w:r>
              <w:rPr>
                <w:rFonts w:hint="eastAsia" w:asciiTheme="minorEastAsia" w:hAnsiTheme="minorEastAsia" w:eastAsiaTheme="minorEastAsia" w:cstheme="minorEastAsia"/>
                <w:kern w:val="0"/>
                <w:sz w:val="18"/>
                <w:szCs w:val="18"/>
              </w:rPr>
              <w:t>2</w:t>
            </w:r>
          </w:p>
        </w:tc>
        <w:tc>
          <w:tcPr>
            <w:tcW w:w="1275"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衬PFA</w:t>
            </w:r>
          </w:p>
        </w:tc>
      </w:tr>
      <w:tr>
        <w:tblPrEx>
          <w:tblCellMar>
            <w:top w:w="0" w:type="dxa"/>
            <w:left w:w="108" w:type="dxa"/>
            <w:bottom w:w="0" w:type="dxa"/>
            <w:right w:w="108" w:type="dxa"/>
          </w:tblCellMar>
        </w:tblPrEx>
        <w:trPr>
          <w:trHeight w:val="480" w:hRule="atLeast"/>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92</w:t>
            </w:r>
          </w:p>
        </w:tc>
        <w:tc>
          <w:tcPr>
            <w:tcW w:w="2268" w:type="dxa"/>
            <w:tcBorders>
              <w:top w:val="nil"/>
              <w:left w:val="nil"/>
              <w:bottom w:val="single" w:color="auto" w:sz="4" w:space="0"/>
              <w:right w:val="single" w:color="auto" w:sz="4" w:space="0"/>
            </w:tcBorders>
            <w:shd w:val="clear" w:color="auto" w:fill="auto"/>
            <w:vAlign w:val="center"/>
          </w:tcPr>
          <w:p>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精馏塔底出料泵</w:t>
            </w:r>
          </w:p>
        </w:tc>
        <w:tc>
          <w:tcPr>
            <w:tcW w:w="2694" w:type="dxa"/>
            <w:tcBorders>
              <w:top w:val="nil"/>
              <w:left w:val="nil"/>
              <w:bottom w:val="single" w:color="auto" w:sz="4" w:space="0"/>
              <w:right w:val="single" w:color="auto" w:sz="4" w:space="0"/>
            </w:tcBorders>
            <w:shd w:val="clear" w:color="auto" w:fill="auto"/>
            <w:vAlign w:val="center"/>
          </w:tcPr>
          <w:p>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衬氟磁力泵IMD40-25-185F,3KW防爆电机</w:t>
            </w:r>
          </w:p>
        </w:tc>
        <w:tc>
          <w:tcPr>
            <w:tcW w:w="708"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台</w:t>
            </w:r>
          </w:p>
        </w:tc>
        <w:tc>
          <w:tcPr>
            <w:tcW w:w="993"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Theme="minorEastAsia" w:hAnsiTheme="minorEastAsia" w:eastAsiaTheme="minorEastAsia" w:cstheme="minorEastAsia"/>
                <w:sz w:val="18"/>
                <w:szCs w:val="18"/>
              </w:rPr>
            </w:pPr>
            <w:r>
              <w:rPr>
                <w:rFonts w:hint="eastAsia" w:asciiTheme="minorEastAsia" w:hAnsiTheme="minorEastAsia" w:eastAsiaTheme="minorEastAsia" w:cstheme="minorEastAsia"/>
                <w:kern w:val="0"/>
                <w:sz w:val="18"/>
                <w:szCs w:val="18"/>
              </w:rPr>
              <w:t>2</w:t>
            </w:r>
          </w:p>
        </w:tc>
        <w:tc>
          <w:tcPr>
            <w:tcW w:w="1275"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衬PFA</w:t>
            </w:r>
          </w:p>
        </w:tc>
      </w:tr>
      <w:tr>
        <w:tblPrEx>
          <w:tblCellMar>
            <w:top w:w="0" w:type="dxa"/>
            <w:left w:w="108" w:type="dxa"/>
            <w:bottom w:w="0" w:type="dxa"/>
            <w:right w:w="108" w:type="dxa"/>
          </w:tblCellMar>
        </w:tblPrEx>
        <w:trPr>
          <w:trHeight w:val="480" w:hRule="atLeast"/>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93</w:t>
            </w:r>
          </w:p>
        </w:tc>
        <w:tc>
          <w:tcPr>
            <w:tcW w:w="2268" w:type="dxa"/>
            <w:tcBorders>
              <w:top w:val="nil"/>
              <w:left w:val="nil"/>
              <w:bottom w:val="single" w:color="auto" w:sz="4" w:space="0"/>
              <w:right w:val="single" w:color="auto" w:sz="4" w:space="0"/>
            </w:tcBorders>
            <w:shd w:val="clear" w:color="auto" w:fill="auto"/>
            <w:vAlign w:val="center"/>
          </w:tcPr>
          <w:p>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精馏塔塔回流泵</w:t>
            </w:r>
          </w:p>
        </w:tc>
        <w:tc>
          <w:tcPr>
            <w:tcW w:w="2694" w:type="dxa"/>
            <w:tcBorders>
              <w:top w:val="nil"/>
              <w:left w:val="nil"/>
              <w:bottom w:val="single" w:color="auto" w:sz="4" w:space="0"/>
              <w:right w:val="single" w:color="auto" w:sz="4" w:space="0"/>
            </w:tcBorders>
            <w:shd w:val="clear" w:color="auto" w:fill="auto"/>
            <w:vAlign w:val="center"/>
          </w:tcPr>
          <w:p>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衬氟离心泵IHF25-20-160,2.2KW防爆电机</w:t>
            </w:r>
          </w:p>
        </w:tc>
        <w:tc>
          <w:tcPr>
            <w:tcW w:w="708"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台</w:t>
            </w:r>
          </w:p>
        </w:tc>
        <w:tc>
          <w:tcPr>
            <w:tcW w:w="993"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Theme="minorEastAsia" w:hAnsiTheme="minorEastAsia" w:eastAsiaTheme="minorEastAsia" w:cstheme="minorEastAsia"/>
                <w:sz w:val="18"/>
                <w:szCs w:val="18"/>
              </w:rPr>
            </w:pPr>
            <w:r>
              <w:rPr>
                <w:rFonts w:hint="eastAsia" w:asciiTheme="minorEastAsia" w:hAnsiTheme="minorEastAsia" w:eastAsiaTheme="minorEastAsia" w:cstheme="minorEastAsia"/>
                <w:kern w:val="0"/>
                <w:sz w:val="18"/>
                <w:szCs w:val="18"/>
              </w:rPr>
              <w:t>2</w:t>
            </w:r>
          </w:p>
        </w:tc>
        <w:tc>
          <w:tcPr>
            <w:tcW w:w="1275"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衬PFA</w:t>
            </w:r>
          </w:p>
        </w:tc>
      </w:tr>
      <w:tr>
        <w:tblPrEx>
          <w:tblCellMar>
            <w:top w:w="0" w:type="dxa"/>
            <w:left w:w="108" w:type="dxa"/>
            <w:bottom w:w="0" w:type="dxa"/>
            <w:right w:w="108" w:type="dxa"/>
          </w:tblCellMar>
        </w:tblPrEx>
        <w:trPr>
          <w:trHeight w:val="480" w:hRule="atLeast"/>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94</w:t>
            </w:r>
          </w:p>
        </w:tc>
        <w:tc>
          <w:tcPr>
            <w:tcW w:w="2268" w:type="dxa"/>
            <w:tcBorders>
              <w:top w:val="nil"/>
              <w:left w:val="nil"/>
              <w:bottom w:val="single" w:color="auto" w:sz="4" w:space="0"/>
              <w:right w:val="single" w:color="auto" w:sz="4" w:space="0"/>
            </w:tcBorders>
            <w:shd w:val="clear" w:color="auto" w:fill="auto"/>
            <w:vAlign w:val="center"/>
          </w:tcPr>
          <w:p>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水洗塔循环泵</w:t>
            </w:r>
          </w:p>
        </w:tc>
        <w:tc>
          <w:tcPr>
            <w:tcW w:w="2694" w:type="dxa"/>
            <w:tcBorders>
              <w:top w:val="nil"/>
              <w:left w:val="nil"/>
              <w:bottom w:val="single" w:color="auto" w:sz="4" w:space="0"/>
              <w:right w:val="single" w:color="auto" w:sz="4" w:space="0"/>
            </w:tcBorders>
            <w:shd w:val="clear" w:color="auto" w:fill="auto"/>
            <w:vAlign w:val="center"/>
          </w:tcPr>
          <w:p>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衬氟离心泵IH65-50-125,3KW防爆电机</w:t>
            </w:r>
          </w:p>
        </w:tc>
        <w:tc>
          <w:tcPr>
            <w:tcW w:w="708"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台</w:t>
            </w:r>
          </w:p>
        </w:tc>
        <w:tc>
          <w:tcPr>
            <w:tcW w:w="993"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Theme="minorEastAsia" w:hAnsiTheme="minorEastAsia" w:eastAsiaTheme="minorEastAsia" w:cstheme="minorEastAsia"/>
                <w:sz w:val="18"/>
                <w:szCs w:val="18"/>
              </w:rPr>
            </w:pPr>
            <w:r>
              <w:rPr>
                <w:rFonts w:hint="eastAsia" w:asciiTheme="minorEastAsia" w:hAnsiTheme="minorEastAsia" w:eastAsiaTheme="minorEastAsia" w:cstheme="minorEastAsia"/>
                <w:kern w:val="0"/>
                <w:sz w:val="18"/>
                <w:szCs w:val="18"/>
              </w:rPr>
              <w:t>2</w:t>
            </w:r>
          </w:p>
        </w:tc>
        <w:tc>
          <w:tcPr>
            <w:tcW w:w="1275"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衬四氟</w:t>
            </w:r>
          </w:p>
        </w:tc>
      </w:tr>
      <w:tr>
        <w:tblPrEx>
          <w:tblCellMar>
            <w:top w:w="0" w:type="dxa"/>
            <w:left w:w="108" w:type="dxa"/>
            <w:bottom w:w="0" w:type="dxa"/>
            <w:right w:w="108" w:type="dxa"/>
          </w:tblCellMar>
        </w:tblPrEx>
        <w:trPr>
          <w:trHeight w:val="480" w:hRule="atLeast"/>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95</w:t>
            </w:r>
          </w:p>
        </w:tc>
        <w:tc>
          <w:tcPr>
            <w:tcW w:w="2268" w:type="dxa"/>
            <w:tcBorders>
              <w:top w:val="nil"/>
              <w:left w:val="nil"/>
              <w:bottom w:val="single" w:color="auto" w:sz="4" w:space="0"/>
              <w:right w:val="single" w:color="auto" w:sz="4" w:space="0"/>
            </w:tcBorders>
            <w:shd w:val="clear" w:color="auto" w:fill="auto"/>
            <w:vAlign w:val="center"/>
          </w:tcPr>
          <w:p>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碱洗塔循环泵</w:t>
            </w:r>
          </w:p>
        </w:tc>
        <w:tc>
          <w:tcPr>
            <w:tcW w:w="2694" w:type="dxa"/>
            <w:tcBorders>
              <w:top w:val="nil"/>
              <w:left w:val="nil"/>
              <w:bottom w:val="single" w:color="auto" w:sz="4" w:space="0"/>
              <w:right w:val="single" w:color="auto" w:sz="4" w:space="0"/>
            </w:tcBorders>
            <w:shd w:val="clear" w:color="auto" w:fill="auto"/>
            <w:vAlign w:val="center"/>
          </w:tcPr>
          <w:p>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衬氟离心泵IH65-50-125,3KW防爆电机</w:t>
            </w:r>
          </w:p>
        </w:tc>
        <w:tc>
          <w:tcPr>
            <w:tcW w:w="708"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台</w:t>
            </w:r>
          </w:p>
        </w:tc>
        <w:tc>
          <w:tcPr>
            <w:tcW w:w="993"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Theme="minorEastAsia" w:hAnsiTheme="minorEastAsia" w:eastAsiaTheme="minorEastAsia" w:cstheme="minorEastAsia"/>
                <w:sz w:val="18"/>
                <w:szCs w:val="18"/>
              </w:rPr>
            </w:pPr>
            <w:r>
              <w:rPr>
                <w:rFonts w:hint="eastAsia" w:asciiTheme="minorEastAsia" w:hAnsiTheme="minorEastAsia" w:eastAsiaTheme="minorEastAsia" w:cstheme="minorEastAsia"/>
                <w:kern w:val="0"/>
                <w:sz w:val="18"/>
                <w:szCs w:val="18"/>
              </w:rPr>
              <w:t>2</w:t>
            </w:r>
          </w:p>
        </w:tc>
        <w:tc>
          <w:tcPr>
            <w:tcW w:w="1275"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衬四氟</w:t>
            </w:r>
          </w:p>
        </w:tc>
      </w:tr>
      <w:tr>
        <w:tblPrEx>
          <w:tblCellMar>
            <w:top w:w="0" w:type="dxa"/>
            <w:left w:w="108" w:type="dxa"/>
            <w:bottom w:w="0" w:type="dxa"/>
            <w:right w:w="108" w:type="dxa"/>
          </w:tblCellMar>
        </w:tblPrEx>
        <w:trPr>
          <w:trHeight w:val="480" w:hRule="atLeast"/>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96</w:t>
            </w:r>
          </w:p>
        </w:tc>
        <w:tc>
          <w:tcPr>
            <w:tcW w:w="2268" w:type="dxa"/>
            <w:tcBorders>
              <w:top w:val="nil"/>
              <w:left w:val="nil"/>
              <w:bottom w:val="single" w:color="auto" w:sz="4" w:space="0"/>
              <w:right w:val="single" w:color="auto" w:sz="4" w:space="0"/>
            </w:tcBorders>
            <w:shd w:val="clear" w:color="auto" w:fill="auto"/>
            <w:vAlign w:val="center"/>
          </w:tcPr>
          <w:p>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产品中转泵</w:t>
            </w:r>
          </w:p>
        </w:tc>
        <w:tc>
          <w:tcPr>
            <w:tcW w:w="2694" w:type="dxa"/>
            <w:tcBorders>
              <w:top w:val="nil"/>
              <w:left w:val="nil"/>
              <w:bottom w:val="single" w:color="auto" w:sz="4" w:space="0"/>
              <w:right w:val="single" w:color="auto" w:sz="4" w:space="0"/>
            </w:tcBorders>
            <w:shd w:val="clear" w:color="auto" w:fill="auto"/>
            <w:vAlign w:val="center"/>
          </w:tcPr>
          <w:p>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衬氟离心泵IHF50-32-160,4KW防爆电机</w:t>
            </w:r>
          </w:p>
        </w:tc>
        <w:tc>
          <w:tcPr>
            <w:tcW w:w="708"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台</w:t>
            </w:r>
          </w:p>
        </w:tc>
        <w:tc>
          <w:tcPr>
            <w:tcW w:w="993"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Theme="minorEastAsia" w:hAnsiTheme="minorEastAsia" w:eastAsiaTheme="minorEastAsia" w:cstheme="minorEastAsia"/>
                <w:sz w:val="18"/>
                <w:szCs w:val="18"/>
              </w:rPr>
            </w:pPr>
            <w:r>
              <w:rPr>
                <w:rFonts w:hint="eastAsia" w:asciiTheme="minorEastAsia" w:hAnsiTheme="minorEastAsia" w:eastAsiaTheme="minorEastAsia" w:cstheme="minorEastAsia"/>
                <w:kern w:val="0"/>
                <w:sz w:val="18"/>
                <w:szCs w:val="18"/>
              </w:rPr>
              <w:t>2</w:t>
            </w:r>
          </w:p>
        </w:tc>
        <w:tc>
          <w:tcPr>
            <w:tcW w:w="1275"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衬四氟</w:t>
            </w:r>
          </w:p>
        </w:tc>
      </w:tr>
      <w:tr>
        <w:tblPrEx>
          <w:tblCellMar>
            <w:top w:w="0" w:type="dxa"/>
            <w:left w:w="108" w:type="dxa"/>
            <w:bottom w:w="0" w:type="dxa"/>
            <w:right w:w="108" w:type="dxa"/>
          </w:tblCellMar>
        </w:tblPrEx>
        <w:trPr>
          <w:trHeight w:val="480" w:hRule="atLeast"/>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97</w:t>
            </w:r>
          </w:p>
        </w:tc>
        <w:tc>
          <w:tcPr>
            <w:tcW w:w="2268" w:type="dxa"/>
            <w:tcBorders>
              <w:top w:val="nil"/>
              <w:left w:val="nil"/>
              <w:bottom w:val="single" w:color="auto" w:sz="4" w:space="0"/>
              <w:right w:val="single" w:color="auto" w:sz="4" w:space="0"/>
            </w:tcBorders>
            <w:shd w:val="clear" w:color="auto" w:fill="auto"/>
            <w:vAlign w:val="center"/>
          </w:tcPr>
          <w:p>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低沸物中转泵</w:t>
            </w:r>
          </w:p>
        </w:tc>
        <w:tc>
          <w:tcPr>
            <w:tcW w:w="2694" w:type="dxa"/>
            <w:tcBorders>
              <w:top w:val="nil"/>
              <w:left w:val="nil"/>
              <w:bottom w:val="single" w:color="auto" w:sz="4" w:space="0"/>
              <w:right w:val="single" w:color="auto" w:sz="4" w:space="0"/>
            </w:tcBorders>
            <w:shd w:val="clear" w:color="auto" w:fill="auto"/>
            <w:vAlign w:val="center"/>
          </w:tcPr>
          <w:p>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衬氟离心泵IHF50-32-160,4KW防爆电机</w:t>
            </w:r>
          </w:p>
        </w:tc>
        <w:tc>
          <w:tcPr>
            <w:tcW w:w="708"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台</w:t>
            </w:r>
          </w:p>
        </w:tc>
        <w:tc>
          <w:tcPr>
            <w:tcW w:w="993"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Theme="minorEastAsia" w:hAnsiTheme="minorEastAsia" w:eastAsiaTheme="minorEastAsia" w:cstheme="minorEastAsia"/>
                <w:sz w:val="18"/>
                <w:szCs w:val="18"/>
              </w:rPr>
            </w:pPr>
            <w:r>
              <w:rPr>
                <w:rFonts w:hint="eastAsia" w:asciiTheme="minorEastAsia" w:hAnsiTheme="minorEastAsia" w:eastAsiaTheme="minorEastAsia" w:cstheme="minorEastAsia"/>
                <w:kern w:val="0"/>
                <w:sz w:val="18"/>
                <w:szCs w:val="18"/>
              </w:rPr>
              <w:t>1</w:t>
            </w:r>
          </w:p>
        </w:tc>
        <w:tc>
          <w:tcPr>
            <w:tcW w:w="1275"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衬四氟</w:t>
            </w:r>
          </w:p>
        </w:tc>
      </w:tr>
      <w:tr>
        <w:tblPrEx>
          <w:tblCellMar>
            <w:top w:w="0" w:type="dxa"/>
            <w:left w:w="108" w:type="dxa"/>
            <w:bottom w:w="0" w:type="dxa"/>
            <w:right w:w="108" w:type="dxa"/>
          </w:tblCellMar>
        </w:tblPrEx>
        <w:trPr>
          <w:trHeight w:val="480" w:hRule="atLeast"/>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98</w:t>
            </w:r>
          </w:p>
        </w:tc>
        <w:tc>
          <w:tcPr>
            <w:tcW w:w="2268" w:type="dxa"/>
            <w:tcBorders>
              <w:top w:val="nil"/>
              <w:left w:val="nil"/>
              <w:bottom w:val="single" w:color="auto" w:sz="4" w:space="0"/>
              <w:right w:val="single" w:color="auto" w:sz="4" w:space="0"/>
            </w:tcBorders>
            <w:shd w:val="clear" w:color="auto" w:fill="auto"/>
            <w:vAlign w:val="center"/>
          </w:tcPr>
          <w:p>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精馏残液中转泵</w:t>
            </w:r>
          </w:p>
        </w:tc>
        <w:tc>
          <w:tcPr>
            <w:tcW w:w="2694" w:type="dxa"/>
            <w:tcBorders>
              <w:top w:val="nil"/>
              <w:left w:val="nil"/>
              <w:bottom w:val="single" w:color="auto" w:sz="4" w:space="0"/>
              <w:right w:val="single" w:color="auto" w:sz="4" w:space="0"/>
            </w:tcBorders>
            <w:shd w:val="clear" w:color="auto" w:fill="auto"/>
            <w:vAlign w:val="center"/>
          </w:tcPr>
          <w:p>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衬氟磁力泵IMD50-40-140F,5.5KW防爆电机</w:t>
            </w:r>
          </w:p>
        </w:tc>
        <w:tc>
          <w:tcPr>
            <w:tcW w:w="708"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台</w:t>
            </w:r>
          </w:p>
        </w:tc>
        <w:tc>
          <w:tcPr>
            <w:tcW w:w="993"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Theme="minorEastAsia" w:hAnsiTheme="minorEastAsia" w:eastAsiaTheme="minorEastAsia" w:cstheme="minorEastAsia"/>
                <w:sz w:val="18"/>
                <w:szCs w:val="18"/>
              </w:rPr>
            </w:pPr>
            <w:r>
              <w:rPr>
                <w:rFonts w:hint="eastAsia" w:asciiTheme="minorEastAsia" w:hAnsiTheme="minorEastAsia" w:eastAsiaTheme="minorEastAsia" w:cstheme="minorEastAsia"/>
                <w:kern w:val="0"/>
                <w:sz w:val="18"/>
                <w:szCs w:val="18"/>
              </w:rPr>
              <w:t>1</w:t>
            </w:r>
          </w:p>
        </w:tc>
        <w:tc>
          <w:tcPr>
            <w:tcW w:w="1275"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衬PFA</w:t>
            </w:r>
          </w:p>
        </w:tc>
      </w:tr>
      <w:tr>
        <w:tblPrEx>
          <w:tblCellMar>
            <w:top w:w="0" w:type="dxa"/>
            <w:left w:w="108" w:type="dxa"/>
            <w:bottom w:w="0" w:type="dxa"/>
            <w:right w:w="108" w:type="dxa"/>
          </w:tblCellMar>
        </w:tblPrEx>
        <w:trPr>
          <w:trHeight w:val="480" w:hRule="atLeast"/>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99</w:t>
            </w:r>
          </w:p>
        </w:tc>
        <w:tc>
          <w:tcPr>
            <w:tcW w:w="2268" w:type="dxa"/>
            <w:tcBorders>
              <w:top w:val="nil"/>
              <w:left w:val="nil"/>
              <w:bottom w:val="single" w:color="auto" w:sz="4" w:space="0"/>
              <w:right w:val="single" w:color="auto" w:sz="4" w:space="0"/>
            </w:tcBorders>
            <w:shd w:val="clear" w:color="auto" w:fill="auto"/>
            <w:vAlign w:val="center"/>
          </w:tcPr>
          <w:p>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氯化车间粗产品中转泵</w:t>
            </w:r>
          </w:p>
        </w:tc>
        <w:tc>
          <w:tcPr>
            <w:tcW w:w="2694" w:type="dxa"/>
            <w:tcBorders>
              <w:top w:val="nil"/>
              <w:left w:val="nil"/>
              <w:bottom w:val="single" w:color="auto" w:sz="4" w:space="0"/>
              <w:right w:val="single" w:color="auto" w:sz="4" w:space="0"/>
            </w:tcBorders>
            <w:shd w:val="clear" w:color="auto" w:fill="auto"/>
            <w:vAlign w:val="center"/>
          </w:tcPr>
          <w:p>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衬氟离心泵IHF50-32-160,4KW防爆电机</w:t>
            </w:r>
          </w:p>
        </w:tc>
        <w:tc>
          <w:tcPr>
            <w:tcW w:w="708"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台</w:t>
            </w:r>
          </w:p>
        </w:tc>
        <w:tc>
          <w:tcPr>
            <w:tcW w:w="993"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Theme="minorEastAsia" w:hAnsiTheme="minorEastAsia" w:eastAsiaTheme="minorEastAsia" w:cstheme="minorEastAsia"/>
                <w:sz w:val="18"/>
                <w:szCs w:val="18"/>
              </w:rPr>
            </w:pPr>
            <w:r>
              <w:rPr>
                <w:rFonts w:hint="eastAsia" w:asciiTheme="minorEastAsia" w:hAnsiTheme="minorEastAsia" w:eastAsiaTheme="minorEastAsia" w:cstheme="minorEastAsia"/>
                <w:kern w:val="0"/>
                <w:sz w:val="18"/>
                <w:szCs w:val="18"/>
              </w:rPr>
              <w:t>1</w:t>
            </w:r>
          </w:p>
        </w:tc>
        <w:tc>
          <w:tcPr>
            <w:tcW w:w="1275"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衬四氟</w:t>
            </w:r>
          </w:p>
        </w:tc>
      </w:tr>
      <w:tr>
        <w:tblPrEx>
          <w:tblCellMar>
            <w:top w:w="0" w:type="dxa"/>
            <w:left w:w="108" w:type="dxa"/>
            <w:bottom w:w="0" w:type="dxa"/>
            <w:right w:w="108" w:type="dxa"/>
          </w:tblCellMar>
        </w:tblPrEx>
        <w:trPr>
          <w:trHeight w:val="480" w:hRule="atLeast"/>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w:t>
            </w:r>
          </w:p>
        </w:tc>
        <w:tc>
          <w:tcPr>
            <w:tcW w:w="2268" w:type="dxa"/>
            <w:tcBorders>
              <w:top w:val="nil"/>
              <w:left w:val="nil"/>
              <w:bottom w:val="single" w:color="auto" w:sz="4" w:space="0"/>
              <w:right w:val="single" w:color="auto" w:sz="4" w:space="0"/>
            </w:tcBorders>
            <w:shd w:val="clear" w:color="auto" w:fill="auto"/>
            <w:vAlign w:val="center"/>
          </w:tcPr>
          <w:p>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氯化车间低沸物输送泵</w:t>
            </w:r>
          </w:p>
        </w:tc>
        <w:tc>
          <w:tcPr>
            <w:tcW w:w="2694" w:type="dxa"/>
            <w:tcBorders>
              <w:top w:val="nil"/>
              <w:left w:val="nil"/>
              <w:bottom w:val="single" w:color="auto" w:sz="4" w:space="0"/>
              <w:right w:val="single" w:color="auto" w:sz="4" w:space="0"/>
            </w:tcBorders>
            <w:shd w:val="clear" w:color="auto" w:fill="auto"/>
            <w:vAlign w:val="center"/>
          </w:tcPr>
          <w:p>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衬氟离心泵IHF50-32-125,2.2KW防爆电机</w:t>
            </w:r>
          </w:p>
        </w:tc>
        <w:tc>
          <w:tcPr>
            <w:tcW w:w="708"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台</w:t>
            </w:r>
          </w:p>
        </w:tc>
        <w:tc>
          <w:tcPr>
            <w:tcW w:w="993"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Theme="minorEastAsia" w:hAnsiTheme="minorEastAsia" w:eastAsiaTheme="minorEastAsia" w:cstheme="minorEastAsia"/>
                <w:sz w:val="18"/>
                <w:szCs w:val="18"/>
              </w:rPr>
            </w:pPr>
            <w:r>
              <w:rPr>
                <w:rFonts w:hint="eastAsia" w:asciiTheme="minorEastAsia" w:hAnsiTheme="minorEastAsia" w:eastAsiaTheme="minorEastAsia" w:cstheme="minorEastAsia"/>
                <w:kern w:val="0"/>
                <w:sz w:val="18"/>
                <w:szCs w:val="18"/>
              </w:rPr>
              <w:t>1</w:t>
            </w:r>
          </w:p>
        </w:tc>
        <w:tc>
          <w:tcPr>
            <w:tcW w:w="1275"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衬四氟</w:t>
            </w:r>
          </w:p>
        </w:tc>
      </w:tr>
      <w:tr>
        <w:tblPrEx>
          <w:tblCellMar>
            <w:top w:w="0" w:type="dxa"/>
            <w:left w:w="108" w:type="dxa"/>
            <w:bottom w:w="0" w:type="dxa"/>
            <w:right w:w="108" w:type="dxa"/>
          </w:tblCellMar>
        </w:tblPrEx>
        <w:trPr>
          <w:trHeight w:val="480" w:hRule="atLeast"/>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101</w:t>
            </w:r>
          </w:p>
        </w:tc>
        <w:tc>
          <w:tcPr>
            <w:tcW w:w="2268" w:type="dxa"/>
            <w:tcBorders>
              <w:top w:val="nil"/>
              <w:left w:val="nil"/>
              <w:bottom w:val="single" w:color="auto" w:sz="4" w:space="0"/>
              <w:right w:val="single" w:color="auto" w:sz="4" w:space="0"/>
            </w:tcBorders>
            <w:shd w:val="clear" w:color="auto" w:fill="auto"/>
            <w:vAlign w:val="center"/>
          </w:tcPr>
          <w:p>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氯化车间精馏残液输送泵</w:t>
            </w:r>
          </w:p>
        </w:tc>
        <w:tc>
          <w:tcPr>
            <w:tcW w:w="2694" w:type="dxa"/>
            <w:tcBorders>
              <w:top w:val="nil"/>
              <w:left w:val="nil"/>
              <w:bottom w:val="single" w:color="auto" w:sz="4" w:space="0"/>
              <w:right w:val="single" w:color="auto" w:sz="4" w:space="0"/>
            </w:tcBorders>
            <w:shd w:val="clear" w:color="auto" w:fill="auto"/>
            <w:vAlign w:val="center"/>
          </w:tcPr>
          <w:p>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衬氟离心泵IHF50-32-125,2.2KW防爆电机</w:t>
            </w:r>
          </w:p>
        </w:tc>
        <w:tc>
          <w:tcPr>
            <w:tcW w:w="708"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台</w:t>
            </w:r>
          </w:p>
        </w:tc>
        <w:tc>
          <w:tcPr>
            <w:tcW w:w="993"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Theme="minorEastAsia" w:hAnsiTheme="minorEastAsia" w:eastAsiaTheme="minorEastAsia" w:cstheme="minorEastAsia"/>
                <w:sz w:val="18"/>
                <w:szCs w:val="18"/>
              </w:rPr>
            </w:pPr>
            <w:r>
              <w:rPr>
                <w:rFonts w:hint="eastAsia" w:asciiTheme="minorEastAsia" w:hAnsiTheme="minorEastAsia" w:eastAsiaTheme="minorEastAsia" w:cstheme="minorEastAsia"/>
                <w:kern w:val="0"/>
                <w:sz w:val="18"/>
                <w:szCs w:val="18"/>
              </w:rPr>
              <w:t>1</w:t>
            </w:r>
          </w:p>
        </w:tc>
        <w:tc>
          <w:tcPr>
            <w:tcW w:w="1275"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衬四氟</w:t>
            </w:r>
          </w:p>
        </w:tc>
      </w:tr>
      <w:tr>
        <w:tblPrEx>
          <w:tblCellMar>
            <w:top w:w="0" w:type="dxa"/>
            <w:left w:w="108" w:type="dxa"/>
            <w:bottom w:w="0" w:type="dxa"/>
            <w:right w:w="108" w:type="dxa"/>
          </w:tblCellMar>
        </w:tblPrEx>
        <w:trPr>
          <w:trHeight w:val="480" w:hRule="atLeast"/>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102</w:t>
            </w:r>
          </w:p>
        </w:tc>
        <w:tc>
          <w:tcPr>
            <w:tcW w:w="2268" w:type="dxa"/>
            <w:tcBorders>
              <w:top w:val="nil"/>
              <w:left w:val="nil"/>
              <w:bottom w:val="single" w:color="auto" w:sz="4" w:space="0"/>
              <w:right w:val="single" w:color="auto" w:sz="4" w:space="0"/>
            </w:tcBorders>
            <w:shd w:val="clear" w:color="auto" w:fill="auto"/>
            <w:vAlign w:val="center"/>
          </w:tcPr>
          <w:p>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罐区产品装车泵</w:t>
            </w:r>
          </w:p>
        </w:tc>
        <w:tc>
          <w:tcPr>
            <w:tcW w:w="2694" w:type="dxa"/>
            <w:tcBorders>
              <w:top w:val="nil"/>
              <w:left w:val="nil"/>
              <w:bottom w:val="single" w:color="auto" w:sz="4" w:space="0"/>
              <w:right w:val="single" w:color="auto" w:sz="4" w:space="0"/>
            </w:tcBorders>
            <w:shd w:val="clear" w:color="auto" w:fill="auto"/>
            <w:vAlign w:val="center"/>
          </w:tcPr>
          <w:p>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衬氟离心泵IHF65-50-125,3KW防爆电机</w:t>
            </w:r>
          </w:p>
        </w:tc>
        <w:tc>
          <w:tcPr>
            <w:tcW w:w="708"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台</w:t>
            </w:r>
          </w:p>
        </w:tc>
        <w:tc>
          <w:tcPr>
            <w:tcW w:w="993"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Theme="minorEastAsia" w:hAnsiTheme="minorEastAsia" w:eastAsiaTheme="minorEastAsia" w:cstheme="minorEastAsia"/>
                <w:sz w:val="18"/>
                <w:szCs w:val="18"/>
              </w:rPr>
            </w:pPr>
            <w:r>
              <w:rPr>
                <w:rFonts w:hint="eastAsia" w:asciiTheme="minorEastAsia" w:hAnsiTheme="minorEastAsia" w:eastAsiaTheme="minorEastAsia" w:cstheme="minorEastAsia"/>
                <w:kern w:val="0"/>
                <w:sz w:val="18"/>
                <w:szCs w:val="18"/>
              </w:rPr>
              <w:t>1</w:t>
            </w:r>
          </w:p>
        </w:tc>
        <w:tc>
          <w:tcPr>
            <w:tcW w:w="1275"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衬四氟</w:t>
            </w:r>
          </w:p>
        </w:tc>
      </w:tr>
      <w:tr>
        <w:tblPrEx>
          <w:tblCellMar>
            <w:top w:w="0" w:type="dxa"/>
            <w:left w:w="108" w:type="dxa"/>
            <w:bottom w:w="0" w:type="dxa"/>
            <w:right w:w="108" w:type="dxa"/>
          </w:tblCellMar>
        </w:tblPrEx>
        <w:trPr>
          <w:trHeight w:val="480" w:hRule="atLeast"/>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103</w:t>
            </w:r>
          </w:p>
        </w:tc>
        <w:tc>
          <w:tcPr>
            <w:tcW w:w="2268" w:type="dxa"/>
            <w:tcBorders>
              <w:top w:val="nil"/>
              <w:left w:val="nil"/>
              <w:bottom w:val="single" w:color="auto" w:sz="4" w:space="0"/>
              <w:right w:val="single" w:color="auto" w:sz="4" w:space="0"/>
            </w:tcBorders>
            <w:shd w:val="clear" w:color="auto" w:fill="auto"/>
            <w:vAlign w:val="center"/>
          </w:tcPr>
          <w:p>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尾气分离罐物料回收泵</w:t>
            </w:r>
          </w:p>
        </w:tc>
        <w:tc>
          <w:tcPr>
            <w:tcW w:w="2694" w:type="dxa"/>
            <w:tcBorders>
              <w:top w:val="nil"/>
              <w:left w:val="nil"/>
              <w:bottom w:val="single" w:color="auto" w:sz="4" w:space="0"/>
              <w:right w:val="single" w:color="auto" w:sz="4" w:space="0"/>
            </w:tcBorders>
            <w:shd w:val="clear" w:color="auto" w:fill="auto"/>
            <w:vAlign w:val="center"/>
          </w:tcPr>
          <w:p>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衬氟离心泵40FSB-22，2.2KW防爆电机</w:t>
            </w:r>
          </w:p>
        </w:tc>
        <w:tc>
          <w:tcPr>
            <w:tcW w:w="708"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台</w:t>
            </w:r>
          </w:p>
        </w:tc>
        <w:tc>
          <w:tcPr>
            <w:tcW w:w="993"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Theme="minorEastAsia" w:hAnsiTheme="minorEastAsia" w:eastAsiaTheme="minorEastAsia" w:cstheme="minorEastAsia"/>
                <w:sz w:val="18"/>
                <w:szCs w:val="18"/>
              </w:rPr>
            </w:pPr>
            <w:r>
              <w:rPr>
                <w:rFonts w:hint="eastAsia" w:asciiTheme="minorEastAsia" w:hAnsiTheme="minorEastAsia" w:eastAsiaTheme="minorEastAsia" w:cstheme="minorEastAsia"/>
                <w:kern w:val="0"/>
                <w:sz w:val="18"/>
                <w:szCs w:val="18"/>
              </w:rPr>
              <w:t>1</w:t>
            </w:r>
          </w:p>
        </w:tc>
        <w:tc>
          <w:tcPr>
            <w:tcW w:w="1275"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衬四氟</w:t>
            </w:r>
          </w:p>
        </w:tc>
      </w:tr>
      <w:tr>
        <w:tblPrEx>
          <w:tblCellMar>
            <w:top w:w="0" w:type="dxa"/>
            <w:left w:w="108" w:type="dxa"/>
            <w:bottom w:w="0" w:type="dxa"/>
            <w:right w:w="108" w:type="dxa"/>
          </w:tblCellMar>
        </w:tblPrEx>
        <w:trPr>
          <w:trHeight w:val="480" w:hRule="atLeast"/>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104</w:t>
            </w:r>
          </w:p>
        </w:tc>
        <w:tc>
          <w:tcPr>
            <w:tcW w:w="2268" w:type="dxa"/>
            <w:tcBorders>
              <w:top w:val="nil"/>
              <w:left w:val="nil"/>
              <w:bottom w:val="single" w:color="auto" w:sz="4" w:space="0"/>
              <w:right w:val="single" w:color="auto" w:sz="4" w:space="0"/>
            </w:tcBorders>
            <w:shd w:val="clear" w:color="auto" w:fill="auto"/>
            <w:vAlign w:val="center"/>
          </w:tcPr>
          <w:p>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真空机组水喷射离心泵</w:t>
            </w:r>
          </w:p>
        </w:tc>
        <w:tc>
          <w:tcPr>
            <w:tcW w:w="2694" w:type="dxa"/>
            <w:tcBorders>
              <w:top w:val="nil"/>
              <w:left w:val="nil"/>
              <w:bottom w:val="single" w:color="auto" w:sz="4" w:space="0"/>
              <w:right w:val="single" w:color="auto" w:sz="4" w:space="0"/>
            </w:tcBorders>
            <w:shd w:val="clear" w:color="auto" w:fill="auto"/>
            <w:vAlign w:val="center"/>
          </w:tcPr>
          <w:p>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FLSJ-320x2-300+FPSWJ-320x3，15KW防爆电机</w:t>
            </w:r>
          </w:p>
        </w:tc>
        <w:tc>
          <w:tcPr>
            <w:tcW w:w="708"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台</w:t>
            </w:r>
          </w:p>
        </w:tc>
        <w:tc>
          <w:tcPr>
            <w:tcW w:w="993"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Theme="minorEastAsia" w:hAnsiTheme="minorEastAsia" w:eastAsiaTheme="minorEastAsia" w:cstheme="minorEastAsia"/>
                <w:sz w:val="18"/>
                <w:szCs w:val="18"/>
              </w:rPr>
            </w:pPr>
            <w:r>
              <w:rPr>
                <w:rFonts w:hint="eastAsia" w:asciiTheme="minorEastAsia" w:hAnsiTheme="minorEastAsia" w:eastAsiaTheme="minorEastAsia" w:cstheme="minorEastAsia"/>
                <w:kern w:val="0"/>
                <w:sz w:val="18"/>
                <w:szCs w:val="18"/>
              </w:rPr>
              <w:t>5</w:t>
            </w:r>
          </w:p>
        </w:tc>
        <w:tc>
          <w:tcPr>
            <w:tcW w:w="1275"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衬四氟</w:t>
            </w:r>
          </w:p>
        </w:tc>
      </w:tr>
      <w:tr>
        <w:tblPrEx>
          <w:tblCellMar>
            <w:top w:w="0" w:type="dxa"/>
            <w:left w:w="108" w:type="dxa"/>
            <w:bottom w:w="0" w:type="dxa"/>
            <w:right w:w="108" w:type="dxa"/>
          </w:tblCellMar>
        </w:tblPrEx>
        <w:trPr>
          <w:trHeight w:val="480" w:hRule="atLeast"/>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105</w:t>
            </w:r>
          </w:p>
        </w:tc>
        <w:tc>
          <w:tcPr>
            <w:tcW w:w="2268" w:type="dxa"/>
            <w:tcBorders>
              <w:top w:val="nil"/>
              <w:left w:val="nil"/>
              <w:bottom w:val="single" w:color="auto" w:sz="4" w:space="0"/>
              <w:right w:val="single" w:color="auto" w:sz="4" w:space="0"/>
            </w:tcBorders>
            <w:shd w:val="clear" w:color="auto" w:fill="auto"/>
            <w:vAlign w:val="center"/>
          </w:tcPr>
          <w:p>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真空机组水箱水冷循环泵</w:t>
            </w:r>
          </w:p>
        </w:tc>
        <w:tc>
          <w:tcPr>
            <w:tcW w:w="2694" w:type="dxa"/>
            <w:tcBorders>
              <w:top w:val="nil"/>
              <w:left w:val="nil"/>
              <w:bottom w:val="single" w:color="auto" w:sz="4" w:space="0"/>
              <w:right w:val="single" w:color="auto" w:sz="4" w:space="0"/>
            </w:tcBorders>
            <w:shd w:val="clear" w:color="auto" w:fill="auto"/>
            <w:vAlign w:val="center"/>
          </w:tcPr>
          <w:p>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衬氟离心泵40FSB-22，流量10m3/h，扬程22m，2.2KW</w:t>
            </w:r>
          </w:p>
        </w:tc>
        <w:tc>
          <w:tcPr>
            <w:tcW w:w="708"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台</w:t>
            </w:r>
          </w:p>
        </w:tc>
        <w:tc>
          <w:tcPr>
            <w:tcW w:w="993"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Theme="minorEastAsia" w:hAnsiTheme="minorEastAsia" w:eastAsiaTheme="minorEastAsia" w:cstheme="minorEastAsia"/>
                <w:sz w:val="18"/>
                <w:szCs w:val="18"/>
              </w:rPr>
            </w:pPr>
            <w:r>
              <w:rPr>
                <w:rFonts w:hint="eastAsia" w:asciiTheme="minorEastAsia" w:hAnsiTheme="minorEastAsia" w:eastAsiaTheme="minorEastAsia" w:cstheme="minorEastAsia"/>
                <w:kern w:val="0"/>
                <w:sz w:val="18"/>
                <w:szCs w:val="18"/>
              </w:rPr>
              <w:t>1</w:t>
            </w:r>
          </w:p>
        </w:tc>
        <w:tc>
          <w:tcPr>
            <w:tcW w:w="1275"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衬四氟</w:t>
            </w:r>
          </w:p>
        </w:tc>
      </w:tr>
      <w:tr>
        <w:tblPrEx>
          <w:tblCellMar>
            <w:top w:w="0" w:type="dxa"/>
            <w:left w:w="108" w:type="dxa"/>
            <w:bottom w:w="0" w:type="dxa"/>
            <w:right w:w="108" w:type="dxa"/>
          </w:tblCellMar>
        </w:tblPrEx>
        <w:trPr>
          <w:trHeight w:val="480" w:hRule="atLeast"/>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106</w:t>
            </w:r>
          </w:p>
        </w:tc>
        <w:tc>
          <w:tcPr>
            <w:tcW w:w="2268" w:type="dxa"/>
            <w:tcBorders>
              <w:top w:val="nil"/>
              <w:left w:val="nil"/>
              <w:bottom w:val="single" w:color="auto" w:sz="4" w:space="0"/>
              <w:right w:val="single" w:color="auto" w:sz="4" w:space="0"/>
            </w:tcBorders>
            <w:shd w:val="clear" w:color="auto" w:fill="auto"/>
            <w:vAlign w:val="center"/>
          </w:tcPr>
          <w:p>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真空机组罗茨风机</w:t>
            </w:r>
          </w:p>
        </w:tc>
        <w:tc>
          <w:tcPr>
            <w:tcW w:w="2694" w:type="dxa"/>
            <w:tcBorders>
              <w:top w:val="nil"/>
              <w:left w:val="nil"/>
              <w:bottom w:val="single" w:color="auto" w:sz="4" w:space="0"/>
              <w:right w:val="single" w:color="auto" w:sz="4" w:space="0"/>
            </w:tcBorders>
            <w:shd w:val="clear" w:color="auto" w:fill="auto"/>
            <w:vAlign w:val="center"/>
          </w:tcPr>
          <w:p>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ZJ-300，4KW防爆电机</w:t>
            </w:r>
          </w:p>
        </w:tc>
        <w:tc>
          <w:tcPr>
            <w:tcW w:w="708"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台</w:t>
            </w:r>
          </w:p>
        </w:tc>
        <w:tc>
          <w:tcPr>
            <w:tcW w:w="993"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Theme="minorEastAsia" w:hAnsiTheme="minorEastAsia" w:eastAsiaTheme="minorEastAsia" w:cstheme="minorEastAsia"/>
                <w:sz w:val="18"/>
                <w:szCs w:val="18"/>
              </w:rPr>
            </w:pPr>
            <w:r>
              <w:rPr>
                <w:rFonts w:hint="eastAsia" w:asciiTheme="minorEastAsia" w:hAnsiTheme="minorEastAsia" w:eastAsiaTheme="minorEastAsia" w:cstheme="minorEastAsia"/>
                <w:kern w:val="0"/>
                <w:sz w:val="18"/>
                <w:szCs w:val="18"/>
              </w:rPr>
              <w:t>1</w:t>
            </w:r>
          </w:p>
        </w:tc>
        <w:tc>
          <w:tcPr>
            <w:tcW w:w="1275"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衬四氟</w:t>
            </w:r>
          </w:p>
        </w:tc>
      </w:tr>
      <w:tr>
        <w:tblPrEx>
          <w:tblCellMar>
            <w:top w:w="0" w:type="dxa"/>
            <w:left w:w="108" w:type="dxa"/>
            <w:bottom w:w="0" w:type="dxa"/>
            <w:right w:w="108" w:type="dxa"/>
          </w:tblCellMar>
        </w:tblPrEx>
        <w:trPr>
          <w:trHeight w:val="480" w:hRule="atLeast"/>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107</w:t>
            </w:r>
          </w:p>
        </w:tc>
        <w:tc>
          <w:tcPr>
            <w:tcW w:w="2268" w:type="dxa"/>
            <w:tcBorders>
              <w:top w:val="nil"/>
              <w:left w:val="nil"/>
              <w:bottom w:val="single" w:color="auto" w:sz="4" w:space="0"/>
              <w:right w:val="single" w:color="auto" w:sz="4" w:space="0"/>
            </w:tcBorders>
            <w:shd w:val="clear" w:color="auto" w:fill="auto"/>
            <w:vAlign w:val="center"/>
          </w:tcPr>
          <w:p>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仪表空气压缩机</w:t>
            </w:r>
          </w:p>
        </w:tc>
        <w:tc>
          <w:tcPr>
            <w:tcW w:w="2694" w:type="dxa"/>
            <w:tcBorders>
              <w:top w:val="nil"/>
              <w:left w:val="nil"/>
              <w:bottom w:val="single" w:color="auto" w:sz="4" w:space="0"/>
              <w:right w:val="single" w:color="auto" w:sz="4" w:space="0"/>
            </w:tcBorders>
            <w:shd w:val="clear" w:color="auto" w:fill="auto"/>
            <w:vAlign w:val="center"/>
          </w:tcPr>
          <w:p>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DAD-6HTF，6.5m3/min</w:t>
            </w:r>
          </w:p>
        </w:tc>
        <w:tc>
          <w:tcPr>
            <w:tcW w:w="708"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台</w:t>
            </w:r>
          </w:p>
        </w:tc>
        <w:tc>
          <w:tcPr>
            <w:tcW w:w="993"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Theme="minorEastAsia" w:hAnsiTheme="minorEastAsia" w:eastAsiaTheme="minorEastAsia" w:cstheme="minorEastAsia"/>
                <w:sz w:val="18"/>
                <w:szCs w:val="18"/>
              </w:rPr>
            </w:pPr>
            <w:r>
              <w:rPr>
                <w:rFonts w:hint="eastAsia" w:asciiTheme="minorEastAsia" w:hAnsiTheme="minorEastAsia" w:eastAsiaTheme="minorEastAsia" w:cstheme="minorEastAsia"/>
                <w:kern w:val="0"/>
                <w:sz w:val="18"/>
                <w:szCs w:val="18"/>
              </w:rPr>
              <w:t>1</w:t>
            </w:r>
          </w:p>
        </w:tc>
        <w:tc>
          <w:tcPr>
            <w:tcW w:w="1275"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碳钢</w:t>
            </w:r>
          </w:p>
        </w:tc>
      </w:tr>
      <w:tr>
        <w:tblPrEx>
          <w:tblCellMar>
            <w:top w:w="0" w:type="dxa"/>
            <w:left w:w="108" w:type="dxa"/>
            <w:bottom w:w="0" w:type="dxa"/>
            <w:right w:w="108" w:type="dxa"/>
          </w:tblCellMar>
        </w:tblPrEx>
        <w:trPr>
          <w:trHeight w:val="480" w:hRule="atLeast"/>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108</w:t>
            </w:r>
          </w:p>
        </w:tc>
        <w:tc>
          <w:tcPr>
            <w:tcW w:w="2268" w:type="dxa"/>
            <w:tcBorders>
              <w:top w:val="nil"/>
              <w:left w:val="nil"/>
              <w:bottom w:val="single" w:color="auto" w:sz="4" w:space="0"/>
              <w:right w:val="single" w:color="auto" w:sz="4" w:space="0"/>
            </w:tcBorders>
            <w:shd w:val="clear" w:color="auto" w:fill="auto"/>
            <w:vAlign w:val="center"/>
          </w:tcPr>
          <w:p>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尾气风机</w:t>
            </w:r>
          </w:p>
        </w:tc>
        <w:tc>
          <w:tcPr>
            <w:tcW w:w="2694" w:type="dxa"/>
            <w:tcBorders>
              <w:top w:val="nil"/>
              <w:left w:val="nil"/>
              <w:bottom w:val="single" w:color="auto" w:sz="4" w:space="0"/>
              <w:right w:val="single" w:color="auto" w:sz="4" w:space="0"/>
            </w:tcBorders>
            <w:shd w:val="clear" w:color="auto" w:fill="auto"/>
            <w:vAlign w:val="center"/>
          </w:tcPr>
          <w:p>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F4-72-3.2A，风量1688~3517m3/h，风压1300~800pa，2.2KW</w:t>
            </w:r>
          </w:p>
        </w:tc>
        <w:tc>
          <w:tcPr>
            <w:tcW w:w="708"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台</w:t>
            </w:r>
          </w:p>
        </w:tc>
        <w:tc>
          <w:tcPr>
            <w:tcW w:w="993"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Theme="minorEastAsia" w:hAnsiTheme="minorEastAsia" w:eastAsiaTheme="minorEastAsia" w:cstheme="minorEastAsia"/>
                <w:sz w:val="18"/>
                <w:szCs w:val="18"/>
              </w:rPr>
            </w:pPr>
            <w:r>
              <w:rPr>
                <w:rFonts w:hint="eastAsia" w:asciiTheme="minorEastAsia" w:hAnsiTheme="minorEastAsia" w:eastAsiaTheme="minorEastAsia" w:cstheme="minorEastAsia"/>
                <w:kern w:val="0"/>
                <w:sz w:val="18"/>
                <w:szCs w:val="18"/>
              </w:rPr>
              <w:t>2</w:t>
            </w:r>
          </w:p>
        </w:tc>
        <w:tc>
          <w:tcPr>
            <w:tcW w:w="1275"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PP</w:t>
            </w:r>
          </w:p>
        </w:tc>
      </w:tr>
      <w:tr>
        <w:tblPrEx>
          <w:tblCellMar>
            <w:top w:w="0" w:type="dxa"/>
            <w:left w:w="108" w:type="dxa"/>
            <w:bottom w:w="0" w:type="dxa"/>
            <w:right w:w="108" w:type="dxa"/>
          </w:tblCellMar>
        </w:tblPrEx>
        <w:trPr>
          <w:trHeight w:val="480" w:hRule="atLeast"/>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109</w:t>
            </w:r>
          </w:p>
        </w:tc>
        <w:tc>
          <w:tcPr>
            <w:tcW w:w="2268" w:type="dxa"/>
            <w:tcBorders>
              <w:top w:val="nil"/>
              <w:left w:val="nil"/>
              <w:bottom w:val="single" w:color="auto" w:sz="4" w:space="0"/>
              <w:right w:val="single" w:color="auto" w:sz="4" w:space="0"/>
            </w:tcBorders>
            <w:shd w:val="clear" w:color="auto" w:fill="auto"/>
            <w:vAlign w:val="center"/>
          </w:tcPr>
          <w:p>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循环水泵</w:t>
            </w:r>
          </w:p>
        </w:tc>
        <w:tc>
          <w:tcPr>
            <w:tcW w:w="2694" w:type="dxa"/>
            <w:tcBorders>
              <w:top w:val="nil"/>
              <w:left w:val="nil"/>
              <w:bottom w:val="single" w:color="auto" w:sz="4" w:space="0"/>
              <w:right w:val="single" w:color="auto" w:sz="4" w:space="0"/>
            </w:tcBorders>
            <w:shd w:val="clear" w:color="auto" w:fill="auto"/>
            <w:vAlign w:val="center"/>
          </w:tcPr>
          <w:p>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YE2-225S-4,流量187m3/h,扬程44m，37KW</w:t>
            </w:r>
          </w:p>
        </w:tc>
        <w:tc>
          <w:tcPr>
            <w:tcW w:w="708"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台</w:t>
            </w:r>
          </w:p>
        </w:tc>
        <w:tc>
          <w:tcPr>
            <w:tcW w:w="993"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Theme="minorEastAsia" w:hAnsiTheme="minorEastAsia" w:eastAsiaTheme="minorEastAsia" w:cstheme="minorEastAsia"/>
                <w:sz w:val="18"/>
                <w:szCs w:val="18"/>
              </w:rPr>
            </w:pPr>
            <w:r>
              <w:rPr>
                <w:rFonts w:hint="eastAsia" w:asciiTheme="minorEastAsia" w:hAnsiTheme="minorEastAsia" w:eastAsiaTheme="minorEastAsia" w:cstheme="minorEastAsia"/>
                <w:kern w:val="0"/>
                <w:sz w:val="18"/>
                <w:szCs w:val="18"/>
              </w:rPr>
              <w:t>1</w:t>
            </w:r>
          </w:p>
        </w:tc>
        <w:tc>
          <w:tcPr>
            <w:tcW w:w="1275"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CS</w:t>
            </w:r>
          </w:p>
        </w:tc>
      </w:tr>
      <w:tr>
        <w:tblPrEx>
          <w:tblCellMar>
            <w:top w:w="0" w:type="dxa"/>
            <w:left w:w="108" w:type="dxa"/>
            <w:bottom w:w="0" w:type="dxa"/>
            <w:right w:w="108" w:type="dxa"/>
          </w:tblCellMar>
        </w:tblPrEx>
        <w:trPr>
          <w:trHeight w:val="480" w:hRule="atLeast"/>
        </w:trPr>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110</w:t>
            </w:r>
          </w:p>
        </w:tc>
        <w:tc>
          <w:tcPr>
            <w:tcW w:w="226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分汽缸</w:t>
            </w:r>
          </w:p>
        </w:tc>
        <w:tc>
          <w:tcPr>
            <w:tcW w:w="2694" w:type="dxa"/>
            <w:tcBorders>
              <w:top w:val="nil"/>
              <w:left w:val="nil"/>
              <w:bottom w:val="single" w:color="auto" w:sz="4" w:space="0"/>
              <w:right w:val="single" w:color="auto" w:sz="4" w:space="0"/>
            </w:tcBorders>
            <w:shd w:val="clear" w:color="auto" w:fill="auto"/>
            <w:vAlign w:val="center"/>
          </w:tcPr>
          <w:p>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V=0.08m3</w:t>
            </w:r>
          </w:p>
        </w:tc>
        <w:tc>
          <w:tcPr>
            <w:tcW w:w="708"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台</w:t>
            </w:r>
          </w:p>
        </w:tc>
        <w:tc>
          <w:tcPr>
            <w:tcW w:w="993"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Theme="minorEastAsia" w:hAnsiTheme="minorEastAsia" w:eastAsiaTheme="minorEastAsia" w:cstheme="minorEastAsia"/>
                <w:sz w:val="18"/>
                <w:szCs w:val="18"/>
              </w:rPr>
            </w:pPr>
            <w:r>
              <w:rPr>
                <w:rFonts w:hint="eastAsia" w:asciiTheme="minorEastAsia" w:hAnsiTheme="minorEastAsia" w:eastAsiaTheme="minorEastAsia" w:cstheme="minorEastAsia"/>
                <w:kern w:val="0"/>
                <w:sz w:val="18"/>
                <w:szCs w:val="18"/>
              </w:rPr>
              <w:t>1</w:t>
            </w:r>
          </w:p>
        </w:tc>
        <w:tc>
          <w:tcPr>
            <w:tcW w:w="1275"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20#</w:t>
            </w:r>
          </w:p>
        </w:tc>
      </w:tr>
      <w:tr>
        <w:tblPrEx>
          <w:tblCellMar>
            <w:top w:w="0" w:type="dxa"/>
            <w:left w:w="108" w:type="dxa"/>
            <w:bottom w:w="0" w:type="dxa"/>
            <w:right w:w="108" w:type="dxa"/>
          </w:tblCellMar>
        </w:tblPrEx>
        <w:trPr>
          <w:trHeight w:val="480" w:hRule="atLeast"/>
        </w:trPr>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111</w:t>
            </w:r>
          </w:p>
        </w:tc>
        <w:tc>
          <w:tcPr>
            <w:tcW w:w="226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textAlignment w:val="top"/>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装车鹤管</w:t>
            </w:r>
          </w:p>
        </w:tc>
        <w:tc>
          <w:tcPr>
            <w:tcW w:w="2694" w:type="dxa"/>
            <w:tcBorders>
              <w:top w:val="nil"/>
              <w:left w:val="nil"/>
              <w:bottom w:val="single" w:color="auto" w:sz="4" w:space="0"/>
              <w:right w:val="single" w:color="auto" w:sz="4" w:space="0"/>
            </w:tcBorders>
            <w:shd w:val="clear" w:color="auto" w:fill="auto"/>
            <w:noWrap/>
            <w:vAlign w:val="center"/>
          </w:tcPr>
          <w:p>
            <w:pPr>
              <w:widowControl/>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DN50</w:t>
            </w:r>
          </w:p>
        </w:tc>
        <w:tc>
          <w:tcPr>
            <w:tcW w:w="708"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台</w:t>
            </w:r>
          </w:p>
        </w:tc>
        <w:tc>
          <w:tcPr>
            <w:tcW w:w="993"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Theme="minorEastAsia" w:hAnsiTheme="minorEastAsia" w:eastAsiaTheme="minorEastAsia" w:cstheme="minorEastAsia"/>
                <w:sz w:val="18"/>
                <w:szCs w:val="18"/>
              </w:rPr>
            </w:pPr>
            <w:r>
              <w:rPr>
                <w:rFonts w:hint="eastAsia" w:asciiTheme="minorEastAsia" w:hAnsiTheme="minorEastAsia" w:eastAsiaTheme="minorEastAsia" w:cstheme="minorEastAsia"/>
                <w:kern w:val="0"/>
                <w:sz w:val="18"/>
                <w:szCs w:val="18"/>
              </w:rPr>
              <w:t>2</w:t>
            </w:r>
          </w:p>
        </w:tc>
        <w:tc>
          <w:tcPr>
            <w:tcW w:w="12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衬四氟</w:t>
            </w:r>
          </w:p>
        </w:tc>
      </w:tr>
      <w:tr>
        <w:tblPrEx>
          <w:tblCellMar>
            <w:top w:w="0" w:type="dxa"/>
            <w:left w:w="108" w:type="dxa"/>
            <w:bottom w:w="0" w:type="dxa"/>
            <w:right w:w="108" w:type="dxa"/>
          </w:tblCellMar>
        </w:tblPrEx>
        <w:trPr>
          <w:trHeight w:val="480" w:hRule="atLeast"/>
        </w:trPr>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112</w:t>
            </w:r>
          </w:p>
        </w:tc>
        <w:tc>
          <w:tcPr>
            <w:tcW w:w="226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textAlignment w:val="top"/>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氢氧化钠溶液泵</w:t>
            </w:r>
          </w:p>
        </w:tc>
        <w:tc>
          <w:tcPr>
            <w:tcW w:w="2694" w:type="dxa"/>
            <w:tcBorders>
              <w:top w:val="nil"/>
              <w:left w:val="nil"/>
              <w:bottom w:val="nil"/>
              <w:right w:val="nil"/>
            </w:tcBorders>
            <w:shd w:val="clear" w:color="auto" w:fill="auto"/>
            <w:noWrap/>
            <w:vAlign w:val="center"/>
          </w:tcPr>
          <w:p>
            <w:pPr>
              <w:widowControl/>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IH40-25-125A</w:t>
            </w:r>
          </w:p>
        </w:tc>
        <w:tc>
          <w:tcPr>
            <w:tcW w:w="708" w:type="dxa"/>
            <w:tcBorders>
              <w:top w:val="nil"/>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台</w:t>
            </w:r>
          </w:p>
        </w:tc>
        <w:tc>
          <w:tcPr>
            <w:tcW w:w="993"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Theme="minorEastAsia" w:hAnsiTheme="minorEastAsia" w:eastAsiaTheme="minorEastAsia" w:cstheme="minorEastAsia"/>
                <w:sz w:val="18"/>
                <w:szCs w:val="18"/>
              </w:rPr>
            </w:pPr>
            <w:r>
              <w:rPr>
                <w:rFonts w:hint="eastAsia" w:asciiTheme="minorEastAsia" w:hAnsiTheme="minorEastAsia" w:eastAsiaTheme="minorEastAsia" w:cstheme="minorEastAsia"/>
                <w:kern w:val="0"/>
                <w:sz w:val="18"/>
                <w:szCs w:val="18"/>
              </w:rPr>
              <w:t>1</w:t>
            </w:r>
          </w:p>
        </w:tc>
        <w:tc>
          <w:tcPr>
            <w:tcW w:w="12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C.S</w:t>
            </w:r>
          </w:p>
        </w:tc>
      </w:tr>
      <w:tr>
        <w:tblPrEx>
          <w:tblCellMar>
            <w:top w:w="0" w:type="dxa"/>
            <w:left w:w="108" w:type="dxa"/>
            <w:bottom w:w="0" w:type="dxa"/>
            <w:right w:w="108" w:type="dxa"/>
          </w:tblCellMar>
        </w:tblPrEx>
        <w:trPr>
          <w:trHeight w:val="480" w:hRule="atLeast"/>
        </w:trPr>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113</w:t>
            </w:r>
          </w:p>
        </w:tc>
        <w:tc>
          <w:tcPr>
            <w:tcW w:w="2268" w:type="dxa"/>
            <w:tcBorders>
              <w:top w:val="single" w:color="auto" w:sz="4" w:space="0"/>
              <w:left w:val="nil"/>
              <w:bottom w:val="single" w:color="auto" w:sz="4" w:space="0"/>
              <w:right w:val="single" w:color="auto" w:sz="4" w:space="0"/>
            </w:tcBorders>
            <w:shd w:val="clear" w:color="auto" w:fill="auto"/>
            <w:noWrap/>
            <w:vAlign w:val="center"/>
          </w:tcPr>
          <w:p>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仪表风罐</w:t>
            </w:r>
          </w:p>
        </w:tc>
        <w:tc>
          <w:tcPr>
            <w:tcW w:w="2694" w:type="dxa"/>
            <w:tcBorders>
              <w:top w:val="single" w:color="auto" w:sz="4" w:space="0"/>
              <w:left w:val="nil"/>
              <w:bottom w:val="single" w:color="auto" w:sz="4" w:space="0"/>
              <w:right w:val="single" w:color="auto" w:sz="4" w:space="0"/>
            </w:tcBorders>
            <w:shd w:val="clear" w:color="auto" w:fill="auto"/>
            <w:vAlign w:val="center"/>
          </w:tcPr>
          <w:p>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V=30m³</w:t>
            </w:r>
          </w:p>
        </w:tc>
        <w:tc>
          <w:tcPr>
            <w:tcW w:w="708"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台</w:t>
            </w:r>
          </w:p>
        </w:tc>
        <w:tc>
          <w:tcPr>
            <w:tcW w:w="993"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Theme="minorEastAsia" w:hAnsiTheme="minorEastAsia" w:eastAsiaTheme="minorEastAsia" w:cstheme="minorEastAsia"/>
                <w:sz w:val="18"/>
                <w:szCs w:val="18"/>
              </w:rPr>
            </w:pPr>
            <w:r>
              <w:rPr>
                <w:rFonts w:hint="eastAsia" w:asciiTheme="minorEastAsia" w:hAnsiTheme="minorEastAsia" w:eastAsiaTheme="minorEastAsia" w:cstheme="minorEastAsia"/>
                <w:kern w:val="0"/>
                <w:sz w:val="18"/>
                <w:szCs w:val="18"/>
              </w:rPr>
              <w:t>1</w:t>
            </w:r>
          </w:p>
        </w:tc>
        <w:tc>
          <w:tcPr>
            <w:tcW w:w="12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C.S</w:t>
            </w:r>
          </w:p>
        </w:tc>
      </w:tr>
      <w:tr>
        <w:tblPrEx>
          <w:tblCellMar>
            <w:top w:w="0" w:type="dxa"/>
            <w:left w:w="108" w:type="dxa"/>
            <w:bottom w:w="0" w:type="dxa"/>
            <w:right w:w="108" w:type="dxa"/>
          </w:tblCellMar>
        </w:tblPrEx>
        <w:trPr>
          <w:trHeight w:val="441" w:hRule="atLeast"/>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114</w:t>
            </w:r>
          </w:p>
        </w:tc>
        <w:tc>
          <w:tcPr>
            <w:tcW w:w="2268" w:type="dxa"/>
            <w:tcBorders>
              <w:top w:val="nil"/>
              <w:left w:val="nil"/>
              <w:bottom w:val="single" w:color="auto" w:sz="4" w:space="0"/>
              <w:right w:val="single" w:color="auto" w:sz="4" w:space="0"/>
            </w:tcBorders>
            <w:shd w:val="clear" w:color="auto" w:fill="auto"/>
            <w:noWrap/>
            <w:vAlign w:val="center"/>
          </w:tcPr>
          <w:p>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氢氧化钠溶液罐</w:t>
            </w:r>
          </w:p>
        </w:tc>
        <w:tc>
          <w:tcPr>
            <w:tcW w:w="2694" w:type="dxa"/>
            <w:tcBorders>
              <w:top w:val="nil"/>
              <w:left w:val="nil"/>
              <w:bottom w:val="single" w:color="auto" w:sz="4" w:space="0"/>
              <w:right w:val="single" w:color="auto" w:sz="4" w:space="0"/>
            </w:tcBorders>
            <w:shd w:val="clear" w:color="auto" w:fill="auto"/>
            <w:noWrap/>
            <w:vAlign w:val="center"/>
          </w:tcPr>
          <w:p>
            <w:pPr>
              <w:widowControl/>
              <w:jc w:val="left"/>
              <w:textAlignment w:val="center"/>
              <w:rPr>
                <w:rFonts w:asciiTheme="minorEastAsia" w:hAnsiTheme="minorEastAsia" w:eastAsiaTheme="minorEastAsia" w:cstheme="minorEastAsia"/>
                <w:color w:val="000000"/>
                <w:sz w:val="18"/>
                <w:szCs w:val="18"/>
              </w:rPr>
            </w:pPr>
            <w:r>
              <w:rPr>
                <w:rStyle w:val="55"/>
                <w:rFonts w:hint="eastAsia" w:asciiTheme="minorEastAsia" w:hAnsiTheme="minorEastAsia" w:eastAsiaTheme="minorEastAsia" w:cstheme="minorEastAsia"/>
                <w:sz w:val="18"/>
                <w:szCs w:val="18"/>
              </w:rPr>
              <w:t>DN1800</w:t>
            </w:r>
            <w:r>
              <w:rPr>
                <w:rStyle w:val="56"/>
                <w:rFonts w:hint="default" w:asciiTheme="minorEastAsia" w:hAnsiTheme="minorEastAsia" w:eastAsiaTheme="minorEastAsia" w:cstheme="minorEastAsia"/>
                <w:sz w:val="18"/>
                <w:szCs w:val="18"/>
              </w:rPr>
              <w:t xml:space="preserve">× </w:t>
            </w:r>
            <w:r>
              <w:rPr>
                <w:rStyle w:val="55"/>
                <w:rFonts w:hint="eastAsia" w:asciiTheme="minorEastAsia" w:hAnsiTheme="minorEastAsia" w:eastAsiaTheme="minorEastAsia" w:cstheme="minorEastAsia"/>
                <w:sz w:val="18"/>
                <w:szCs w:val="18"/>
              </w:rPr>
              <w:t>4400</w:t>
            </w:r>
            <w:r>
              <w:rPr>
                <w:rStyle w:val="56"/>
                <w:rFonts w:hint="default" w:asciiTheme="minorEastAsia" w:hAnsiTheme="minorEastAsia" w:eastAsiaTheme="minorEastAsia" w:cstheme="minorEastAsia"/>
                <w:sz w:val="18"/>
                <w:szCs w:val="18"/>
              </w:rPr>
              <w:t>，</w:t>
            </w:r>
            <w:r>
              <w:rPr>
                <w:rStyle w:val="55"/>
                <w:rFonts w:hint="eastAsia" w:asciiTheme="minorEastAsia" w:hAnsiTheme="minorEastAsia" w:eastAsiaTheme="minorEastAsia" w:cstheme="minorEastAsia"/>
                <w:sz w:val="18"/>
                <w:szCs w:val="18"/>
              </w:rPr>
              <w:t>V=10m</w:t>
            </w:r>
            <w:r>
              <w:rPr>
                <w:rStyle w:val="56"/>
                <w:rFonts w:hint="default" w:asciiTheme="minorEastAsia" w:hAnsiTheme="minorEastAsia" w:eastAsiaTheme="minorEastAsia" w:cstheme="minorEastAsia"/>
                <w:sz w:val="18"/>
                <w:szCs w:val="18"/>
              </w:rPr>
              <w:t>³</w:t>
            </w:r>
          </w:p>
        </w:tc>
        <w:tc>
          <w:tcPr>
            <w:tcW w:w="708"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台</w:t>
            </w:r>
          </w:p>
        </w:tc>
        <w:tc>
          <w:tcPr>
            <w:tcW w:w="993"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Theme="minorEastAsia" w:hAnsiTheme="minorEastAsia" w:eastAsiaTheme="minorEastAsia" w:cstheme="minorEastAsia"/>
                <w:sz w:val="18"/>
                <w:szCs w:val="18"/>
              </w:rPr>
            </w:pPr>
            <w:r>
              <w:rPr>
                <w:rFonts w:hint="eastAsia" w:asciiTheme="minorEastAsia" w:hAnsiTheme="minorEastAsia" w:eastAsiaTheme="minorEastAsia" w:cstheme="minorEastAsia"/>
                <w:kern w:val="0"/>
                <w:sz w:val="18"/>
                <w:szCs w:val="18"/>
              </w:rPr>
              <w:t>1</w:t>
            </w:r>
          </w:p>
        </w:tc>
        <w:tc>
          <w:tcPr>
            <w:tcW w:w="12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C.S</w:t>
            </w:r>
          </w:p>
        </w:tc>
      </w:tr>
    </w:tbl>
    <w:p/>
    <w:p>
      <w:pPr>
        <w:spacing w:line="360" w:lineRule="auto"/>
        <w:ind w:firstLine="480" w:firstLineChars="200"/>
        <w:rPr>
          <w:rFonts w:hint="eastAsia" w:ascii="宋体" w:hAnsi="宋体"/>
          <w:sz w:val="24"/>
        </w:rPr>
      </w:pPr>
      <w:r>
        <w:rPr>
          <w:rFonts w:hint="eastAsia" w:ascii="宋体" w:hAnsi="宋体"/>
          <w:sz w:val="24"/>
        </w:rPr>
        <w:t>主要原辅材料如下表：</w:t>
      </w:r>
    </w:p>
    <w:tbl>
      <w:tblPr>
        <w:tblStyle w:val="2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52"/>
        <w:gridCol w:w="1200"/>
        <w:gridCol w:w="804"/>
        <w:gridCol w:w="760"/>
        <w:gridCol w:w="1211"/>
        <w:gridCol w:w="1157"/>
        <w:gridCol w:w="1361"/>
        <w:gridCol w:w="1310"/>
        <w:gridCol w:w="10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2" w:type="dxa"/>
            <w:vAlign w:val="center"/>
          </w:tcPr>
          <w:p>
            <w:pPr>
              <w:spacing w:line="240" w:lineRule="auto"/>
              <w:jc w:val="center"/>
              <w:rPr>
                <w:rFonts w:hint="eastAsia" w:ascii="宋体" w:hAnsi="宋体" w:eastAsia="宋体"/>
                <w:sz w:val="18"/>
                <w:szCs w:val="18"/>
                <w:vertAlign w:val="baseline"/>
                <w:lang w:eastAsia="zh-CN"/>
              </w:rPr>
            </w:pPr>
            <w:r>
              <w:rPr>
                <w:rFonts w:hint="eastAsia" w:ascii="宋体" w:hAnsi="宋体"/>
                <w:sz w:val="18"/>
                <w:szCs w:val="18"/>
                <w:vertAlign w:val="baseline"/>
                <w:lang w:eastAsia="zh-CN"/>
              </w:rPr>
              <w:t>序号</w:t>
            </w:r>
          </w:p>
        </w:tc>
        <w:tc>
          <w:tcPr>
            <w:tcW w:w="1200" w:type="dxa"/>
            <w:vAlign w:val="center"/>
          </w:tcPr>
          <w:p>
            <w:pPr>
              <w:spacing w:line="240" w:lineRule="auto"/>
              <w:jc w:val="center"/>
              <w:rPr>
                <w:rFonts w:hint="eastAsia" w:ascii="宋体" w:hAnsi="宋体" w:eastAsia="宋体"/>
                <w:sz w:val="18"/>
                <w:szCs w:val="18"/>
                <w:vertAlign w:val="baseline"/>
                <w:lang w:eastAsia="zh-CN"/>
              </w:rPr>
            </w:pPr>
            <w:r>
              <w:rPr>
                <w:rFonts w:hint="eastAsia" w:ascii="宋体" w:hAnsi="宋体"/>
                <w:sz w:val="18"/>
                <w:szCs w:val="18"/>
                <w:vertAlign w:val="baseline"/>
                <w:lang w:eastAsia="zh-CN"/>
              </w:rPr>
              <w:t>名称</w:t>
            </w:r>
          </w:p>
        </w:tc>
        <w:tc>
          <w:tcPr>
            <w:tcW w:w="804" w:type="dxa"/>
            <w:vAlign w:val="center"/>
          </w:tcPr>
          <w:p>
            <w:pPr>
              <w:spacing w:line="240" w:lineRule="auto"/>
              <w:jc w:val="center"/>
              <w:rPr>
                <w:rFonts w:hint="eastAsia" w:ascii="宋体" w:hAnsi="宋体" w:eastAsia="宋体"/>
                <w:sz w:val="18"/>
                <w:szCs w:val="18"/>
                <w:vertAlign w:val="baseline"/>
                <w:lang w:eastAsia="zh-CN"/>
              </w:rPr>
            </w:pPr>
            <w:r>
              <w:rPr>
                <w:rFonts w:hint="eastAsia" w:ascii="宋体" w:hAnsi="宋体"/>
                <w:sz w:val="18"/>
                <w:szCs w:val="18"/>
                <w:vertAlign w:val="baseline"/>
                <w:lang w:eastAsia="zh-CN"/>
              </w:rPr>
              <w:t>相态</w:t>
            </w:r>
          </w:p>
        </w:tc>
        <w:tc>
          <w:tcPr>
            <w:tcW w:w="760" w:type="dxa"/>
            <w:vAlign w:val="center"/>
          </w:tcPr>
          <w:p>
            <w:pPr>
              <w:spacing w:line="240" w:lineRule="auto"/>
              <w:jc w:val="center"/>
              <w:rPr>
                <w:rFonts w:hint="eastAsia" w:ascii="宋体" w:hAnsi="宋体" w:eastAsia="宋体"/>
                <w:sz w:val="18"/>
                <w:szCs w:val="18"/>
                <w:vertAlign w:val="baseline"/>
                <w:lang w:eastAsia="zh-CN"/>
              </w:rPr>
            </w:pPr>
            <w:r>
              <w:rPr>
                <w:rFonts w:hint="eastAsia" w:ascii="宋体" w:hAnsi="宋体"/>
                <w:sz w:val="18"/>
                <w:szCs w:val="18"/>
                <w:vertAlign w:val="baseline"/>
                <w:lang w:eastAsia="zh-CN"/>
              </w:rPr>
              <w:t>火灾类别</w:t>
            </w:r>
          </w:p>
        </w:tc>
        <w:tc>
          <w:tcPr>
            <w:tcW w:w="1211" w:type="dxa"/>
            <w:vAlign w:val="center"/>
          </w:tcPr>
          <w:p>
            <w:pPr>
              <w:spacing w:line="240" w:lineRule="auto"/>
              <w:jc w:val="center"/>
              <w:rPr>
                <w:rFonts w:hint="eastAsia" w:ascii="宋体" w:hAnsi="宋体" w:eastAsia="宋体"/>
                <w:sz w:val="18"/>
                <w:szCs w:val="18"/>
                <w:vertAlign w:val="baseline"/>
                <w:lang w:eastAsia="zh-CN"/>
              </w:rPr>
            </w:pPr>
            <w:r>
              <w:rPr>
                <w:rFonts w:hint="eastAsia" w:ascii="宋体" w:hAnsi="宋体"/>
                <w:sz w:val="18"/>
                <w:szCs w:val="18"/>
                <w:vertAlign w:val="baseline"/>
                <w:lang w:eastAsia="zh-CN"/>
              </w:rPr>
              <w:t>年消耗量（</w:t>
            </w:r>
            <w:r>
              <w:rPr>
                <w:rFonts w:hint="eastAsia" w:ascii="宋体" w:hAnsi="宋体"/>
                <w:sz w:val="18"/>
                <w:szCs w:val="18"/>
                <w:vertAlign w:val="baseline"/>
                <w:lang w:val="en-US" w:eastAsia="zh-CN"/>
              </w:rPr>
              <w:t>t</w:t>
            </w:r>
            <w:r>
              <w:rPr>
                <w:rFonts w:hint="eastAsia" w:ascii="宋体" w:hAnsi="宋体"/>
                <w:sz w:val="18"/>
                <w:szCs w:val="18"/>
                <w:vertAlign w:val="baseline"/>
                <w:lang w:eastAsia="zh-CN"/>
              </w:rPr>
              <w:t>）</w:t>
            </w:r>
          </w:p>
        </w:tc>
        <w:tc>
          <w:tcPr>
            <w:tcW w:w="1157" w:type="dxa"/>
            <w:vAlign w:val="center"/>
          </w:tcPr>
          <w:p>
            <w:pPr>
              <w:spacing w:line="240" w:lineRule="auto"/>
              <w:jc w:val="center"/>
              <w:rPr>
                <w:rFonts w:hint="eastAsia" w:ascii="宋体" w:hAnsi="宋体" w:eastAsia="宋体"/>
                <w:sz w:val="18"/>
                <w:szCs w:val="18"/>
                <w:vertAlign w:val="baseline"/>
                <w:lang w:eastAsia="zh-CN"/>
              </w:rPr>
            </w:pPr>
            <w:r>
              <w:rPr>
                <w:rFonts w:hint="eastAsia" w:ascii="宋体" w:hAnsi="宋体"/>
                <w:sz w:val="18"/>
                <w:szCs w:val="18"/>
                <w:vertAlign w:val="baseline"/>
                <w:lang w:eastAsia="zh-CN"/>
              </w:rPr>
              <w:t>最大储存量（</w:t>
            </w:r>
            <w:r>
              <w:rPr>
                <w:rFonts w:hint="eastAsia" w:ascii="宋体" w:hAnsi="宋体"/>
                <w:sz w:val="18"/>
                <w:szCs w:val="18"/>
                <w:vertAlign w:val="baseline"/>
                <w:lang w:val="en-US" w:eastAsia="zh-CN"/>
              </w:rPr>
              <w:t>t</w:t>
            </w:r>
            <w:r>
              <w:rPr>
                <w:rFonts w:hint="eastAsia" w:ascii="宋体" w:hAnsi="宋体"/>
                <w:sz w:val="18"/>
                <w:szCs w:val="18"/>
                <w:vertAlign w:val="baseline"/>
                <w:lang w:eastAsia="zh-CN"/>
              </w:rPr>
              <w:t>）</w:t>
            </w:r>
          </w:p>
        </w:tc>
        <w:tc>
          <w:tcPr>
            <w:tcW w:w="1361" w:type="dxa"/>
            <w:vAlign w:val="center"/>
          </w:tcPr>
          <w:p>
            <w:pPr>
              <w:spacing w:line="240" w:lineRule="auto"/>
              <w:jc w:val="center"/>
              <w:rPr>
                <w:rFonts w:hint="eastAsia" w:ascii="宋体" w:hAnsi="宋体" w:eastAsia="宋体"/>
                <w:sz w:val="18"/>
                <w:szCs w:val="18"/>
                <w:vertAlign w:val="baseline"/>
                <w:lang w:eastAsia="zh-CN"/>
              </w:rPr>
            </w:pPr>
            <w:r>
              <w:rPr>
                <w:rFonts w:hint="eastAsia" w:ascii="宋体" w:hAnsi="宋体"/>
                <w:sz w:val="18"/>
                <w:szCs w:val="18"/>
                <w:vertAlign w:val="baseline"/>
                <w:lang w:eastAsia="zh-CN"/>
              </w:rPr>
              <w:t>包装方式</w:t>
            </w:r>
          </w:p>
        </w:tc>
        <w:tc>
          <w:tcPr>
            <w:tcW w:w="1310" w:type="dxa"/>
            <w:vAlign w:val="center"/>
          </w:tcPr>
          <w:p>
            <w:pPr>
              <w:spacing w:line="240" w:lineRule="auto"/>
              <w:jc w:val="center"/>
              <w:rPr>
                <w:rFonts w:hint="eastAsia" w:ascii="宋体" w:hAnsi="宋体" w:eastAsia="宋体"/>
                <w:sz w:val="18"/>
                <w:szCs w:val="18"/>
                <w:vertAlign w:val="baseline"/>
                <w:lang w:eastAsia="zh-CN"/>
              </w:rPr>
            </w:pPr>
            <w:r>
              <w:rPr>
                <w:rFonts w:hint="eastAsia" w:ascii="宋体" w:hAnsi="宋体"/>
                <w:sz w:val="18"/>
                <w:szCs w:val="18"/>
                <w:vertAlign w:val="baseline"/>
                <w:lang w:eastAsia="zh-CN"/>
              </w:rPr>
              <w:t>储存地点</w:t>
            </w:r>
          </w:p>
        </w:tc>
        <w:tc>
          <w:tcPr>
            <w:tcW w:w="1045" w:type="dxa"/>
            <w:vAlign w:val="center"/>
          </w:tcPr>
          <w:p>
            <w:pPr>
              <w:spacing w:line="240" w:lineRule="auto"/>
              <w:jc w:val="center"/>
              <w:rPr>
                <w:rFonts w:hint="eastAsia" w:ascii="宋体" w:hAnsi="宋体" w:eastAsia="宋体"/>
                <w:sz w:val="18"/>
                <w:szCs w:val="18"/>
                <w:vertAlign w:val="baseline"/>
                <w:lang w:eastAsia="zh-CN"/>
              </w:rPr>
            </w:pPr>
            <w:r>
              <w:rPr>
                <w:rFonts w:hint="eastAsia" w:ascii="宋体" w:hAnsi="宋体"/>
                <w:sz w:val="18"/>
                <w:szCs w:val="18"/>
                <w:vertAlign w:val="baseline"/>
                <w:lang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2" w:type="dxa"/>
          </w:tcPr>
          <w:p>
            <w:pPr>
              <w:spacing w:line="360" w:lineRule="auto"/>
              <w:jc w:val="center"/>
              <w:rPr>
                <w:rFonts w:hint="eastAsia" w:ascii="宋体" w:hAnsi="宋体" w:eastAsia="宋体"/>
                <w:sz w:val="18"/>
                <w:szCs w:val="18"/>
                <w:vertAlign w:val="baseline"/>
                <w:lang w:val="en-US" w:eastAsia="zh-CN"/>
              </w:rPr>
            </w:pPr>
            <w:r>
              <w:rPr>
                <w:rFonts w:hint="eastAsia" w:ascii="宋体" w:hAnsi="宋体"/>
                <w:sz w:val="18"/>
                <w:szCs w:val="18"/>
                <w:vertAlign w:val="baseline"/>
                <w:lang w:val="en-US" w:eastAsia="zh-CN"/>
              </w:rPr>
              <w:t>1</w:t>
            </w:r>
          </w:p>
        </w:tc>
        <w:tc>
          <w:tcPr>
            <w:tcW w:w="1200" w:type="dxa"/>
          </w:tcPr>
          <w:p>
            <w:pPr>
              <w:spacing w:line="360" w:lineRule="auto"/>
              <w:jc w:val="center"/>
              <w:rPr>
                <w:rFonts w:hint="eastAsia" w:ascii="宋体" w:hAnsi="宋体" w:eastAsia="宋体"/>
                <w:sz w:val="18"/>
                <w:szCs w:val="18"/>
                <w:vertAlign w:val="baseline"/>
                <w:lang w:eastAsia="zh-CN"/>
              </w:rPr>
            </w:pPr>
            <w:r>
              <w:rPr>
                <w:rFonts w:hint="eastAsia" w:ascii="宋体" w:hAnsi="宋体"/>
                <w:sz w:val="18"/>
                <w:szCs w:val="18"/>
                <w:vertAlign w:val="baseline"/>
                <w:lang w:eastAsia="zh-CN"/>
              </w:rPr>
              <w:t>液氨</w:t>
            </w:r>
          </w:p>
        </w:tc>
        <w:tc>
          <w:tcPr>
            <w:tcW w:w="804" w:type="dxa"/>
          </w:tcPr>
          <w:p>
            <w:pPr>
              <w:spacing w:line="360" w:lineRule="auto"/>
              <w:jc w:val="center"/>
              <w:rPr>
                <w:rFonts w:hint="eastAsia" w:ascii="宋体" w:hAnsi="宋体" w:eastAsia="宋体"/>
                <w:sz w:val="18"/>
                <w:szCs w:val="18"/>
                <w:vertAlign w:val="baseline"/>
                <w:lang w:eastAsia="zh-CN"/>
              </w:rPr>
            </w:pPr>
            <w:r>
              <w:rPr>
                <w:rFonts w:hint="eastAsia" w:ascii="宋体" w:hAnsi="宋体"/>
                <w:sz w:val="18"/>
                <w:szCs w:val="18"/>
                <w:vertAlign w:val="baseline"/>
                <w:lang w:eastAsia="zh-CN"/>
              </w:rPr>
              <w:t>液</w:t>
            </w:r>
          </w:p>
        </w:tc>
        <w:tc>
          <w:tcPr>
            <w:tcW w:w="760" w:type="dxa"/>
          </w:tcPr>
          <w:p>
            <w:pPr>
              <w:spacing w:line="360" w:lineRule="auto"/>
              <w:jc w:val="center"/>
              <w:rPr>
                <w:rFonts w:hint="eastAsia" w:ascii="宋体" w:hAnsi="宋体" w:eastAsia="宋体"/>
                <w:sz w:val="18"/>
                <w:szCs w:val="18"/>
                <w:vertAlign w:val="baseline"/>
                <w:lang w:eastAsia="zh-CN"/>
              </w:rPr>
            </w:pPr>
            <w:r>
              <w:rPr>
                <w:rFonts w:hint="eastAsia" w:ascii="宋体" w:hAnsi="宋体"/>
                <w:sz w:val="18"/>
                <w:szCs w:val="18"/>
                <w:vertAlign w:val="baseline"/>
                <w:lang w:eastAsia="zh-CN"/>
              </w:rPr>
              <w:t>乙</w:t>
            </w:r>
          </w:p>
        </w:tc>
        <w:tc>
          <w:tcPr>
            <w:tcW w:w="1211" w:type="dxa"/>
          </w:tcPr>
          <w:p>
            <w:pPr>
              <w:spacing w:line="360" w:lineRule="auto"/>
              <w:jc w:val="center"/>
              <w:rPr>
                <w:rFonts w:hint="eastAsia" w:ascii="宋体" w:hAnsi="宋体"/>
                <w:sz w:val="18"/>
                <w:szCs w:val="18"/>
                <w:vertAlign w:val="baseline"/>
              </w:rPr>
            </w:pPr>
          </w:p>
        </w:tc>
        <w:tc>
          <w:tcPr>
            <w:tcW w:w="1157" w:type="dxa"/>
          </w:tcPr>
          <w:p>
            <w:pPr>
              <w:spacing w:line="360" w:lineRule="auto"/>
              <w:jc w:val="center"/>
              <w:rPr>
                <w:rFonts w:hint="default" w:ascii="宋体" w:hAnsi="宋体" w:eastAsia="宋体"/>
                <w:sz w:val="18"/>
                <w:szCs w:val="18"/>
                <w:vertAlign w:val="baseline"/>
                <w:lang w:val="en-US" w:eastAsia="zh-CN"/>
              </w:rPr>
            </w:pPr>
            <w:r>
              <w:rPr>
                <w:rFonts w:hint="eastAsia" w:ascii="宋体" w:hAnsi="宋体"/>
                <w:sz w:val="18"/>
                <w:szCs w:val="18"/>
                <w:vertAlign w:val="baseline"/>
                <w:lang w:val="en-US" w:eastAsia="zh-CN"/>
              </w:rPr>
              <w:t>16</w:t>
            </w:r>
          </w:p>
        </w:tc>
        <w:tc>
          <w:tcPr>
            <w:tcW w:w="1361" w:type="dxa"/>
          </w:tcPr>
          <w:p>
            <w:pPr>
              <w:spacing w:line="360" w:lineRule="auto"/>
              <w:jc w:val="center"/>
              <w:rPr>
                <w:rFonts w:hint="default" w:ascii="宋体" w:hAnsi="宋体" w:eastAsia="宋体"/>
                <w:sz w:val="18"/>
                <w:szCs w:val="18"/>
                <w:vertAlign w:val="baseline"/>
                <w:lang w:val="en-US" w:eastAsia="zh-CN"/>
              </w:rPr>
            </w:pPr>
            <w:r>
              <w:rPr>
                <w:rFonts w:hint="eastAsia" w:ascii="宋体" w:hAnsi="宋体"/>
                <w:sz w:val="18"/>
                <w:szCs w:val="18"/>
                <w:vertAlign w:val="baseline"/>
                <w:lang w:val="en-US" w:eastAsia="zh-CN"/>
              </w:rPr>
              <w:t>800L钢瓶</w:t>
            </w:r>
          </w:p>
        </w:tc>
        <w:tc>
          <w:tcPr>
            <w:tcW w:w="1310" w:type="dxa"/>
          </w:tcPr>
          <w:p>
            <w:pPr>
              <w:spacing w:line="360" w:lineRule="auto"/>
              <w:jc w:val="center"/>
              <w:rPr>
                <w:rFonts w:hint="eastAsia" w:ascii="宋体" w:hAnsi="宋体" w:eastAsia="宋体"/>
                <w:sz w:val="18"/>
                <w:szCs w:val="18"/>
                <w:vertAlign w:val="baseline"/>
                <w:lang w:eastAsia="zh-CN"/>
              </w:rPr>
            </w:pPr>
            <w:r>
              <w:rPr>
                <w:rFonts w:hint="eastAsia" w:ascii="宋体" w:hAnsi="宋体"/>
                <w:sz w:val="18"/>
                <w:szCs w:val="18"/>
                <w:vertAlign w:val="baseline"/>
                <w:lang w:eastAsia="zh-CN"/>
              </w:rPr>
              <w:t>液氯库</w:t>
            </w:r>
          </w:p>
        </w:tc>
        <w:tc>
          <w:tcPr>
            <w:tcW w:w="1045" w:type="dxa"/>
          </w:tcPr>
          <w:p>
            <w:pPr>
              <w:spacing w:line="360" w:lineRule="auto"/>
              <w:jc w:val="center"/>
              <w:rPr>
                <w:rFonts w:hint="eastAsia" w:ascii="宋体" w:hAnsi="宋体" w:eastAsia="宋体"/>
                <w:sz w:val="18"/>
                <w:szCs w:val="18"/>
                <w:vertAlign w:val="baseline"/>
                <w:lang w:eastAsia="zh-CN"/>
              </w:rPr>
            </w:pPr>
            <w:r>
              <w:rPr>
                <w:rFonts w:hint="eastAsia" w:ascii="宋体" w:hAnsi="宋体"/>
                <w:sz w:val="18"/>
                <w:szCs w:val="18"/>
                <w:vertAlign w:val="baseline"/>
                <w:lang w:eastAsia="zh-CN"/>
              </w:rPr>
              <w:t>原料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2" w:type="dxa"/>
          </w:tcPr>
          <w:p>
            <w:pPr>
              <w:spacing w:line="360" w:lineRule="auto"/>
              <w:jc w:val="center"/>
              <w:rPr>
                <w:rFonts w:hint="eastAsia" w:ascii="宋体" w:hAnsi="宋体" w:eastAsia="宋体"/>
                <w:sz w:val="18"/>
                <w:szCs w:val="18"/>
                <w:vertAlign w:val="baseline"/>
                <w:lang w:val="en-US" w:eastAsia="zh-CN"/>
              </w:rPr>
            </w:pPr>
            <w:r>
              <w:rPr>
                <w:rFonts w:hint="eastAsia" w:ascii="宋体" w:hAnsi="宋体"/>
                <w:sz w:val="18"/>
                <w:szCs w:val="18"/>
                <w:vertAlign w:val="baseline"/>
                <w:lang w:val="en-US" w:eastAsia="zh-CN"/>
              </w:rPr>
              <w:t>2</w:t>
            </w:r>
          </w:p>
        </w:tc>
        <w:tc>
          <w:tcPr>
            <w:tcW w:w="1200" w:type="dxa"/>
          </w:tcPr>
          <w:p>
            <w:pPr>
              <w:spacing w:line="360" w:lineRule="auto"/>
              <w:jc w:val="center"/>
              <w:rPr>
                <w:rFonts w:hint="eastAsia" w:ascii="宋体" w:hAnsi="宋体" w:eastAsia="宋体"/>
                <w:sz w:val="18"/>
                <w:szCs w:val="18"/>
                <w:vertAlign w:val="baseline"/>
                <w:lang w:eastAsia="zh-CN"/>
              </w:rPr>
            </w:pPr>
            <w:r>
              <w:rPr>
                <w:rFonts w:hint="eastAsia" w:ascii="宋体" w:hAnsi="宋体"/>
                <w:sz w:val="18"/>
                <w:szCs w:val="18"/>
                <w:vertAlign w:val="baseline"/>
                <w:lang w:eastAsia="zh-CN"/>
              </w:rPr>
              <w:t>邻氯甲苯</w:t>
            </w:r>
          </w:p>
        </w:tc>
        <w:tc>
          <w:tcPr>
            <w:tcW w:w="804" w:type="dxa"/>
          </w:tcPr>
          <w:p>
            <w:pPr>
              <w:spacing w:line="360" w:lineRule="auto"/>
              <w:jc w:val="center"/>
              <w:rPr>
                <w:rFonts w:hint="eastAsia" w:ascii="宋体" w:hAnsi="宋体" w:eastAsia="宋体"/>
                <w:sz w:val="18"/>
                <w:szCs w:val="18"/>
                <w:vertAlign w:val="baseline"/>
                <w:lang w:eastAsia="zh-CN"/>
              </w:rPr>
            </w:pPr>
            <w:r>
              <w:rPr>
                <w:rFonts w:hint="eastAsia" w:ascii="宋体" w:hAnsi="宋体"/>
                <w:sz w:val="18"/>
                <w:szCs w:val="18"/>
                <w:vertAlign w:val="baseline"/>
                <w:lang w:eastAsia="zh-CN"/>
              </w:rPr>
              <w:t>液</w:t>
            </w:r>
          </w:p>
        </w:tc>
        <w:tc>
          <w:tcPr>
            <w:tcW w:w="760" w:type="dxa"/>
          </w:tcPr>
          <w:p>
            <w:pPr>
              <w:spacing w:line="360" w:lineRule="auto"/>
              <w:jc w:val="center"/>
              <w:rPr>
                <w:rFonts w:hint="eastAsia" w:ascii="宋体" w:hAnsi="宋体"/>
                <w:sz w:val="18"/>
                <w:szCs w:val="18"/>
                <w:vertAlign w:val="baseline"/>
              </w:rPr>
            </w:pPr>
            <w:r>
              <w:rPr>
                <w:rFonts w:hint="eastAsia" w:ascii="宋体" w:hAnsi="宋体"/>
                <w:sz w:val="18"/>
                <w:szCs w:val="18"/>
                <w:vertAlign w:val="baseline"/>
                <w:lang w:eastAsia="zh-CN"/>
              </w:rPr>
              <w:t>乙</w:t>
            </w:r>
          </w:p>
        </w:tc>
        <w:tc>
          <w:tcPr>
            <w:tcW w:w="1211" w:type="dxa"/>
          </w:tcPr>
          <w:p>
            <w:pPr>
              <w:spacing w:line="360" w:lineRule="auto"/>
              <w:jc w:val="center"/>
              <w:rPr>
                <w:rFonts w:hint="eastAsia" w:ascii="宋体" w:hAnsi="宋体"/>
                <w:sz w:val="18"/>
                <w:szCs w:val="18"/>
                <w:vertAlign w:val="baseline"/>
              </w:rPr>
            </w:pPr>
          </w:p>
        </w:tc>
        <w:tc>
          <w:tcPr>
            <w:tcW w:w="1157" w:type="dxa"/>
          </w:tcPr>
          <w:p>
            <w:pPr>
              <w:spacing w:line="360" w:lineRule="auto"/>
              <w:jc w:val="center"/>
              <w:rPr>
                <w:rFonts w:hint="default" w:ascii="宋体" w:hAnsi="宋体" w:eastAsia="宋体"/>
                <w:sz w:val="18"/>
                <w:szCs w:val="18"/>
                <w:vertAlign w:val="baseline"/>
                <w:lang w:val="en-US" w:eastAsia="zh-CN"/>
              </w:rPr>
            </w:pPr>
            <w:r>
              <w:rPr>
                <w:rFonts w:hint="eastAsia" w:ascii="宋体" w:hAnsi="宋体"/>
                <w:sz w:val="18"/>
                <w:szCs w:val="18"/>
                <w:vertAlign w:val="baseline"/>
                <w:lang w:val="en-US" w:eastAsia="zh-CN"/>
              </w:rPr>
              <w:t>65</w:t>
            </w:r>
          </w:p>
        </w:tc>
        <w:tc>
          <w:tcPr>
            <w:tcW w:w="1361" w:type="dxa"/>
          </w:tcPr>
          <w:p>
            <w:pPr>
              <w:spacing w:line="360" w:lineRule="auto"/>
              <w:jc w:val="center"/>
              <w:rPr>
                <w:rFonts w:hint="default" w:ascii="宋体" w:hAnsi="宋体" w:eastAsia="宋体"/>
                <w:sz w:val="18"/>
                <w:szCs w:val="18"/>
                <w:vertAlign w:val="baseline"/>
                <w:lang w:val="en-US" w:eastAsia="zh-CN"/>
              </w:rPr>
            </w:pPr>
            <w:r>
              <w:rPr>
                <w:rFonts w:hint="eastAsia" w:ascii="宋体" w:hAnsi="宋体"/>
                <w:sz w:val="18"/>
                <w:szCs w:val="18"/>
                <w:vertAlign w:val="baseline"/>
                <w:lang w:val="en-US" w:eastAsia="zh-CN"/>
              </w:rPr>
              <w:t>75m³储罐</w:t>
            </w:r>
          </w:p>
        </w:tc>
        <w:tc>
          <w:tcPr>
            <w:tcW w:w="1310" w:type="dxa"/>
          </w:tcPr>
          <w:p>
            <w:pPr>
              <w:spacing w:line="240" w:lineRule="auto"/>
              <w:jc w:val="center"/>
              <w:rPr>
                <w:rFonts w:hint="eastAsia" w:ascii="宋体" w:hAnsi="宋体" w:eastAsia="宋体"/>
                <w:sz w:val="18"/>
                <w:szCs w:val="18"/>
                <w:vertAlign w:val="baseline"/>
                <w:lang w:eastAsia="zh-CN"/>
              </w:rPr>
            </w:pPr>
            <w:r>
              <w:rPr>
                <w:rFonts w:hint="eastAsia" w:ascii="宋体" w:hAnsi="宋体"/>
                <w:sz w:val="18"/>
                <w:szCs w:val="18"/>
                <w:vertAlign w:val="baseline"/>
                <w:lang w:eastAsia="zh-CN"/>
              </w:rPr>
              <w:t>邻氯甲苯罐区</w:t>
            </w:r>
          </w:p>
        </w:tc>
        <w:tc>
          <w:tcPr>
            <w:tcW w:w="1045" w:type="dxa"/>
          </w:tcPr>
          <w:p>
            <w:pPr>
              <w:spacing w:line="360" w:lineRule="auto"/>
              <w:jc w:val="center"/>
              <w:rPr>
                <w:rFonts w:hint="eastAsia" w:ascii="宋体" w:hAnsi="宋体" w:eastAsia="宋体"/>
                <w:sz w:val="18"/>
                <w:szCs w:val="18"/>
                <w:vertAlign w:val="baseline"/>
                <w:lang w:eastAsia="zh-CN"/>
              </w:rPr>
            </w:pPr>
            <w:r>
              <w:rPr>
                <w:rFonts w:hint="eastAsia" w:ascii="宋体" w:hAnsi="宋体"/>
                <w:sz w:val="18"/>
                <w:szCs w:val="18"/>
                <w:vertAlign w:val="baseline"/>
                <w:lang w:eastAsia="zh-CN"/>
              </w:rPr>
              <w:t>原料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2" w:type="dxa"/>
          </w:tcPr>
          <w:p>
            <w:pPr>
              <w:spacing w:line="360" w:lineRule="auto"/>
              <w:jc w:val="center"/>
              <w:rPr>
                <w:rFonts w:hint="eastAsia" w:ascii="宋体" w:hAnsi="宋体" w:eastAsia="宋体"/>
                <w:sz w:val="18"/>
                <w:szCs w:val="18"/>
                <w:vertAlign w:val="baseline"/>
                <w:lang w:val="en-US" w:eastAsia="zh-CN"/>
              </w:rPr>
            </w:pPr>
            <w:r>
              <w:rPr>
                <w:rFonts w:hint="eastAsia" w:ascii="宋体" w:hAnsi="宋体"/>
                <w:sz w:val="18"/>
                <w:szCs w:val="18"/>
                <w:vertAlign w:val="baseline"/>
                <w:lang w:val="en-US" w:eastAsia="zh-CN"/>
              </w:rPr>
              <w:t>3</w:t>
            </w:r>
          </w:p>
        </w:tc>
        <w:tc>
          <w:tcPr>
            <w:tcW w:w="1200" w:type="dxa"/>
          </w:tcPr>
          <w:p>
            <w:pPr>
              <w:spacing w:line="360" w:lineRule="auto"/>
              <w:jc w:val="center"/>
              <w:rPr>
                <w:rFonts w:hint="eastAsia" w:ascii="宋体" w:hAnsi="宋体" w:eastAsia="宋体"/>
                <w:sz w:val="18"/>
                <w:szCs w:val="18"/>
                <w:vertAlign w:val="baseline"/>
                <w:lang w:eastAsia="zh-CN"/>
              </w:rPr>
            </w:pPr>
            <w:r>
              <w:rPr>
                <w:rFonts w:hint="eastAsia" w:ascii="宋体" w:hAnsi="宋体"/>
                <w:sz w:val="18"/>
                <w:szCs w:val="18"/>
                <w:vertAlign w:val="baseline"/>
                <w:lang w:eastAsia="zh-CN"/>
              </w:rPr>
              <w:t>氯化铵</w:t>
            </w:r>
          </w:p>
        </w:tc>
        <w:tc>
          <w:tcPr>
            <w:tcW w:w="804" w:type="dxa"/>
          </w:tcPr>
          <w:p>
            <w:pPr>
              <w:spacing w:line="360" w:lineRule="auto"/>
              <w:jc w:val="center"/>
              <w:rPr>
                <w:rFonts w:hint="eastAsia" w:ascii="宋体" w:hAnsi="宋体" w:eastAsia="宋体"/>
                <w:sz w:val="18"/>
                <w:szCs w:val="18"/>
                <w:vertAlign w:val="baseline"/>
                <w:lang w:eastAsia="zh-CN"/>
              </w:rPr>
            </w:pPr>
            <w:r>
              <w:rPr>
                <w:rFonts w:hint="eastAsia" w:ascii="宋体" w:hAnsi="宋体"/>
                <w:sz w:val="18"/>
                <w:szCs w:val="18"/>
                <w:vertAlign w:val="baseline"/>
                <w:lang w:eastAsia="zh-CN"/>
              </w:rPr>
              <w:t>固</w:t>
            </w:r>
          </w:p>
        </w:tc>
        <w:tc>
          <w:tcPr>
            <w:tcW w:w="760" w:type="dxa"/>
          </w:tcPr>
          <w:p>
            <w:pPr>
              <w:spacing w:line="360" w:lineRule="auto"/>
              <w:jc w:val="center"/>
              <w:rPr>
                <w:rFonts w:hint="eastAsia" w:ascii="宋体" w:hAnsi="宋体" w:eastAsia="宋体"/>
                <w:sz w:val="18"/>
                <w:szCs w:val="18"/>
                <w:vertAlign w:val="baseline"/>
                <w:lang w:eastAsia="zh-CN"/>
              </w:rPr>
            </w:pPr>
            <w:r>
              <w:rPr>
                <w:rFonts w:hint="eastAsia" w:ascii="宋体" w:hAnsi="宋体"/>
                <w:sz w:val="18"/>
                <w:szCs w:val="18"/>
                <w:vertAlign w:val="baseline"/>
                <w:lang w:eastAsia="zh-CN"/>
              </w:rPr>
              <w:t>戊</w:t>
            </w:r>
          </w:p>
        </w:tc>
        <w:tc>
          <w:tcPr>
            <w:tcW w:w="1211" w:type="dxa"/>
          </w:tcPr>
          <w:p>
            <w:pPr>
              <w:spacing w:line="360" w:lineRule="auto"/>
              <w:jc w:val="center"/>
              <w:rPr>
                <w:rFonts w:hint="eastAsia" w:ascii="宋体" w:hAnsi="宋体"/>
                <w:sz w:val="18"/>
                <w:szCs w:val="18"/>
                <w:vertAlign w:val="baseline"/>
              </w:rPr>
            </w:pPr>
          </w:p>
        </w:tc>
        <w:tc>
          <w:tcPr>
            <w:tcW w:w="1157" w:type="dxa"/>
          </w:tcPr>
          <w:p>
            <w:pPr>
              <w:spacing w:line="360" w:lineRule="auto"/>
              <w:jc w:val="center"/>
              <w:rPr>
                <w:rFonts w:hint="default" w:ascii="宋体" w:hAnsi="宋体" w:eastAsia="宋体"/>
                <w:sz w:val="18"/>
                <w:szCs w:val="18"/>
                <w:vertAlign w:val="baseline"/>
                <w:lang w:val="en-US" w:eastAsia="zh-CN"/>
              </w:rPr>
            </w:pPr>
            <w:r>
              <w:rPr>
                <w:rFonts w:hint="eastAsia" w:ascii="宋体" w:hAnsi="宋体"/>
                <w:sz w:val="18"/>
                <w:szCs w:val="18"/>
                <w:vertAlign w:val="baseline"/>
                <w:lang w:val="en-US" w:eastAsia="zh-CN"/>
              </w:rPr>
              <w:t>28</w:t>
            </w:r>
          </w:p>
        </w:tc>
        <w:tc>
          <w:tcPr>
            <w:tcW w:w="1361" w:type="dxa"/>
          </w:tcPr>
          <w:p>
            <w:pPr>
              <w:spacing w:line="360" w:lineRule="auto"/>
              <w:jc w:val="center"/>
              <w:rPr>
                <w:rFonts w:hint="eastAsia" w:ascii="宋体" w:hAnsi="宋体" w:eastAsia="宋体"/>
                <w:sz w:val="18"/>
                <w:szCs w:val="18"/>
                <w:vertAlign w:val="baseline"/>
                <w:lang w:eastAsia="zh-CN"/>
              </w:rPr>
            </w:pPr>
            <w:r>
              <w:rPr>
                <w:rFonts w:hint="eastAsia" w:ascii="宋体" w:hAnsi="宋体"/>
                <w:sz w:val="18"/>
                <w:szCs w:val="18"/>
                <w:vertAlign w:val="baseline"/>
                <w:lang w:eastAsia="zh-CN"/>
              </w:rPr>
              <w:t>袋装</w:t>
            </w:r>
          </w:p>
        </w:tc>
        <w:tc>
          <w:tcPr>
            <w:tcW w:w="1310" w:type="dxa"/>
          </w:tcPr>
          <w:p>
            <w:pPr>
              <w:spacing w:line="360" w:lineRule="auto"/>
              <w:jc w:val="center"/>
              <w:rPr>
                <w:rFonts w:hint="eastAsia" w:ascii="宋体" w:hAnsi="宋体" w:eastAsia="宋体"/>
                <w:sz w:val="18"/>
                <w:szCs w:val="18"/>
                <w:vertAlign w:val="baseline"/>
                <w:lang w:eastAsia="zh-CN"/>
              </w:rPr>
            </w:pPr>
            <w:r>
              <w:rPr>
                <w:rFonts w:hint="eastAsia" w:ascii="宋体" w:hAnsi="宋体"/>
                <w:sz w:val="18"/>
                <w:szCs w:val="18"/>
                <w:vertAlign w:val="baseline"/>
                <w:lang w:eastAsia="zh-CN"/>
              </w:rPr>
              <w:t>成品库</w:t>
            </w:r>
          </w:p>
        </w:tc>
        <w:tc>
          <w:tcPr>
            <w:tcW w:w="1045" w:type="dxa"/>
          </w:tcPr>
          <w:p>
            <w:pPr>
              <w:spacing w:line="360" w:lineRule="auto"/>
              <w:jc w:val="center"/>
              <w:rPr>
                <w:rFonts w:hint="eastAsia" w:ascii="宋体" w:hAnsi="宋体" w:eastAsia="宋体"/>
                <w:sz w:val="18"/>
                <w:szCs w:val="18"/>
                <w:vertAlign w:val="baseline"/>
                <w:lang w:eastAsia="zh-CN"/>
              </w:rPr>
            </w:pPr>
            <w:r>
              <w:rPr>
                <w:rFonts w:hint="eastAsia" w:ascii="宋体" w:hAnsi="宋体"/>
                <w:sz w:val="18"/>
                <w:szCs w:val="18"/>
                <w:vertAlign w:val="baseline"/>
                <w:lang w:eastAsia="zh-CN"/>
              </w:rPr>
              <w:t>原料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2" w:type="dxa"/>
          </w:tcPr>
          <w:p>
            <w:pPr>
              <w:spacing w:line="360" w:lineRule="auto"/>
              <w:jc w:val="center"/>
              <w:rPr>
                <w:rFonts w:hint="eastAsia" w:ascii="宋体" w:hAnsi="宋体" w:eastAsia="宋体"/>
                <w:sz w:val="18"/>
                <w:szCs w:val="18"/>
                <w:vertAlign w:val="baseline"/>
                <w:lang w:val="en-US" w:eastAsia="zh-CN"/>
              </w:rPr>
            </w:pPr>
            <w:r>
              <w:rPr>
                <w:rFonts w:hint="eastAsia" w:ascii="宋体" w:hAnsi="宋体"/>
                <w:sz w:val="18"/>
                <w:szCs w:val="18"/>
                <w:vertAlign w:val="baseline"/>
                <w:lang w:val="en-US" w:eastAsia="zh-CN"/>
              </w:rPr>
              <w:t>4</w:t>
            </w:r>
          </w:p>
        </w:tc>
        <w:tc>
          <w:tcPr>
            <w:tcW w:w="1200" w:type="dxa"/>
          </w:tcPr>
          <w:p>
            <w:pPr>
              <w:spacing w:line="360" w:lineRule="auto"/>
              <w:jc w:val="center"/>
              <w:rPr>
                <w:rFonts w:hint="eastAsia" w:ascii="宋体" w:hAnsi="宋体" w:eastAsia="宋体"/>
                <w:sz w:val="18"/>
                <w:szCs w:val="18"/>
                <w:vertAlign w:val="baseline"/>
                <w:lang w:eastAsia="zh-CN"/>
              </w:rPr>
            </w:pPr>
            <w:r>
              <w:rPr>
                <w:rFonts w:hint="eastAsia" w:ascii="宋体" w:hAnsi="宋体"/>
                <w:sz w:val="18"/>
                <w:szCs w:val="18"/>
                <w:vertAlign w:val="baseline"/>
                <w:lang w:eastAsia="zh-CN"/>
              </w:rPr>
              <w:t>碳酸钠</w:t>
            </w:r>
          </w:p>
        </w:tc>
        <w:tc>
          <w:tcPr>
            <w:tcW w:w="804" w:type="dxa"/>
          </w:tcPr>
          <w:p>
            <w:pPr>
              <w:spacing w:line="360" w:lineRule="auto"/>
              <w:jc w:val="center"/>
              <w:rPr>
                <w:rFonts w:hint="eastAsia" w:ascii="宋体" w:hAnsi="宋体" w:eastAsia="宋体"/>
                <w:sz w:val="18"/>
                <w:szCs w:val="18"/>
                <w:vertAlign w:val="baseline"/>
                <w:lang w:eastAsia="zh-CN"/>
              </w:rPr>
            </w:pPr>
            <w:r>
              <w:rPr>
                <w:rFonts w:hint="eastAsia" w:ascii="宋体" w:hAnsi="宋体"/>
                <w:sz w:val="18"/>
                <w:szCs w:val="18"/>
                <w:vertAlign w:val="baseline"/>
                <w:lang w:eastAsia="zh-CN"/>
              </w:rPr>
              <w:t>固</w:t>
            </w:r>
          </w:p>
        </w:tc>
        <w:tc>
          <w:tcPr>
            <w:tcW w:w="760" w:type="dxa"/>
          </w:tcPr>
          <w:p>
            <w:pPr>
              <w:spacing w:line="360" w:lineRule="auto"/>
              <w:jc w:val="center"/>
              <w:rPr>
                <w:rFonts w:hint="eastAsia" w:ascii="宋体" w:hAnsi="宋体"/>
                <w:sz w:val="18"/>
                <w:szCs w:val="18"/>
                <w:vertAlign w:val="baseline"/>
              </w:rPr>
            </w:pPr>
            <w:r>
              <w:rPr>
                <w:rFonts w:hint="eastAsia" w:ascii="宋体" w:hAnsi="宋体"/>
                <w:sz w:val="18"/>
                <w:szCs w:val="18"/>
                <w:vertAlign w:val="baseline"/>
                <w:lang w:eastAsia="zh-CN"/>
              </w:rPr>
              <w:t>戊</w:t>
            </w:r>
          </w:p>
        </w:tc>
        <w:tc>
          <w:tcPr>
            <w:tcW w:w="1211" w:type="dxa"/>
          </w:tcPr>
          <w:p>
            <w:pPr>
              <w:spacing w:line="360" w:lineRule="auto"/>
              <w:jc w:val="center"/>
              <w:rPr>
                <w:rFonts w:hint="eastAsia" w:ascii="宋体" w:hAnsi="宋体"/>
                <w:sz w:val="18"/>
                <w:szCs w:val="18"/>
                <w:vertAlign w:val="baseline"/>
              </w:rPr>
            </w:pPr>
          </w:p>
        </w:tc>
        <w:tc>
          <w:tcPr>
            <w:tcW w:w="1157" w:type="dxa"/>
          </w:tcPr>
          <w:p>
            <w:pPr>
              <w:spacing w:line="360" w:lineRule="auto"/>
              <w:jc w:val="center"/>
              <w:rPr>
                <w:rFonts w:hint="eastAsia" w:ascii="宋体" w:hAnsi="宋体" w:eastAsia="宋体"/>
                <w:sz w:val="18"/>
                <w:szCs w:val="18"/>
                <w:vertAlign w:val="baseline"/>
                <w:lang w:val="en-US" w:eastAsia="zh-CN"/>
              </w:rPr>
            </w:pPr>
            <w:r>
              <w:rPr>
                <w:rFonts w:hint="eastAsia" w:ascii="宋体" w:hAnsi="宋体"/>
                <w:sz w:val="18"/>
                <w:szCs w:val="18"/>
                <w:vertAlign w:val="baseline"/>
                <w:lang w:val="en-US" w:eastAsia="zh-CN"/>
              </w:rPr>
              <w:t>5</w:t>
            </w:r>
          </w:p>
        </w:tc>
        <w:tc>
          <w:tcPr>
            <w:tcW w:w="1361" w:type="dxa"/>
          </w:tcPr>
          <w:p>
            <w:pPr>
              <w:spacing w:line="360" w:lineRule="auto"/>
              <w:jc w:val="center"/>
              <w:rPr>
                <w:rFonts w:hint="eastAsia" w:ascii="宋体" w:hAnsi="宋体"/>
                <w:sz w:val="18"/>
                <w:szCs w:val="18"/>
                <w:vertAlign w:val="baseline"/>
              </w:rPr>
            </w:pPr>
            <w:r>
              <w:rPr>
                <w:rFonts w:hint="eastAsia" w:ascii="宋体" w:hAnsi="宋体"/>
                <w:sz w:val="18"/>
                <w:szCs w:val="18"/>
                <w:vertAlign w:val="baseline"/>
                <w:lang w:eastAsia="zh-CN"/>
              </w:rPr>
              <w:t>袋装</w:t>
            </w:r>
          </w:p>
        </w:tc>
        <w:tc>
          <w:tcPr>
            <w:tcW w:w="1310" w:type="dxa"/>
          </w:tcPr>
          <w:p>
            <w:pPr>
              <w:spacing w:line="360" w:lineRule="auto"/>
              <w:jc w:val="center"/>
              <w:rPr>
                <w:rFonts w:hint="eastAsia" w:ascii="宋体" w:hAnsi="宋体" w:eastAsia="宋体"/>
                <w:sz w:val="18"/>
                <w:szCs w:val="18"/>
                <w:vertAlign w:val="baseline"/>
                <w:lang w:eastAsia="zh-CN"/>
              </w:rPr>
            </w:pPr>
            <w:r>
              <w:rPr>
                <w:rFonts w:hint="eastAsia" w:ascii="宋体" w:hAnsi="宋体"/>
                <w:sz w:val="18"/>
                <w:szCs w:val="18"/>
                <w:vertAlign w:val="baseline"/>
                <w:lang w:eastAsia="zh-CN"/>
              </w:rPr>
              <w:t>成品库</w:t>
            </w:r>
          </w:p>
        </w:tc>
        <w:tc>
          <w:tcPr>
            <w:tcW w:w="1045" w:type="dxa"/>
          </w:tcPr>
          <w:p>
            <w:pPr>
              <w:spacing w:line="360" w:lineRule="auto"/>
              <w:jc w:val="center"/>
              <w:rPr>
                <w:rFonts w:hint="eastAsia" w:ascii="宋体" w:hAnsi="宋体" w:eastAsia="宋体"/>
                <w:sz w:val="18"/>
                <w:szCs w:val="18"/>
                <w:vertAlign w:val="baseline"/>
                <w:lang w:eastAsia="zh-CN"/>
              </w:rPr>
            </w:pPr>
            <w:r>
              <w:rPr>
                <w:rFonts w:hint="eastAsia" w:ascii="宋体" w:hAnsi="宋体"/>
                <w:sz w:val="18"/>
                <w:szCs w:val="18"/>
                <w:vertAlign w:val="baseline"/>
                <w:lang w:eastAsia="zh-CN"/>
              </w:rPr>
              <w:t>原料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00" w:type="dxa"/>
            <w:gridSpan w:val="9"/>
          </w:tcPr>
          <w:p>
            <w:pPr>
              <w:spacing w:line="360" w:lineRule="auto"/>
              <w:jc w:val="center"/>
              <w:rPr>
                <w:rFonts w:hint="eastAsia" w:ascii="宋体" w:hAnsi="宋体" w:eastAsia="宋体"/>
                <w:sz w:val="18"/>
                <w:szCs w:val="18"/>
                <w:vertAlign w:val="baseline"/>
                <w:lang w:eastAsia="zh-CN"/>
              </w:rPr>
            </w:pPr>
            <w:r>
              <w:rPr>
                <w:rFonts w:hint="eastAsia" w:ascii="宋体" w:hAnsi="宋体"/>
                <w:sz w:val="18"/>
                <w:szCs w:val="18"/>
                <w:vertAlign w:val="baseline"/>
                <w:lang w:eastAsia="zh-CN"/>
              </w:rPr>
              <w:t>最终产品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2" w:type="dxa"/>
            <w:vAlign w:val="center"/>
          </w:tcPr>
          <w:p>
            <w:pPr>
              <w:jc w:val="center"/>
              <w:rPr>
                <w:rFonts w:hint="eastAsia"/>
                <w:sz w:val="18"/>
                <w:szCs w:val="18"/>
                <w:lang w:val="en-US" w:eastAsia="zh-CN"/>
              </w:rPr>
            </w:pPr>
            <w:r>
              <w:rPr>
                <w:rFonts w:hint="eastAsia"/>
                <w:sz w:val="18"/>
                <w:szCs w:val="18"/>
                <w:lang w:val="en-US" w:eastAsia="zh-CN"/>
              </w:rPr>
              <w:t>1</w:t>
            </w:r>
          </w:p>
        </w:tc>
        <w:tc>
          <w:tcPr>
            <w:tcW w:w="1200" w:type="dxa"/>
            <w:vAlign w:val="center"/>
          </w:tcPr>
          <w:p>
            <w:pPr>
              <w:jc w:val="center"/>
              <w:rPr>
                <w:rFonts w:hint="eastAsia"/>
                <w:sz w:val="18"/>
                <w:szCs w:val="18"/>
                <w:lang w:eastAsia="zh-CN"/>
              </w:rPr>
            </w:pPr>
            <w:r>
              <w:rPr>
                <w:rFonts w:hint="eastAsia"/>
                <w:sz w:val="18"/>
                <w:szCs w:val="18"/>
                <w:lang w:eastAsia="zh-CN"/>
              </w:rPr>
              <w:t>邻氯苯腈</w:t>
            </w:r>
          </w:p>
        </w:tc>
        <w:tc>
          <w:tcPr>
            <w:tcW w:w="804" w:type="dxa"/>
            <w:vAlign w:val="center"/>
          </w:tcPr>
          <w:p>
            <w:pPr>
              <w:jc w:val="center"/>
              <w:rPr>
                <w:rFonts w:hint="eastAsia"/>
                <w:sz w:val="18"/>
                <w:szCs w:val="18"/>
                <w:lang w:eastAsia="zh-CN"/>
              </w:rPr>
            </w:pPr>
            <w:r>
              <w:rPr>
                <w:rFonts w:hint="eastAsia"/>
                <w:sz w:val="18"/>
                <w:szCs w:val="18"/>
                <w:lang w:eastAsia="zh-CN"/>
              </w:rPr>
              <w:t>固</w:t>
            </w:r>
          </w:p>
        </w:tc>
        <w:tc>
          <w:tcPr>
            <w:tcW w:w="760" w:type="dxa"/>
            <w:vAlign w:val="center"/>
          </w:tcPr>
          <w:p>
            <w:pPr>
              <w:jc w:val="center"/>
              <w:rPr>
                <w:rFonts w:hint="eastAsia"/>
                <w:sz w:val="18"/>
                <w:szCs w:val="18"/>
                <w:lang w:eastAsia="zh-CN"/>
              </w:rPr>
            </w:pPr>
            <w:r>
              <w:rPr>
                <w:rFonts w:hint="eastAsia"/>
                <w:sz w:val="18"/>
                <w:szCs w:val="18"/>
                <w:lang w:eastAsia="zh-CN"/>
              </w:rPr>
              <w:t>丙</w:t>
            </w:r>
          </w:p>
        </w:tc>
        <w:tc>
          <w:tcPr>
            <w:tcW w:w="1211" w:type="dxa"/>
            <w:vAlign w:val="center"/>
          </w:tcPr>
          <w:p>
            <w:pPr>
              <w:jc w:val="center"/>
              <w:rPr>
                <w:rFonts w:hint="default"/>
                <w:sz w:val="18"/>
                <w:szCs w:val="18"/>
                <w:lang w:val="en-US" w:eastAsia="zh-CN"/>
              </w:rPr>
            </w:pPr>
            <w:r>
              <w:rPr>
                <w:rFonts w:hint="eastAsia"/>
                <w:sz w:val="18"/>
                <w:szCs w:val="18"/>
                <w:lang w:val="en-US" w:eastAsia="zh-CN"/>
              </w:rPr>
              <w:t>2000</w:t>
            </w:r>
          </w:p>
        </w:tc>
        <w:tc>
          <w:tcPr>
            <w:tcW w:w="1157" w:type="dxa"/>
            <w:vAlign w:val="center"/>
          </w:tcPr>
          <w:p>
            <w:pPr>
              <w:jc w:val="center"/>
              <w:rPr>
                <w:rFonts w:hint="default" w:eastAsia="宋体"/>
                <w:sz w:val="18"/>
                <w:szCs w:val="18"/>
                <w:lang w:val="en-US" w:eastAsia="zh-CN"/>
              </w:rPr>
            </w:pPr>
            <w:r>
              <w:rPr>
                <w:rFonts w:hint="eastAsia"/>
                <w:sz w:val="18"/>
                <w:szCs w:val="18"/>
                <w:lang w:val="en-US" w:eastAsia="zh-CN"/>
              </w:rPr>
              <w:t>46</w:t>
            </w:r>
          </w:p>
        </w:tc>
        <w:tc>
          <w:tcPr>
            <w:tcW w:w="1361" w:type="dxa"/>
            <w:vAlign w:val="center"/>
          </w:tcPr>
          <w:p>
            <w:pPr>
              <w:jc w:val="center"/>
              <w:rPr>
                <w:rFonts w:hint="eastAsia"/>
                <w:sz w:val="18"/>
                <w:szCs w:val="18"/>
              </w:rPr>
            </w:pPr>
            <w:r>
              <w:rPr>
                <w:rFonts w:hint="eastAsia"/>
                <w:sz w:val="18"/>
                <w:szCs w:val="18"/>
                <w:lang w:val="en-US" w:eastAsia="zh-CN"/>
              </w:rPr>
              <w:t>75m³储罐</w:t>
            </w:r>
          </w:p>
        </w:tc>
        <w:tc>
          <w:tcPr>
            <w:tcW w:w="1310" w:type="dxa"/>
            <w:vAlign w:val="center"/>
          </w:tcPr>
          <w:p>
            <w:pPr>
              <w:jc w:val="center"/>
              <w:rPr>
                <w:rFonts w:hint="eastAsia"/>
                <w:sz w:val="18"/>
                <w:szCs w:val="18"/>
                <w:lang w:eastAsia="zh-CN"/>
              </w:rPr>
            </w:pPr>
            <w:r>
              <w:rPr>
                <w:rFonts w:hint="eastAsia"/>
                <w:sz w:val="18"/>
                <w:szCs w:val="18"/>
                <w:lang w:eastAsia="zh-CN"/>
              </w:rPr>
              <w:t>邻氯苯腈罐区</w:t>
            </w:r>
          </w:p>
        </w:tc>
        <w:tc>
          <w:tcPr>
            <w:tcW w:w="1045" w:type="dxa"/>
            <w:vAlign w:val="center"/>
          </w:tcPr>
          <w:p>
            <w:pPr>
              <w:jc w:val="center"/>
              <w:rPr>
                <w:rFonts w:hint="eastAsia"/>
                <w:sz w:val="18"/>
                <w:szCs w:val="18"/>
                <w:lang w:eastAsia="zh-CN"/>
              </w:rPr>
            </w:pPr>
            <w:r>
              <w:rPr>
                <w:rFonts w:hint="eastAsia"/>
                <w:sz w:val="18"/>
                <w:szCs w:val="18"/>
                <w:lang w:eastAsia="zh-CN"/>
              </w:rPr>
              <w:t>产品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52" w:type="dxa"/>
            <w:vAlign w:val="center"/>
          </w:tcPr>
          <w:p>
            <w:pPr>
              <w:jc w:val="center"/>
              <w:rPr>
                <w:rFonts w:hint="eastAsia"/>
                <w:sz w:val="18"/>
                <w:szCs w:val="18"/>
                <w:lang w:val="en-US" w:eastAsia="zh-CN"/>
              </w:rPr>
            </w:pPr>
            <w:r>
              <w:rPr>
                <w:rFonts w:hint="eastAsia"/>
                <w:sz w:val="18"/>
                <w:szCs w:val="18"/>
                <w:lang w:val="en-US" w:eastAsia="zh-CN"/>
              </w:rPr>
              <w:t>2</w:t>
            </w:r>
          </w:p>
        </w:tc>
        <w:tc>
          <w:tcPr>
            <w:tcW w:w="1200" w:type="dxa"/>
            <w:vAlign w:val="center"/>
          </w:tcPr>
          <w:p>
            <w:pPr>
              <w:jc w:val="center"/>
              <w:rPr>
                <w:rFonts w:hint="default"/>
                <w:sz w:val="18"/>
                <w:szCs w:val="18"/>
                <w:lang w:val="en-US" w:eastAsia="zh-CN"/>
              </w:rPr>
            </w:pPr>
            <w:r>
              <w:rPr>
                <w:rFonts w:hint="eastAsia"/>
                <w:sz w:val="18"/>
                <w:szCs w:val="18"/>
                <w:lang w:val="en-US" w:eastAsia="zh-CN"/>
              </w:rPr>
              <w:t>31%盐酸</w:t>
            </w:r>
          </w:p>
        </w:tc>
        <w:tc>
          <w:tcPr>
            <w:tcW w:w="804" w:type="dxa"/>
            <w:vAlign w:val="center"/>
          </w:tcPr>
          <w:p>
            <w:pPr>
              <w:jc w:val="center"/>
              <w:rPr>
                <w:rFonts w:hint="eastAsia"/>
                <w:sz w:val="18"/>
                <w:szCs w:val="18"/>
                <w:lang w:eastAsia="zh-CN"/>
              </w:rPr>
            </w:pPr>
            <w:r>
              <w:rPr>
                <w:rFonts w:hint="eastAsia"/>
                <w:sz w:val="18"/>
                <w:szCs w:val="18"/>
                <w:lang w:eastAsia="zh-CN"/>
              </w:rPr>
              <w:t>液</w:t>
            </w:r>
          </w:p>
        </w:tc>
        <w:tc>
          <w:tcPr>
            <w:tcW w:w="760" w:type="dxa"/>
            <w:vAlign w:val="center"/>
          </w:tcPr>
          <w:p>
            <w:pPr>
              <w:jc w:val="center"/>
              <w:rPr>
                <w:rFonts w:hint="eastAsia"/>
                <w:sz w:val="18"/>
                <w:szCs w:val="18"/>
                <w:lang w:eastAsia="zh-CN"/>
              </w:rPr>
            </w:pPr>
            <w:r>
              <w:rPr>
                <w:rFonts w:hint="eastAsia"/>
                <w:sz w:val="18"/>
                <w:szCs w:val="18"/>
                <w:lang w:eastAsia="zh-CN"/>
              </w:rPr>
              <w:t>戊</w:t>
            </w:r>
          </w:p>
        </w:tc>
        <w:tc>
          <w:tcPr>
            <w:tcW w:w="1211" w:type="dxa"/>
            <w:vAlign w:val="center"/>
          </w:tcPr>
          <w:p>
            <w:pPr>
              <w:jc w:val="center"/>
              <w:rPr>
                <w:rFonts w:hint="default"/>
                <w:sz w:val="18"/>
                <w:szCs w:val="18"/>
                <w:lang w:val="en-US" w:eastAsia="zh-CN"/>
              </w:rPr>
            </w:pPr>
            <w:r>
              <w:rPr>
                <w:rFonts w:hint="eastAsia"/>
                <w:sz w:val="18"/>
                <w:szCs w:val="18"/>
                <w:lang w:val="en-US" w:eastAsia="zh-CN"/>
              </w:rPr>
              <w:t>8000</w:t>
            </w:r>
          </w:p>
        </w:tc>
        <w:tc>
          <w:tcPr>
            <w:tcW w:w="1157" w:type="dxa"/>
            <w:vAlign w:val="center"/>
          </w:tcPr>
          <w:p>
            <w:pPr>
              <w:jc w:val="center"/>
              <w:rPr>
                <w:rFonts w:hint="default" w:eastAsia="宋体"/>
                <w:sz w:val="18"/>
                <w:szCs w:val="18"/>
                <w:lang w:val="en-US" w:eastAsia="zh-CN"/>
              </w:rPr>
            </w:pPr>
            <w:r>
              <w:rPr>
                <w:rFonts w:hint="eastAsia"/>
                <w:sz w:val="18"/>
                <w:szCs w:val="18"/>
                <w:lang w:val="en-US" w:eastAsia="zh-CN"/>
              </w:rPr>
              <w:t>432</w:t>
            </w:r>
          </w:p>
        </w:tc>
        <w:tc>
          <w:tcPr>
            <w:tcW w:w="1361" w:type="dxa"/>
            <w:vAlign w:val="center"/>
          </w:tcPr>
          <w:p>
            <w:pPr>
              <w:jc w:val="center"/>
              <w:rPr>
                <w:rFonts w:hint="eastAsia"/>
                <w:sz w:val="18"/>
                <w:szCs w:val="18"/>
                <w:lang w:eastAsia="zh-CN"/>
              </w:rPr>
            </w:pPr>
            <w:r>
              <w:rPr>
                <w:rFonts w:hint="eastAsia"/>
                <w:sz w:val="18"/>
                <w:szCs w:val="18"/>
                <w:lang w:eastAsia="zh-CN"/>
              </w:rPr>
              <w:t>盐酸储罐</w:t>
            </w:r>
          </w:p>
        </w:tc>
        <w:tc>
          <w:tcPr>
            <w:tcW w:w="1310" w:type="dxa"/>
            <w:vAlign w:val="center"/>
          </w:tcPr>
          <w:p>
            <w:pPr>
              <w:jc w:val="center"/>
              <w:rPr>
                <w:rFonts w:hint="eastAsia"/>
                <w:sz w:val="18"/>
                <w:szCs w:val="18"/>
                <w:lang w:eastAsia="zh-CN"/>
              </w:rPr>
            </w:pPr>
            <w:r>
              <w:rPr>
                <w:rFonts w:hint="eastAsia"/>
                <w:sz w:val="18"/>
                <w:szCs w:val="18"/>
                <w:lang w:eastAsia="zh-CN"/>
              </w:rPr>
              <w:t>盐酸罐区</w:t>
            </w:r>
          </w:p>
        </w:tc>
        <w:tc>
          <w:tcPr>
            <w:tcW w:w="1045" w:type="dxa"/>
            <w:vAlign w:val="center"/>
          </w:tcPr>
          <w:p>
            <w:pPr>
              <w:jc w:val="center"/>
              <w:rPr>
                <w:rFonts w:hint="eastAsia"/>
                <w:sz w:val="18"/>
                <w:szCs w:val="18"/>
                <w:lang w:eastAsia="zh-CN"/>
              </w:rPr>
            </w:pPr>
            <w:r>
              <w:rPr>
                <w:rFonts w:hint="eastAsia"/>
                <w:sz w:val="18"/>
                <w:szCs w:val="18"/>
                <w:lang w:eastAsia="zh-CN"/>
              </w:rPr>
              <w:t>副产品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2" w:type="dxa"/>
            <w:vAlign w:val="center"/>
          </w:tcPr>
          <w:p>
            <w:pPr>
              <w:jc w:val="center"/>
              <w:rPr>
                <w:rFonts w:hint="default"/>
                <w:sz w:val="18"/>
                <w:szCs w:val="18"/>
                <w:lang w:val="en-US" w:eastAsia="zh-CN"/>
              </w:rPr>
            </w:pPr>
            <w:r>
              <w:rPr>
                <w:rFonts w:hint="eastAsia"/>
                <w:sz w:val="18"/>
                <w:szCs w:val="18"/>
                <w:lang w:val="en-US" w:eastAsia="zh-CN"/>
              </w:rPr>
              <w:t>3</w:t>
            </w:r>
          </w:p>
        </w:tc>
        <w:tc>
          <w:tcPr>
            <w:tcW w:w="1200"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sz w:val="18"/>
                <w:szCs w:val="18"/>
                <w:lang w:val="en-US" w:eastAsia="zh-CN"/>
              </w:rPr>
            </w:pPr>
            <w:r>
              <w:rPr>
                <w:rFonts w:hint="eastAsia"/>
                <w:sz w:val="18"/>
                <w:szCs w:val="18"/>
                <w:lang w:val="en-US" w:eastAsia="zh-CN"/>
              </w:rPr>
              <w:t>次氯酸钠溶液（有效氯小于5%）</w:t>
            </w:r>
          </w:p>
        </w:tc>
        <w:tc>
          <w:tcPr>
            <w:tcW w:w="804" w:type="dxa"/>
            <w:vAlign w:val="center"/>
          </w:tcPr>
          <w:p>
            <w:pPr>
              <w:jc w:val="center"/>
              <w:rPr>
                <w:rFonts w:hint="eastAsia"/>
                <w:sz w:val="18"/>
                <w:szCs w:val="18"/>
                <w:lang w:eastAsia="zh-CN"/>
              </w:rPr>
            </w:pPr>
            <w:r>
              <w:rPr>
                <w:rFonts w:hint="eastAsia"/>
                <w:sz w:val="18"/>
                <w:szCs w:val="18"/>
                <w:lang w:eastAsia="zh-CN"/>
              </w:rPr>
              <w:t>液</w:t>
            </w:r>
          </w:p>
        </w:tc>
        <w:tc>
          <w:tcPr>
            <w:tcW w:w="760" w:type="dxa"/>
            <w:vAlign w:val="center"/>
          </w:tcPr>
          <w:p>
            <w:pPr>
              <w:jc w:val="center"/>
              <w:rPr>
                <w:rFonts w:hint="eastAsia"/>
                <w:sz w:val="18"/>
                <w:szCs w:val="18"/>
                <w:lang w:eastAsia="zh-CN"/>
              </w:rPr>
            </w:pPr>
            <w:r>
              <w:rPr>
                <w:rFonts w:hint="eastAsia"/>
                <w:sz w:val="18"/>
                <w:szCs w:val="18"/>
                <w:lang w:eastAsia="zh-CN"/>
              </w:rPr>
              <w:t>戊</w:t>
            </w:r>
          </w:p>
        </w:tc>
        <w:tc>
          <w:tcPr>
            <w:tcW w:w="1211" w:type="dxa"/>
            <w:vAlign w:val="center"/>
          </w:tcPr>
          <w:p>
            <w:pPr>
              <w:jc w:val="center"/>
              <w:rPr>
                <w:rFonts w:hint="default"/>
                <w:sz w:val="18"/>
                <w:szCs w:val="18"/>
                <w:lang w:val="en-US" w:eastAsia="zh-CN"/>
              </w:rPr>
            </w:pPr>
            <w:r>
              <w:rPr>
                <w:rFonts w:hint="eastAsia"/>
                <w:sz w:val="18"/>
                <w:szCs w:val="18"/>
                <w:lang w:val="en-US" w:eastAsia="zh-CN"/>
              </w:rPr>
              <w:t>72</w:t>
            </w:r>
          </w:p>
        </w:tc>
        <w:tc>
          <w:tcPr>
            <w:tcW w:w="1157" w:type="dxa"/>
            <w:vAlign w:val="center"/>
          </w:tcPr>
          <w:p>
            <w:pPr>
              <w:jc w:val="center"/>
              <w:rPr>
                <w:rFonts w:hint="eastAsia" w:eastAsia="宋体"/>
                <w:sz w:val="18"/>
                <w:szCs w:val="18"/>
                <w:lang w:eastAsia="zh-CN"/>
              </w:rPr>
            </w:pPr>
            <w:r>
              <w:rPr>
                <w:rFonts w:hint="eastAsia"/>
                <w:sz w:val="18"/>
                <w:szCs w:val="18"/>
                <w:lang w:eastAsia="zh-CN"/>
              </w:rPr>
              <w:t>不储存</w:t>
            </w:r>
          </w:p>
        </w:tc>
        <w:tc>
          <w:tcPr>
            <w:tcW w:w="1361" w:type="dxa"/>
            <w:vAlign w:val="center"/>
          </w:tcPr>
          <w:p>
            <w:pPr>
              <w:jc w:val="center"/>
              <w:rPr>
                <w:rFonts w:hint="eastAsia"/>
                <w:sz w:val="18"/>
                <w:szCs w:val="18"/>
                <w:lang w:eastAsia="zh-CN"/>
              </w:rPr>
            </w:pPr>
            <w:r>
              <w:rPr>
                <w:rFonts w:hint="eastAsia"/>
                <w:sz w:val="18"/>
                <w:szCs w:val="18"/>
                <w:lang w:eastAsia="zh-CN"/>
              </w:rPr>
              <w:t>槽车</w:t>
            </w:r>
          </w:p>
        </w:tc>
        <w:tc>
          <w:tcPr>
            <w:tcW w:w="1310" w:type="dxa"/>
            <w:vAlign w:val="center"/>
          </w:tcPr>
          <w:p>
            <w:pPr>
              <w:jc w:val="center"/>
              <w:rPr>
                <w:rFonts w:hint="default"/>
                <w:sz w:val="18"/>
                <w:szCs w:val="18"/>
                <w:lang w:val="en-US" w:eastAsia="zh-CN"/>
              </w:rPr>
            </w:pPr>
            <w:r>
              <w:rPr>
                <w:rFonts w:hint="eastAsia"/>
                <w:sz w:val="18"/>
                <w:szCs w:val="18"/>
                <w:lang w:val="en-US" w:eastAsia="zh-CN"/>
              </w:rPr>
              <w:t>/</w:t>
            </w:r>
          </w:p>
        </w:tc>
        <w:tc>
          <w:tcPr>
            <w:tcW w:w="1045" w:type="dxa"/>
            <w:vAlign w:val="center"/>
          </w:tcPr>
          <w:p>
            <w:pPr>
              <w:jc w:val="center"/>
              <w:rPr>
                <w:rFonts w:hint="eastAsia"/>
                <w:sz w:val="18"/>
                <w:szCs w:val="18"/>
                <w:lang w:eastAsia="zh-CN"/>
              </w:rPr>
            </w:pPr>
            <w:r>
              <w:rPr>
                <w:rFonts w:hint="eastAsia"/>
                <w:sz w:val="18"/>
                <w:szCs w:val="18"/>
                <w:lang w:eastAsia="zh-CN"/>
              </w:rPr>
              <w:t>副产品</w:t>
            </w:r>
          </w:p>
        </w:tc>
      </w:tr>
    </w:tbl>
    <w:p>
      <w:pPr>
        <w:spacing w:line="360" w:lineRule="auto"/>
        <w:rPr>
          <w:rFonts w:ascii="宋体" w:hAnsi="宋体"/>
          <w:sz w:val="24"/>
        </w:rPr>
      </w:pPr>
    </w:p>
    <w:p>
      <w:pPr>
        <w:spacing w:line="360" w:lineRule="auto"/>
        <w:ind w:firstLine="480" w:firstLineChars="200"/>
        <w:rPr>
          <w:rFonts w:ascii="宋体" w:hAnsi="宋体"/>
          <w:sz w:val="24"/>
        </w:rPr>
      </w:pPr>
      <w:r>
        <w:rPr>
          <w:rFonts w:hint="eastAsia" w:ascii="宋体" w:hAnsi="宋体"/>
          <w:sz w:val="24"/>
        </w:rPr>
        <w:t>生产工艺流程见下图：</w:t>
      </w:r>
      <w:bookmarkStart w:id="6" w:name="_Toc19844"/>
      <w:bookmarkStart w:id="7" w:name="_Toc432195094"/>
    </w:p>
    <w:p>
      <w:pPr>
        <w:spacing w:line="360" w:lineRule="auto"/>
        <w:ind w:firstLine="480" w:firstLineChars="200"/>
        <w:rPr>
          <w:rFonts w:ascii="宋体" w:hAnsi="宋体"/>
          <w:sz w:val="24"/>
        </w:rPr>
      </w:pPr>
      <w:r>
        <w:rPr>
          <w:rFonts w:hint="eastAsia" w:ascii="宋体" w:hAnsi="宋体"/>
          <w:sz w:val="24"/>
        </w:rPr>
        <w:drawing>
          <wp:inline distT="0" distB="0" distL="114300" distR="114300">
            <wp:extent cx="5273040" cy="2583180"/>
            <wp:effectExtent l="0" t="0" r="0" b="7620"/>
            <wp:docPr id="17" name="图片 17" descr="d964c6001ef61afb5a262a229a4f8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d964c6001ef61afb5a262a229a4f8af"/>
                    <pic:cNvPicPr>
                      <a:picLocks noChangeAspect="1"/>
                    </pic:cNvPicPr>
                  </pic:nvPicPr>
                  <pic:blipFill>
                    <a:blip r:embed="rId13"/>
                    <a:stretch>
                      <a:fillRect/>
                    </a:stretch>
                  </pic:blipFill>
                  <pic:spPr>
                    <a:xfrm>
                      <a:off x="0" y="0"/>
                      <a:ext cx="5273040" cy="2583180"/>
                    </a:xfrm>
                    <a:prstGeom prst="rect">
                      <a:avLst/>
                    </a:prstGeom>
                  </pic:spPr>
                </pic:pic>
              </a:graphicData>
            </a:graphic>
          </wp:inline>
        </w:drawing>
      </w:r>
    </w:p>
    <w:p>
      <w:pPr>
        <w:snapToGrid w:val="0"/>
        <w:spacing w:line="480" w:lineRule="exact"/>
        <w:ind w:firstLine="480" w:firstLineChars="200"/>
        <w:rPr>
          <w:rFonts w:asciiTheme="minorEastAsia" w:hAnsiTheme="minorEastAsia" w:eastAsiaTheme="minorEastAsia" w:cstheme="minorEastAsia"/>
          <w:sz w:val="24"/>
        </w:rPr>
      </w:pPr>
      <w:bookmarkStart w:id="8" w:name="_Toc523396074"/>
      <w:r>
        <w:rPr>
          <w:rFonts w:hint="eastAsia" w:asciiTheme="minorEastAsia" w:hAnsiTheme="minorEastAsia" w:eastAsiaTheme="minorEastAsia" w:cstheme="minorEastAsia"/>
          <w:sz w:val="24"/>
        </w:rPr>
        <w:t>在适当的反应温度下，向邻氯甲苯中通入氯气，使其发生侧基氯化生成邻氯三氯苄后，无须分离直接与氯化铵在催化剂铜粉作用下反应，并控制好适当的反应温度和时间，即生成邻氯苯腈，经纯碱水中和、精馏，可获纯度为99％以上的成品；尾气氯化氢首先在两级降膜吸收器进行交换吸收，可生成31% 以上浓度的盐酸，然后进入两级尾气处理填料塔，第一级经水吸收，第二级经碱液（30% NaOH）吸收，生成小于</w:t>
      </w:r>
      <w:r>
        <w:rPr>
          <w:rFonts w:hint="eastAsia" w:asciiTheme="minorEastAsia" w:hAnsiTheme="minorEastAsia" w:eastAsiaTheme="minorEastAsia" w:cstheme="minorEastAsia"/>
          <w:color w:val="auto"/>
          <w:sz w:val="24"/>
        </w:rPr>
        <w:t>5%</w:t>
      </w:r>
      <w:r>
        <w:rPr>
          <w:rFonts w:hint="eastAsia" w:asciiTheme="minorEastAsia" w:hAnsiTheme="minorEastAsia" w:eastAsiaTheme="minorEastAsia" w:cstheme="minorEastAsia"/>
          <w:sz w:val="24"/>
        </w:rPr>
        <w:t>有效氯的的次氯酸钠，反应总收率可达90％以上。</w:t>
      </w:r>
    </w:p>
    <w:p>
      <w:pPr>
        <w:snapToGrid w:val="0"/>
        <w:spacing w:line="480" w:lineRule="exact"/>
        <w:ind w:firstLine="480"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氯化反应所需热量来自于蒸汽锅炉提供的低压蒸汽，氯化升温后停止供热，由反应体系放热维持反应继续进行，同时通过反应釜夹套冷却水控制反应温度。水解反应的热量来自于导热油炉的热油，水解反应结束时，通过冷油系统对夹套热油进行冷却降温。</w:t>
      </w:r>
    </w:p>
    <w:p>
      <w:pPr>
        <w:snapToGrid w:val="0"/>
        <w:spacing w:line="480" w:lineRule="exact"/>
        <w:ind w:firstLine="480"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氯化、水解反应的尾气系统以及盐酸吸收的石墨冷凝器均采用循环水降温冷却，精馏和蒸馏的气相石墨冷凝器采用循环水冷却。</w:t>
      </w:r>
    </w:p>
    <w:p>
      <w:pPr>
        <w:pStyle w:val="3"/>
        <w:spacing w:before="0" w:after="0" w:line="25" w:lineRule="atLeast"/>
        <w:rPr>
          <w:rFonts w:ascii="宋体" w:hAnsi="宋体"/>
          <w:sz w:val="28"/>
          <w:szCs w:val="28"/>
        </w:rPr>
      </w:pPr>
      <w:r>
        <w:rPr>
          <w:rFonts w:hint="eastAsia" w:ascii="宋体" w:hAnsi="宋体"/>
          <w:sz w:val="28"/>
          <w:szCs w:val="28"/>
        </w:rPr>
        <w:t>（二）企业下属单位情况</w:t>
      </w:r>
      <w:bookmarkEnd w:id="6"/>
      <w:bookmarkEnd w:id="7"/>
      <w:bookmarkEnd w:id="8"/>
    </w:p>
    <w:p>
      <w:pPr>
        <w:spacing w:line="360" w:lineRule="auto"/>
        <w:ind w:firstLine="480" w:firstLineChars="200"/>
        <w:rPr>
          <w:rFonts w:ascii="宋体" w:hAnsi="宋体"/>
          <w:kern w:val="0"/>
          <w:sz w:val="28"/>
          <w:szCs w:val="28"/>
        </w:rPr>
      </w:pPr>
      <w:r>
        <w:rPr>
          <w:rFonts w:hint="eastAsia" w:ascii="宋体" w:hAnsi="宋体"/>
          <w:sz w:val="24"/>
        </w:rPr>
        <w:t>公司无下属单位。</w:t>
      </w:r>
    </w:p>
    <w:p>
      <w:pPr>
        <w:pStyle w:val="3"/>
        <w:spacing w:before="0" w:after="0" w:line="25" w:lineRule="atLeast"/>
        <w:rPr>
          <w:rFonts w:ascii="宋体" w:hAnsi="宋体"/>
          <w:sz w:val="28"/>
          <w:szCs w:val="28"/>
        </w:rPr>
      </w:pPr>
      <w:bookmarkStart w:id="9" w:name="_Toc2139"/>
      <w:bookmarkStart w:id="10" w:name="_Toc432195095"/>
      <w:bookmarkStart w:id="11" w:name="_Toc523396075"/>
      <w:r>
        <w:rPr>
          <w:rFonts w:hint="eastAsia" w:ascii="宋体" w:hAnsi="宋体"/>
          <w:sz w:val="28"/>
          <w:szCs w:val="28"/>
        </w:rPr>
        <w:t>（三）近三年伤亡事故与职业危害情况</w:t>
      </w:r>
      <w:bookmarkEnd w:id="9"/>
      <w:bookmarkEnd w:id="10"/>
      <w:bookmarkEnd w:id="11"/>
    </w:p>
    <w:p>
      <w:pPr>
        <w:widowControl/>
        <w:spacing w:line="360" w:lineRule="auto"/>
        <w:ind w:firstLine="494" w:firstLineChars="206"/>
        <w:rPr>
          <w:rFonts w:ascii="宋体" w:hAnsi="宋体"/>
          <w:bCs/>
          <w:kern w:val="44"/>
          <w:sz w:val="24"/>
        </w:rPr>
      </w:pPr>
      <w:r>
        <w:rPr>
          <w:rFonts w:hint="eastAsia" w:ascii="宋体" w:hAnsi="宋体"/>
          <w:bCs/>
          <w:kern w:val="44"/>
          <w:sz w:val="24"/>
        </w:rPr>
        <w:t>20</w:t>
      </w:r>
      <w:r>
        <w:rPr>
          <w:rFonts w:hint="eastAsia" w:ascii="宋体" w:hAnsi="宋体"/>
          <w:bCs/>
          <w:kern w:val="44"/>
          <w:sz w:val="24"/>
          <w:lang w:val="en-US" w:eastAsia="zh-CN"/>
        </w:rPr>
        <w:t>21</w:t>
      </w:r>
      <w:r>
        <w:rPr>
          <w:rFonts w:hint="eastAsia" w:ascii="宋体" w:hAnsi="宋体"/>
          <w:bCs/>
          <w:kern w:val="44"/>
          <w:sz w:val="24"/>
        </w:rPr>
        <w:t>年10月至202</w:t>
      </w:r>
      <w:r>
        <w:rPr>
          <w:rFonts w:hint="eastAsia" w:ascii="宋体" w:hAnsi="宋体"/>
          <w:bCs/>
          <w:kern w:val="44"/>
          <w:sz w:val="24"/>
          <w:lang w:val="en-US" w:eastAsia="zh-CN"/>
        </w:rPr>
        <w:t>3</w:t>
      </w:r>
      <w:r>
        <w:rPr>
          <w:rFonts w:hint="eastAsia" w:ascii="宋体" w:hAnsi="宋体"/>
          <w:bCs/>
          <w:kern w:val="44"/>
          <w:sz w:val="24"/>
        </w:rPr>
        <w:t>年10月未发生因工伤亡事故以及国家规定纳入统计范围需要统计上报的伤亡事故。</w:t>
      </w:r>
    </w:p>
    <w:p>
      <w:pPr>
        <w:widowControl/>
        <w:spacing w:line="360" w:lineRule="auto"/>
        <w:ind w:firstLine="494" w:firstLineChars="206"/>
        <w:rPr>
          <w:rFonts w:ascii="宋体" w:hAnsi="宋体"/>
          <w:bCs/>
          <w:kern w:val="44"/>
          <w:sz w:val="24"/>
        </w:rPr>
      </w:pPr>
      <w:r>
        <w:rPr>
          <w:rFonts w:hint="eastAsia" w:ascii="宋体" w:hAnsi="宋体"/>
          <w:bCs/>
          <w:kern w:val="44"/>
          <w:sz w:val="24"/>
        </w:rPr>
        <w:t>公司每年均对从事有毒有害作业人员进行职业健康体检，对有毒有害作业场所进行职业危害因素检测，至今无职业病发生。</w:t>
      </w:r>
    </w:p>
    <w:p>
      <w:pPr>
        <w:pStyle w:val="3"/>
        <w:spacing w:before="0" w:after="0" w:line="25" w:lineRule="atLeast"/>
        <w:rPr>
          <w:rFonts w:ascii="宋体" w:hAnsi="宋体"/>
          <w:sz w:val="28"/>
          <w:szCs w:val="28"/>
        </w:rPr>
      </w:pPr>
      <w:bookmarkStart w:id="12" w:name="_Toc5823"/>
      <w:bookmarkStart w:id="13" w:name="_Toc523396076"/>
      <w:bookmarkStart w:id="14" w:name="_Toc432195096"/>
      <w:r>
        <w:rPr>
          <w:rFonts w:hint="eastAsia" w:ascii="宋体" w:hAnsi="宋体"/>
          <w:sz w:val="28"/>
          <w:szCs w:val="28"/>
        </w:rPr>
        <w:t>（四）安全生产标准化创建或运行情况</w:t>
      </w:r>
      <w:bookmarkEnd w:id="12"/>
      <w:bookmarkEnd w:id="13"/>
      <w:bookmarkEnd w:id="14"/>
    </w:p>
    <w:p>
      <w:pPr>
        <w:widowControl/>
        <w:spacing w:line="300" w:lineRule="auto"/>
        <w:ind w:firstLine="480" w:firstLineChars="200"/>
        <w:rPr>
          <w:rFonts w:ascii="宋体" w:hAnsi="宋体"/>
          <w:kern w:val="0"/>
          <w:sz w:val="24"/>
        </w:rPr>
      </w:pPr>
      <w:bookmarkStart w:id="15" w:name="_Toc2824"/>
      <w:bookmarkStart w:id="16" w:name="_Toc432195097"/>
      <w:r>
        <w:rPr>
          <w:rFonts w:hint="eastAsia" w:ascii="宋体" w:hAnsi="宋体"/>
          <w:kern w:val="0"/>
          <w:sz w:val="24"/>
        </w:rPr>
        <w:t>1、安全标准化的创建过程</w:t>
      </w:r>
    </w:p>
    <w:p>
      <w:pPr>
        <w:widowControl/>
        <w:spacing w:line="300" w:lineRule="auto"/>
        <w:ind w:firstLine="480" w:firstLineChars="200"/>
        <w:rPr>
          <w:rFonts w:ascii="宋体" w:hAnsi="宋体"/>
          <w:bCs/>
          <w:kern w:val="44"/>
          <w:sz w:val="24"/>
        </w:rPr>
      </w:pPr>
      <w:r>
        <w:rPr>
          <w:rFonts w:hint="eastAsia" w:ascii="宋体" w:hAnsi="宋体"/>
          <w:kern w:val="0"/>
          <w:sz w:val="24"/>
        </w:rPr>
        <w:t>1)初始评审阶段：依据法律、法规及《企业安全生产标准化基本规范》（GB/T3300-2016）的要求，对企业安全管理现状（或原安全标准化建设工作方案）进行初始评估，了解企业安全管理现状、业务流程、组织机构等基本管理信息，发现安全管理方面的问题与差距，并对其安全现状进行初始评审。</w:t>
      </w:r>
    </w:p>
    <w:p>
      <w:pPr>
        <w:widowControl/>
        <w:spacing w:line="300" w:lineRule="auto"/>
        <w:ind w:firstLine="480" w:firstLineChars="200"/>
        <w:rPr>
          <w:rFonts w:ascii="宋体" w:hAnsi="宋体"/>
          <w:kern w:val="0"/>
          <w:sz w:val="24"/>
        </w:rPr>
      </w:pPr>
      <w:r>
        <w:rPr>
          <w:rFonts w:hint="eastAsia" w:ascii="宋体" w:hAnsi="宋体"/>
          <w:kern w:val="0"/>
          <w:sz w:val="24"/>
        </w:rPr>
        <w:t>2)标准化策划阶段：根据相关法律法规及本规范的要求，针对初始评审的结果，对标准化实施过程进行策划。策划阶段包括资源配置、工作进度、部门及人员分工等；确定企业安全生产方针和目标；完善安全生产规章制度、安全操作规程、台帐、档案、记录等。初步建立本企业安全标准化建设方案。</w:t>
      </w:r>
    </w:p>
    <w:p>
      <w:pPr>
        <w:widowControl/>
        <w:spacing w:line="300" w:lineRule="auto"/>
        <w:ind w:firstLine="480" w:firstLineChars="200"/>
        <w:rPr>
          <w:rFonts w:ascii="宋体" w:hAnsi="宋体"/>
          <w:kern w:val="0"/>
          <w:sz w:val="24"/>
        </w:rPr>
      </w:pPr>
      <w:r>
        <w:rPr>
          <w:rFonts w:hint="eastAsia" w:ascii="宋体" w:hAnsi="宋体"/>
          <w:kern w:val="0"/>
          <w:sz w:val="24"/>
        </w:rPr>
        <w:t>3)培训阶段：以经过评审的安全标准化建设方案为基础，对全体从业人员进行安全标准化相关内容培训。以危险、有害因素辨识和风险评价为核心，树立任何事故都是可以预防的理念，与企业其他方面的管理有机地结合起来，进行安全风险分析。根据企业安全管理现状、工艺流程、组织机构等，采用科学、规范和系统的风险分析方法，进行全员风险分析，以此加强职工的安全意识，形成企业的安全文化。</w:t>
      </w:r>
    </w:p>
    <w:p>
      <w:pPr>
        <w:widowControl/>
        <w:spacing w:line="300" w:lineRule="auto"/>
        <w:ind w:firstLine="480" w:firstLineChars="200"/>
        <w:rPr>
          <w:rFonts w:ascii="宋体" w:hAnsi="宋体"/>
          <w:kern w:val="0"/>
          <w:sz w:val="24"/>
        </w:rPr>
      </w:pPr>
      <w:r>
        <w:rPr>
          <w:rFonts w:hint="eastAsia" w:ascii="宋体" w:hAnsi="宋体"/>
          <w:kern w:val="0"/>
          <w:sz w:val="24"/>
        </w:rPr>
        <w:t>4)实施阶段：根据策划结果，落实安全标准化方案的各项要求。安全标准化的实施，要体现全员、全过程、全方位、全天候的安全管理原则，通过有效方式实现信息的交流和沟通（如定期召开安全标准化会议等），改进企业的安全设施和环境，不断提高职工的安全意识和领导的安全管理水平。</w:t>
      </w:r>
    </w:p>
    <w:p>
      <w:pPr>
        <w:widowControl/>
        <w:spacing w:line="300" w:lineRule="auto"/>
        <w:ind w:firstLine="480" w:firstLineChars="200"/>
        <w:rPr>
          <w:rFonts w:ascii="宋体" w:hAnsi="宋体"/>
          <w:kern w:val="0"/>
          <w:sz w:val="24"/>
        </w:rPr>
      </w:pPr>
      <w:r>
        <w:rPr>
          <w:rFonts w:hint="eastAsia" w:ascii="宋体" w:hAnsi="宋体"/>
          <w:kern w:val="0"/>
          <w:sz w:val="24"/>
        </w:rPr>
        <w:t>5)自评阶段：经过一段时间的运行，安全标准化领导小组对企业安全标准化的实施情况进行检查和评价，发现问题，找出差距，提出完善措施。</w:t>
      </w:r>
    </w:p>
    <w:p>
      <w:pPr>
        <w:widowControl/>
        <w:spacing w:line="300" w:lineRule="auto"/>
        <w:ind w:firstLine="480" w:firstLineChars="200"/>
        <w:rPr>
          <w:rFonts w:ascii="宋体" w:hAnsi="宋体"/>
          <w:kern w:val="0"/>
          <w:sz w:val="24"/>
        </w:rPr>
      </w:pPr>
      <w:r>
        <w:rPr>
          <w:rFonts w:hint="eastAsia" w:ascii="宋体" w:hAnsi="宋体"/>
          <w:kern w:val="0"/>
          <w:sz w:val="24"/>
        </w:rPr>
        <w:t>6)改进与提高阶段：采用计划（P）、实施（D）、检查（C）、改进（A）动态循环、持续改进的管理模式，不断提高安全标准化实施水平，改进企业的安全管理条件，促进企业安全管理上台阶。</w:t>
      </w:r>
    </w:p>
    <w:p>
      <w:pPr>
        <w:widowControl/>
        <w:spacing w:line="300" w:lineRule="auto"/>
        <w:ind w:firstLine="480" w:firstLineChars="200"/>
        <w:rPr>
          <w:rFonts w:ascii="宋体" w:hAnsi="宋体"/>
          <w:kern w:val="0"/>
          <w:sz w:val="24"/>
        </w:rPr>
      </w:pPr>
      <w:r>
        <w:rPr>
          <w:rFonts w:hint="eastAsia" w:ascii="宋体" w:hAnsi="宋体"/>
          <w:kern w:val="0"/>
          <w:sz w:val="24"/>
        </w:rPr>
        <w:t>7)安全标准化采取企业自主管理，安全标准化考核机构考评、政府安全生产监督管理部门监督的管理模式，持续改进企业的安全绩效，实现企业安全生产长效机制。</w:t>
      </w:r>
    </w:p>
    <w:p>
      <w:pPr>
        <w:widowControl/>
        <w:spacing w:line="300" w:lineRule="auto"/>
        <w:ind w:firstLine="480" w:firstLineChars="200"/>
        <w:rPr>
          <w:rFonts w:ascii="宋体" w:hAnsi="宋体"/>
          <w:kern w:val="0"/>
          <w:sz w:val="24"/>
        </w:rPr>
      </w:pPr>
      <w:r>
        <w:rPr>
          <w:rFonts w:hint="eastAsia" w:ascii="宋体" w:hAnsi="宋体"/>
          <w:kern w:val="0"/>
          <w:sz w:val="24"/>
        </w:rPr>
        <w:t>2、安全生产标准化复评</w:t>
      </w:r>
    </w:p>
    <w:p>
      <w:pPr>
        <w:widowControl/>
        <w:spacing w:line="300" w:lineRule="auto"/>
        <w:ind w:firstLine="480" w:firstLineChars="200"/>
        <w:rPr>
          <w:rFonts w:ascii="宋体" w:hAnsi="宋体" w:cs="宋体"/>
          <w:kern w:val="0"/>
          <w:sz w:val="24"/>
        </w:rPr>
      </w:pPr>
      <w:r>
        <w:rPr>
          <w:rFonts w:hint="eastAsia" w:ascii="宋体" w:hAnsi="宋体" w:cs="宋体"/>
          <w:kern w:val="0"/>
          <w:sz w:val="24"/>
        </w:rPr>
        <w:t>根据《国务院关于进一步加强企业安全生产工作的通知》(国发〔2010〕23号)和《湖北省人民政府办公厅关于深化企业安全生产标准化建设的指导意见》鄂政办发〔2013〕3号精神，在公司的统一布署下，落实安全标准化自评工作要求，全面提升企业的安全生产水平，加强对企业的安全生产监督管理，切实加强基层和基础工作，促进自我约束，建立持续改进的安全生产长效机制。</w:t>
      </w:r>
    </w:p>
    <w:p>
      <w:pPr>
        <w:widowControl/>
        <w:spacing w:line="300" w:lineRule="auto"/>
        <w:ind w:firstLine="480" w:firstLineChars="200"/>
        <w:rPr>
          <w:rFonts w:ascii="宋体" w:hAnsi="宋体" w:cs="宋体"/>
          <w:kern w:val="0"/>
          <w:sz w:val="24"/>
        </w:rPr>
      </w:pPr>
      <w:r>
        <w:rPr>
          <w:sz w:val="24"/>
        </w:rPr>
        <w:t>公司</w:t>
      </w:r>
      <w:r>
        <w:rPr>
          <w:rFonts w:hAnsi="宋体"/>
          <w:sz w:val="24"/>
        </w:rPr>
        <w:t>从</w:t>
      </w:r>
      <w:r>
        <w:rPr>
          <w:rFonts w:hint="eastAsia"/>
          <w:sz w:val="24"/>
        </w:rPr>
        <w:t>202</w:t>
      </w:r>
      <w:r>
        <w:rPr>
          <w:rFonts w:hint="eastAsia"/>
          <w:sz w:val="24"/>
          <w:lang w:val="en-US" w:eastAsia="zh-CN"/>
        </w:rPr>
        <w:t>3</w:t>
      </w:r>
      <w:r>
        <w:rPr>
          <w:sz w:val="24"/>
        </w:rPr>
        <w:t>年</w:t>
      </w:r>
      <w:r>
        <w:rPr>
          <w:rFonts w:hint="eastAsia"/>
          <w:sz w:val="24"/>
        </w:rPr>
        <w:t>10</w:t>
      </w:r>
      <w:r>
        <w:rPr>
          <w:rFonts w:hAnsi="宋体"/>
          <w:sz w:val="24"/>
        </w:rPr>
        <w:t>月组织开展安全标准化</w:t>
      </w:r>
      <w:r>
        <w:rPr>
          <w:rFonts w:hint="eastAsia" w:hAnsi="宋体"/>
          <w:sz w:val="24"/>
        </w:rPr>
        <w:t>复评</w:t>
      </w:r>
      <w:r>
        <w:rPr>
          <w:rFonts w:hAnsi="宋体"/>
          <w:sz w:val="24"/>
        </w:rPr>
        <w:t>工作，经过初始评审、策划、培训、实施、自评、改进与提高等六个阶段</w:t>
      </w:r>
      <w:r>
        <w:rPr>
          <w:rFonts w:hint="eastAsia" w:hAnsi="宋体"/>
          <w:sz w:val="24"/>
        </w:rPr>
        <w:t>的工作</w:t>
      </w:r>
      <w:r>
        <w:rPr>
          <w:rFonts w:hAnsi="宋体"/>
          <w:sz w:val="24"/>
        </w:rPr>
        <w:t>，取得了明显的效果，生产作业现场安全生产状况有了明显的改观，员工的安全意识进一步地提高</w:t>
      </w:r>
      <w:r>
        <w:rPr>
          <w:rFonts w:hint="eastAsia" w:hAnsi="宋体"/>
          <w:sz w:val="24"/>
        </w:rPr>
        <w:t>。</w:t>
      </w:r>
    </w:p>
    <w:p>
      <w:pPr>
        <w:widowControl/>
        <w:spacing w:line="300" w:lineRule="auto"/>
        <w:ind w:firstLine="480" w:firstLineChars="200"/>
        <w:rPr>
          <w:rFonts w:ascii="宋体" w:hAnsi="宋体" w:cs="宋体"/>
          <w:kern w:val="0"/>
          <w:sz w:val="24"/>
        </w:rPr>
      </w:pPr>
      <w:r>
        <w:rPr>
          <w:rFonts w:hint="eastAsia" w:ascii="宋体" w:hAnsi="宋体" w:cs="宋体"/>
          <w:kern w:val="0"/>
          <w:sz w:val="24"/>
        </w:rPr>
        <w:t>复评工作启动后，为了扎实实施，公司成立了由总经理祝捷</w:t>
      </w:r>
      <w:r>
        <w:rPr>
          <w:rFonts w:hint="eastAsia" w:ascii="宋体" w:hAnsi="宋体"/>
          <w:bCs/>
          <w:kern w:val="44"/>
          <w:sz w:val="24"/>
        </w:rPr>
        <w:t>任组长，</w:t>
      </w:r>
      <w:r>
        <w:rPr>
          <w:rFonts w:hint="eastAsia" w:ascii="宋体" w:hAnsi="宋体" w:cs="宋体"/>
          <w:kern w:val="0"/>
          <w:sz w:val="24"/>
        </w:rPr>
        <w:t>相关部门负责人为成员的安全标准化复评工作领导小组，领导小组下设办公室，办公室设在安环部</w:t>
      </w:r>
      <w:r>
        <w:rPr>
          <w:rFonts w:hint="eastAsia" w:ascii="宋体" w:hAnsi="宋体"/>
          <w:bCs/>
          <w:kern w:val="44"/>
          <w:sz w:val="24"/>
        </w:rPr>
        <w:t>，由</w:t>
      </w:r>
      <w:r>
        <w:rPr>
          <w:rFonts w:hint="eastAsia" w:ascii="宋体" w:hAnsi="宋体" w:cs="宋体"/>
          <w:kern w:val="0"/>
          <w:sz w:val="24"/>
        </w:rPr>
        <w:t>安环部</w:t>
      </w:r>
      <w:r>
        <w:rPr>
          <w:rFonts w:hint="eastAsia" w:ascii="宋体" w:hAnsi="宋体"/>
          <w:bCs/>
          <w:kern w:val="44"/>
          <w:sz w:val="24"/>
        </w:rPr>
        <w:t>具体负责安全生产复审事宜，</w:t>
      </w:r>
      <w:r>
        <w:rPr>
          <w:rFonts w:hint="eastAsia" w:ascii="宋体" w:hAnsi="宋体" w:cs="宋体"/>
          <w:kern w:val="0"/>
          <w:sz w:val="24"/>
        </w:rPr>
        <w:t>专门协调部门负责部署与指导复评工作。</w:t>
      </w:r>
    </w:p>
    <w:p>
      <w:pPr>
        <w:widowControl/>
        <w:spacing w:line="300" w:lineRule="auto"/>
        <w:ind w:firstLine="480" w:firstLineChars="200"/>
        <w:rPr>
          <w:rFonts w:ascii="宋体" w:hAnsi="宋体"/>
          <w:kern w:val="0"/>
          <w:sz w:val="24"/>
        </w:rPr>
      </w:pPr>
      <w:r>
        <w:rPr>
          <w:rFonts w:hint="eastAsia" w:ascii="宋体" w:hAnsi="宋体" w:cs="宋体"/>
          <w:kern w:val="0"/>
          <w:sz w:val="24"/>
        </w:rPr>
        <w:t>安全标准化复评工作领导小组</w:t>
      </w:r>
      <w:r>
        <w:rPr>
          <w:rFonts w:hint="eastAsia" w:ascii="宋体" w:hAnsi="宋体"/>
          <w:kern w:val="0"/>
          <w:sz w:val="24"/>
        </w:rPr>
        <w:t>按照各自职责开展安全生产标准化自评工作。根据自评情况，针对发现的问题一一列出清单，经总经理亲自布置安排，各部门将责任落实到位，整改到位。整改完毕后，经安环部验收合格，近期无法整改的不符合项列入持续整改项，根据计划，整改落实到位。</w:t>
      </w:r>
    </w:p>
    <w:p>
      <w:pPr>
        <w:widowControl/>
        <w:spacing w:line="300" w:lineRule="auto"/>
        <w:ind w:firstLine="480" w:firstLineChars="200"/>
        <w:rPr>
          <w:rFonts w:ascii="宋体" w:hAnsi="宋体"/>
          <w:bCs/>
          <w:kern w:val="44"/>
          <w:sz w:val="24"/>
        </w:rPr>
      </w:pPr>
      <w:r>
        <w:rPr>
          <w:rFonts w:hint="eastAsia" w:ascii="宋体" w:hAnsi="宋体"/>
          <w:bCs/>
          <w:kern w:val="44"/>
          <w:sz w:val="24"/>
        </w:rPr>
        <w:t>3、标准化复评及隐患整改经费的落实情况</w:t>
      </w:r>
    </w:p>
    <w:p>
      <w:pPr>
        <w:widowControl/>
        <w:spacing w:line="300" w:lineRule="auto"/>
        <w:ind w:firstLine="480" w:firstLineChars="200"/>
        <w:rPr>
          <w:rFonts w:ascii="宋体" w:hAnsi="宋体" w:cs="宋体"/>
          <w:kern w:val="0"/>
          <w:sz w:val="24"/>
        </w:rPr>
      </w:pPr>
      <w:r>
        <w:rPr>
          <w:rFonts w:hint="eastAsia" w:ascii="宋体" w:hAnsi="宋体" w:cs="宋体"/>
          <w:kern w:val="0"/>
          <w:sz w:val="24"/>
        </w:rPr>
        <w:t>公司安全标准化复评及隐患整改经费在公司安全专项费用里支付。公司预算经费8万元，主要用于标准化咨询、评审；标准化培训、隐患排查治理等方面。经费具体列支见下表：</w:t>
      </w:r>
    </w:p>
    <w:tbl>
      <w:tblPr>
        <w:tblStyle w:val="24"/>
        <w:tblW w:w="922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7"/>
        <w:gridCol w:w="2883"/>
        <w:gridCol w:w="1700"/>
        <w:gridCol w:w="2350"/>
        <w:gridCol w:w="15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7" w:type="dxa"/>
            <w:vAlign w:val="center"/>
          </w:tcPr>
          <w:p>
            <w:pPr>
              <w:spacing w:line="300" w:lineRule="auto"/>
              <w:jc w:val="center"/>
              <w:rPr>
                <w:rFonts w:ascii="宋体" w:hAnsi="宋体"/>
                <w:sz w:val="24"/>
              </w:rPr>
            </w:pPr>
            <w:r>
              <w:rPr>
                <w:rFonts w:hint="eastAsia" w:ascii="宋体" w:hAnsi="宋体"/>
                <w:sz w:val="24"/>
              </w:rPr>
              <w:t>序号</w:t>
            </w:r>
          </w:p>
        </w:tc>
        <w:tc>
          <w:tcPr>
            <w:tcW w:w="2883" w:type="dxa"/>
            <w:vAlign w:val="center"/>
          </w:tcPr>
          <w:p>
            <w:pPr>
              <w:spacing w:line="300" w:lineRule="auto"/>
              <w:jc w:val="center"/>
              <w:rPr>
                <w:rFonts w:ascii="宋体" w:hAnsi="宋体"/>
                <w:sz w:val="24"/>
              </w:rPr>
            </w:pPr>
            <w:r>
              <w:rPr>
                <w:rFonts w:hint="eastAsia" w:ascii="宋体" w:hAnsi="宋体"/>
                <w:sz w:val="24"/>
              </w:rPr>
              <w:t>经费类别</w:t>
            </w:r>
          </w:p>
        </w:tc>
        <w:tc>
          <w:tcPr>
            <w:tcW w:w="1700" w:type="dxa"/>
            <w:vAlign w:val="center"/>
          </w:tcPr>
          <w:p>
            <w:pPr>
              <w:spacing w:line="300" w:lineRule="auto"/>
              <w:jc w:val="center"/>
              <w:rPr>
                <w:rFonts w:ascii="宋体" w:hAnsi="宋体"/>
                <w:sz w:val="24"/>
              </w:rPr>
            </w:pPr>
            <w:r>
              <w:rPr>
                <w:rFonts w:hint="eastAsia" w:ascii="宋体" w:hAnsi="宋体"/>
                <w:sz w:val="24"/>
              </w:rPr>
              <w:t>计划金额</w:t>
            </w:r>
          </w:p>
        </w:tc>
        <w:tc>
          <w:tcPr>
            <w:tcW w:w="2350" w:type="dxa"/>
            <w:vAlign w:val="center"/>
          </w:tcPr>
          <w:p>
            <w:pPr>
              <w:spacing w:line="300" w:lineRule="auto"/>
              <w:jc w:val="center"/>
              <w:rPr>
                <w:rFonts w:ascii="宋体" w:hAnsi="宋体"/>
                <w:sz w:val="24"/>
              </w:rPr>
            </w:pPr>
            <w:r>
              <w:rPr>
                <w:rFonts w:hint="eastAsia" w:ascii="宋体" w:hAnsi="宋体"/>
                <w:sz w:val="24"/>
              </w:rPr>
              <w:t>实际使用金额</w:t>
            </w:r>
          </w:p>
        </w:tc>
        <w:tc>
          <w:tcPr>
            <w:tcW w:w="1583" w:type="dxa"/>
            <w:vAlign w:val="center"/>
          </w:tcPr>
          <w:p>
            <w:pPr>
              <w:spacing w:line="300" w:lineRule="auto"/>
              <w:jc w:val="center"/>
              <w:rPr>
                <w:rFonts w:ascii="宋体" w:hAnsi="宋体"/>
                <w:sz w:val="24"/>
              </w:rPr>
            </w:pPr>
            <w:r>
              <w:rPr>
                <w:rFonts w:hint="eastAsia" w:ascii="宋体" w:hAnsi="宋体"/>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7" w:type="dxa"/>
            <w:vAlign w:val="center"/>
          </w:tcPr>
          <w:p>
            <w:pPr>
              <w:spacing w:line="300" w:lineRule="auto"/>
              <w:jc w:val="center"/>
              <w:rPr>
                <w:rFonts w:ascii="宋体" w:hAnsi="宋体"/>
                <w:sz w:val="24"/>
              </w:rPr>
            </w:pPr>
            <w:r>
              <w:rPr>
                <w:rFonts w:hint="eastAsia" w:ascii="宋体" w:hAnsi="宋体"/>
                <w:sz w:val="24"/>
              </w:rPr>
              <w:t>1</w:t>
            </w:r>
          </w:p>
        </w:tc>
        <w:tc>
          <w:tcPr>
            <w:tcW w:w="2883" w:type="dxa"/>
            <w:vAlign w:val="center"/>
          </w:tcPr>
          <w:p>
            <w:pPr>
              <w:spacing w:line="300" w:lineRule="auto"/>
              <w:jc w:val="center"/>
              <w:rPr>
                <w:rFonts w:ascii="宋体" w:hAnsi="宋体"/>
                <w:color w:val="auto"/>
                <w:sz w:val="24"/>
              </w:rPr>
            </w:pPr>
            <w:r>
              <w:rPr>
                <w:rFonts w:hint="eastAsia" w:ascii="宋体" w:hAnsi="宋体"/>
                <w:color w:val="auto"/>
                <w:sz w:val="24"/>
              </w:rPr>
              <w:t>标准化咨询、评审费用</w:t>
            </w:r>
          </w:p>
        </w:tc>
        <w:tc>
          <w:tcPr>
            <w:tcW w:w="1700" w:type="dxa"/>
            <w:vAlign w:val="center"/>
          </w:tcPr>
          <w:p>
            <w:pPr>
              <w:spacing w:line="300" w:lineRule="auto"/>
              <w:jc w:val="center"/>
              <w:rPr>
                <w:rFonts w:ascii="宋体" w:hAnsi="宋体"/>
                <w:color w:val="auto"/>
                <w:sz w:val="24"/>
              </w:rPr>
            </w:pPr>
            <w:r>
              <w:rPr>
                <w:rFonts w:hint="eastAsia" w:ascii="仿宋_GB2312"/>
                <w:snapToGrid w:val="0"/>
                <w:color w:val="auto"/>
                <w:kern w:val="0"/>
                <w:sz w:val="24"/>
              </w:rPr>
              <w:t>3万元</w:t>
            </w:r>
          </w:p>
        </w:tc>
        <w:tc>
          <w:tcPr>
            <w:tcW w:w="2350" w:type="dxa"/>
          </w:tcPr>
          <w:p>
            <w:pPr>
              <w:jc w:val="center"/>
              <w:rPr>
                <w:color w:val="auto"/>
              </w:rPr>
            </w:pPr>
            <w:r>
              <w:rPr>
                <w:rFonts w:hint="eastAsia" w:ascii="仿宋_GB2312"/>
                <w:snapToGrid w:val="0"/>
                <w:color w:val="auto"/>
                <w:kern w:val="0"/>
                <w:sz w:val="24"/>
              </w:rPr>
              <w:t>3万元</w:t>
            </w:r>
          </w:p>
        </w:tc>
        <w:tc>
          <w:tcPr>
            <w:tcW w:w="1583" w:type="dxa"/>
            <w:vAlign w:val="center"/>
          </w:tcPr>
          <w:p>
            <w:pPr>
              <w:spacing w:line="300" w:lineRule="auto"/>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7" w:type="dxa"/>
            <w:vAlign w:val="center"/>
          </w:tcPr>
          <w:p>
            <w:pPr>
              <w:spacing w:line="300" w:lineRule="auto"/>
              <w:jc w:val="center"/>
              <w:rPr>
                <w:rFonts w:ascii="宋体" w:hAnsi="宋体"/>
                <w:sz w:val="24"/>
              </w:rPr>
            </w:pPr>
            <w:r>
              <w:rPr>
                <w:rFonts w:hint="eastAsia" w:ascii="宋体" w:hAnsi="宋体"/>
                <w:sz w:val="24"/>
              </w:rPr>
              <w:t>2</w:t>
            </w:r>
          </w:p>
        </w:tc>
        <w:tc>
          <w:tcPr>
            <w:tcW w:w="2883" w:type="dxa"/>
            <w:vAlign w:val="center"/>
          </w:tcPr>
          <w:p>
            <w:pPr>
              <w:spacing w:line="300" w:lineRule="auto"/>
              <w:jc w:val="center"/>
              <w:rPr>
                <w:rFonts w:ascii="宋体" w:hAnsi="宋体"/>
                <w:color w:val="auto"/>
                <w:sz w:val="24"/>
              </w:rPr>
            </w:pPr>
            <w:r>
              <w:rPr>
                <w:rFonts w:hint="eastAsia" w:ascii="宋体" w:hAnsi="宋体"/>
                <w:color w:val="auto"/>
                <w:sz w:val="24"/>
              </w:rPr>
              <w:t>标准化培训（内、外部）</w:t>
            </w:r>
          </w:p>
        </w:tc>
        <w:tc>
          <w:tcPr>
            <w:tcW w:w="1700" w:type="dxa"/>
          </w:tcPr>
          <w:p>
            <w:pPr>
              <w:jc w:val="center"/>
              <w:rPr>
                <w:color w:val="auto"/>
              </w:rPr>
            </w:pPr>
            <w:r>
              <w:rPr>
                <w:rFonts w:hint="eastAsia" w:ascii="仿宋_GB2312"/>
                <w:snapToGrid w:val="0"/>
                <w:color w:val="auto"/>
                <w:kern w:val="0"/>
                <w:sz w:val="24"/>
              </w:rPr>
              <w:t>1.5万元</w:t>
            </w:r>
          </w:p>
        </w:tc>
        <w:tc>
          <w:tcPr>
            <w:tcW w:w="2350" w:type="dxa"/>
          </w:tcPr>
          <w:p>
            <w:pPr>
              <w:jc w:val="center"/>
              <w:rPr>
                <w:color w:val="auto"/>
              </w:rPr>
            </w:pPr>
            <w:r>
              <w:rPr>
                <w:rFonts w:hint="eastAsia" w:ascii="仿宋_GB2312"/>
                <w:snapToGrid w:val="0"/>
                <w:color w:val="auto"/>
                <w:kern w:val="0"/>
                <w:sz w:val="24"/>
              </w:rPr>
              <w:t>1.5万元</w:t>
            </w:r>
          </w:p>
        </w:tc>
        <w:tc>
          <w:tcPr>
            <w:tcW w:w="1583" w:type="dxa"/>
            <w:vAlign w:val="center"/>
          </w:tcPr>
          <w:p>
            <w:pPr>
              <w:spacing w:line="300" w:lineRule="auto"/>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7" w:type="dxa"/>
            <w:vAlign w:val="center"/>
          </w:tcPr>
          <w:p>
            <w:pPr>
              <w:spacing w:line="300" w:lineRule="auto"/>
              <w:jc w:val="center"/>
              <w:rPr>
                <w:rFonts w:ascii="宋体" w:hAnsi="宋体"/>
                <w:sz w:val="24"/>
              </w:rPr>
            </w:pPr>
            <w:r>
              <w:rPr>
                <w:rFonts w:hint="eastAsia" w:ascii="宋体" w:hAnsi="宋体"/>
                <w:sz w:val="24"/>
              </w:rPr>
              <w:t>3</w:t>
            </w:r>
          </w:p>
        </w:tc>
        <w:tc>
          <w:tcPr>
            <w:tcW w:w="2883" w:type="dxa"/>
            <w:vAlign w:val="center"/>
          </w:tcPr>
          <w:p>
            <w:pPr>
              <w:spacing w:line="300" w:lineRule="auto"/>
              <w:jc w:val="center"/>
              <w:rPr>
                <w:rFonts w:ascii="宋体" w:hAnsi="宋体"/>
                <w:color w:val="auto"/>
                <w:sz w:val="24"/>
              </w:rPr>
            </w:pPr>
            <w:r>
              <w:rPr>
                <w:rFonts w:hint="eastAsia" w:ascii="宋体" w:hAnsi="宋体"/>
                <w:color w:val="auto"/>
                <w:sz w:val="24"/>
              </w:rPr>
              <w:t>标准化隐患排查治理</w:t>
            </w:r>
          </w:p>
        </w:tc>
        <w:tc>
          <w:tcPr>
            <w:tcW w:w="1700" w:type="dxa"/>
          </w:tcPr>
          <w:p>
            <w:pPr>
              <w:jc w:val="center"/>
              <w:rPr>
                <w:color w:val="auto"/>
              </w:rPr>
            </w:pPr>
            <w:r>
              <w:rPr>
                <w:rFonts w:hint="eastAsia" w:ascii="仿宋_GB2312"/>
                <w:snapToGrid w:val="0"/>
                <w:color w:val="auto"/>
                <w:kern w:val="0"/>
                <w:sz w:val="24"/>
              </w:rPr>
              <w:t>3万元</w:t>
            </w:r>
          </w:p>
        </w:tc>
        <w:tc>
          <w:tcPr>
            <w:tcW w:w="2350" w:type="dxa"/>
          </w:tcPr>
          <w:p>
            <w:pPr>
              <w:jc w:val="center"/>
              <w:rPr>
                <w:color w:val="auto"/>
              </w:rPr>
            </w:pPr>
            <w:r>
              <w:rPr>
                <w:rFonts w:hint="eastAsia" w:ascii="仿宋_GB2312"/>
                <w:snapToGrid w:val="0"/>
                <w:color w:val="auto"/>
                <w:kern w:val="0"/>
                <w:sz w:val="24"/>
              </w:rPr>
              <w:t>3万元</w:t>
            </w:r>
          </w:p>
        </w:tc>
        <w:tc>
          <w:tcPr>
            <w:tcW w:w="1583" w:type="dxa"/>
            <w:vAlign w:val="center"/>
          </w:tcPr>
          <w:p>
            <w:pPr>
              <w:spacing w:line="300" w:lineRule="auto"/>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7" w:type="dxa"/>
            <w:vAlign w:val="center"/>
          </w:tcPr>
          <w:p>
            <w:pPr>
              <w:spacing w:line="300" w:lineRule="auto"/>
              <w:jc w:val="center"/>
              <w:rPr>
                <w:rFonts w:ascii="宋体" w:hAnsi="宋体"/>
                <w:sz w:val="24"/>
              </w:rPr>
            </w:pPr>
            <w:r>
              <w:rPr>
                <w:rFonts w:hint="eastAsia" w:ascii="宋体" w:hAnsi="宋体"/>
                <w:sz w:val="24"/>
              </w:rPr>
              <w:t>4</w:t>
            </w:r>
          </w:p>
        </w:tc>
        <w:tc>
          <w:tcPr>
            <w:tcW w:w="2883" w:type="dxa"/>
            <w:vAlign w:val="center"/>
          </w:tcPr>
          <w:p>
            <w:pPr>
              <w:spacing w:line="300" w:lineRule="auto"/>
              <w:jc w:val="center"/>
              <w:rPr>
                <w:rFonts w:ascii="宋体" w:hAnsi="宋体"/>
                <w:color w:val="auto"/>
                <w:sz w:val="24"/>
              </w:rPr>
            </w:pPr>
            <w:r>
              <w:rPr>
                <w:rFonts w:hint="eastAsia" w:ascii="宋体" w:hAnsi="宋体"/>
                <w:color w:val="auto"/>
                <w:sz w:val="24"/>
              </w:rPr>
              <w:t>其它</w:t>
            </w:r>
          </w:p>
        </w:tc>
        <w:tc>
          <w:tcPr>
            <w:tcW w:w="1700" w:type="dxa"/>
          </w:tcPr>
          <w:p>
            <w:pPr>
              <w:jc w:val="center"/>
              <w:rPr>
                <w:color w:val="auto"/>
              </w:rPr>
            </w:pPr>
            <w:r>
              <w:rPr>
                <w:rFonts w:hint="eastAsia" w:ascii="仿宋_GB2312"/>
                <w:snapToGrid w:val="0"/>
                <w:color w:val="auto"/>
                <w:kern w:val="0"/>
                <w:sz w:val="24"/>
              </w:rPr>
              <w:t>0.5万元</w:t>
            </w:r>
          </w:p>
        </w:tc>
        <w:tc>
          <w:tcPr>
            <w:tcW w:w="2350" w:type="dxa"/>
          </w:tcPr>
          <w:p>
            <w:pPr>
              <w:jc w:val="center"/>
              <w:rPr>
                <w:color w:val="auto"/>
              </w:rPr>
            </w:pPr>
            <w:r>
              <w:rPr>
                <w:rFonts w:hint="eastAsia" w:ascii="仿宋_GB2312"/>
                <w:snapToGrid w:val="0"/>
                <w:color w:val="auto"/>
                <w:kern w:val="0"/>
                <w:sz w:val="24"/>
              </w:rPr>
              <w:t>0.5万元</w:t>
            </w:r>
          </w:p>
        </w:tc>
        <w:tc>
          <w:tcPr>
            <w:tcW w:w="1583" w:type="dxa"/>
            <w:vAlign w:val="center"/>
          </w:tcPr>
          <w:p>
            <w:pPr>
              <w:spacing w:line="300" w:lineRule="auto"/>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7" w:type="dxa"/>
            <w:vAlign w:val="center"/>
          </w:tcPr>
          <w:p>
            <w:pPr>
              <w:spacing w:line="300" w:lineRule="auto"/>
              <w:jc w:val="center"/>
              <w:rPr>
                <w:rFonts w:ascii="宋体" w:hAnsi="宋体"/>
                <w:sz w:val="24"/>
              </w:rPr>
            </w:pPr>
            <w:r>
              <w:rPr>
                <w:rFonts w:hint="eastAsia" w:ascii="宋体" w:hAnsi="宋体"/>
                <w:sz w:val="24"/>
              </w:rPr>
              <w:t>5</w:t>
            </w:r>
          </w:p>
        </w:tc>
        <w:tc>
          <w:tcPr>
            <w:tcW w:w="2883" w:type="dxa"/>
            <w:vAlign w:val="center"/>
          </w:tcPr>
          <w:p>
            <w:pPr>
              <w:spacing w:line="300" w:lineRule="auto"/>
              <w:jc w:val="center"/>
              <w:rPr>
                <w:rFonts w:ascii="宋体" w:hAnsi="宋体"/>
                <w:color w:val="auto"/>
                <w:sz w:val="24"/>
              </w:rPr>
            </w:pPr>
            <w:r>
              <w:rPr>
                <w:rFonts w:hint="eastAsia" w:ascii="宋体" w:hAnsi="宋体"/>
                <w:color w:val="auto"/>
                <w:sz w:val="24"/>
              </w:rPr>
              <w:t>总计</w:t>
            </w:r>
          </w:p>
        </w:tc>
        <w:tc>
          <w:tcPr>
            <w:tcW w:w="1700" w:type="dxa"/>
          </w:tcPr>
          <w:p>
            <w:pPr>
              <w:jc w:val="center"/>
              <w:rPr>
                <w:color w:val="auto"/>
              </w:rPr>
            </w:pPr>
            <w:r>
              <w:rPr>
                <w:rFonts w:hint="eastAsia" w:ascii="仿宋_GB2312"/>
                <w:snapToGrid w:val="0"/>
                <w:color w:val="auto"/>
                <w:kern w:val="0"/>
                <w:sz w:val="24"/>
              </w:rPr>
              <w:t>8万元</w:t>
            </w:r>
          </w:p>
        </w:tc>
        <w:tc>
          <w:tcPr>
            <w:tcW w:w="2350" w:type="dxa"/>
          </w:tcPr>
          <w:p>
            <w:pPr>
              <w:jc w:val="center"/>
              <w:rPr>
                <w:color w:val="auto"/>
              </w:rPr>
            </w:pPr>
            <w:r>
              <w:rPr>
                <w:rFonts w:hint="eastAsia" w:ascii="仿宋_GB2312"/>
                <w:snapToGrid w:val="0"/>
                <w:color w:val="auto"/>
                <w:kern w:val="0"/>
                <w:sz w:val="24"/>
              </w:rPr>
              <w:t>8万元</w:t>
            </w:r>
          </w:p>
        </w:tc>
        <w:tc>
          <w:tcPr>
            <w:tcW w:w="1583" w:type="dxa"/>
            <w:vAlign w:val="center"/>
          </w:tcPr>
          <w:p>
            <w:pPr>
              <w:spacing w:line="300" w:lineRule="auto"/>
              <w:jc w:val="center"/>
              <w:rPr>
                <w:rFonts w:ascii="宋体" w:hAnsi="宋体"/>
                <w:sz w:val="24"/>
              </w:rPr>
            </w:pPr>
          </w:p>
        </w:tc>
      </w:tr>
    </w:tbl>
    <w:p>
      <w:pPr>
        <w:spacing w:line="300" w:lineRule="auto"/>
        <w:ind w:firstLine="480" w:firstLineChars="200"/>
        <w:rPr>
          <w:rFonts w:ascii="宋体" w:hAnsi="宋体" w:cs="宋体"/>
          <w:kern w:val="0"/>
          <w:sz w:val="24"/>
        </w:rPr>
      </w:pPr>
      <w:r>
        <w:rPr>
          <w:rFonts w:hint="eastAsia" w:ascii="宋体" w:hAnsi="宋体"/>
          <w:sz w:val="24"/>
        </w:rPr>
        <w:t>公司对隐患整改实行“五定”原则：定时间、定责任人、定整改措施、定资金、定措施。根据隐患的大小，确定整改方案，根据整改方案使用专款进行整改，整改完成后由</w:t>
      </w:r>
      <w:r>
        <w:rPr>
          <w:rFonts w:hint="eastAsia" w:ascii="宋体" w:hAnsi="宋体" w:cs="宋体"/>
          <w:kern w:val="0"/>
          <w:sz w:val="24"/>
        </w:rPr>
        <w:t>安环部</w:t>
      </w:r>
      <w:r>
        <w:rPr>
          <w:rFonts w:hint="eastAsia" w:ascii="宋体" w:hAnsi="宋体"/>
          <w:sz w:val="24"/>
        </w:rPr>
        <w:t>进行验收。确保资金专款专用，整改落到实处。</w:t>
      </w:r>
    </w:p>
    <w:p>
      <w:pPr>
        <w:widowControl/>
        <w:spacing w:line="300" w:lineRule="auto"/>
        <w:rPr>
          <w:rFonts w:ascii="宋体" w:hAnsi="宋体" w:cs="宋体"/>
          <w:kern w:val="0"/>
          <w:sz w:val="24"/>
        </w:rPr>
      </w:pPr>
      <w:r>
        <w:rPr>
          <w:rFonts w:hint="eastAsia" w:ascii="宋体" w:hAnsi="宋体" w:cs="宋体"/>
          <w:kern w:val="0"/>
          <w:sz w:val="24"/>
        </w:rPr>
        <w:t xml:space="preserve">    4、绩效评定和持续改进</w:t>
      </w:r>
    </w:p>
    <w:p>
      <w:pPr>
        <w:widowControl/>
        <w:spacing w:line="300" w:lineRule="auto"/>
        <w:ind w:firstLine="480" w:firstLineChars="200"/>
        <w:rPr>
          <w:rFonts w:ascii="宋体" w:hAnsi="宋体" w:cs="宋体"/>
          <w:kern w:val="0"/>
          <w:sz w:val="24"/>
        </w:rPr>
      </w:pPr>
      <w:r>
        <w:rPr>
          <w:rFonts w:hint="eastAsia" w:ascii="宋体" w:hAnsi="宋体" w:cs="宋体"/>
          <w:kern w:val="0"/>
          <w:sz w:val="24"/>
        </w:rPr>
        <w:t>公司在推进安全标准化工作中，坚持闭环原则和PDCA原则，落实每次检查出的现场和资料问题，结合实际，实施科学有效的整改方案，并保存相关会议、培训、检查、整改文档。</w:t>
      </w:r>
    </w:p>
    <w:p>
      <w:pPr>
        <w:widowControl/>
        <w:spacing w:line="300" w:lineRule="auto"/>
        <w:ind w:firstLine="480" w:firstLineChars="200"/>
        <w:rPr>
          <w:rFonts w:ascii="宋体" w:hAnsi="宋体" w:cs="宋体"/>
          <w:kern w:val="0"/>
          <w:sz w:val="24"/>
        </w:rPr>
      </w:pPr>
      <w:r>
        <w:rPr>
          <w:rFonts w:hint="eastAsia" w:ascii="宋体" w:hAnsi="宋体" w:cs="宋体"/>
          <w:kern w:val="0"/>
          <w:sz w:val="24"/>
        </w:rPr>
        <w:t>按照公司绩效管理办法，本着以“落实责任、强化管理、促进合作、持续改进”为导向，进行了安全标准化评定工作。</w:t>
      </w:r>
      <w:r>
        <w:rPr>
          <w:rFonts w:hint="eastAsia"/>
          <w:sz w:val="24"/>
        </w:rPr>
        <w:t>公司努力改善广大员工作业条件，长久、持续地把安全标准化工作进行到底，公司安全标准化</w:t>
      </w:r>
      <w:r>
        <w:rPr>
          <w:rFonts w:hint="eastAsia" w:ascii="宋体" w:hAnsi="宋体"/>
          <w:sz w:val="24"/>
        </w:rPr>
        <w:t>班子不散，标准化工作不断，公司坚持每日巡查、月末大检查、每季度开展一次安全评价、考评，年终总评、考核，使安全生产标准化工作规范化、常态化、科学化、制度化，逐步形成安全管理的长效机制</w:t>
      </w:r>
      <w:r>
        <w:rPr>
          <w:rFonts w:hint="eastAsia"/>
          <w:sz w:val="24"/>
        </w:rPr>
        <w:t>；将《危险化学品从业单位安全生产标准化基本规范》的要求作为日常安全管理工作的重要行为准则，来实现安全标准化，最终达到降低职业风险，提高本质安全的目的。</w:t>
      </w:r>
    </w:p>
    <w:p>
      <w:pPr>
        <w:widowControl/>
        <w:spacing w:line="300" w:lineRule="auto"/>
        <w:ind w:firstLine="480" w:firstLineChars="200"/>
        <w:rPr>
          <w:rFonts w:ascii="宋体" w:hAnsi="宋体"/>
          <w:bCs/>
          <w:kern w:val="44"/>
          <w:sz w:val="24"/>
        </w:rPr>
      </w:pPr>
      <w:r>
        <w:rPr>
          <w:rFonts w:hint="eastAsia" w:ascii="宋体" w:hAnsi="宋体" w:cs="宋体"/>
          <w:kern w:val="0"/>
          <w:sz w:val="24"/>
        </w:rPr>
        <w:t>通过近半年来的运行，不断总结、不断调整，公司安全生产标准化水平运行的比较良好。</w:t>
      </w:r>
    </w:p>
    <w:p>
      <w:pPr>
        <w:pStyle w:val="2"/>
        <w:spacing w:before="0" w:after="0" w:line="25" w:lineRule="atLeast"/>
        <w:rPr>
          <w:rFonts w:ascii="宋体" w:hAnsi="宋体"/>
          <w:sz w:val="30"/>
          <w:szCs w:val="30"/>
        </w:rPr>
      </w:pPr>
      <w:bookmarkStart w:id="17" w:name="_Toc523396077"/>
      <w:r>
        <w:rPr>
          <w:rFonts w:hint="eastAsia" w:ascii="宋体" w:hAnsi="宋体"/>
          <w:sz w:val="30"/>
          <w:szCs w:val="30"/>
        </w:rPr>
        <w:t>二、企业安全生产基本情况</w:t>
      </w:r>
      <w:bookmarkEnd w:id="15"/>
      <w:bookmarkEnd w:id="16"/>
      <w:bookmarkEnd w:id="17"/>
    </w:p>
    <w:p>
      <w:pPr>
        <w:pStyle w:val="3"/>
        <w:spacing w:before="0" w:after="0" w:line="25" w:lineRule="atLeast"/>
        <w:rPr>
          <w:rFonts w:ascii="宋体" w:hAnsi="宋体"/>
          <w:sz w:val="28"/>
          <w:szCs w:val="28"/>
        </w:rPr>
      </w:pPr>
      <w:bookmarkStart w:id="18" w:name="_Toc31553"/>
      <w:bookmarkStart w:id="19" w:name="_Toc432195098"/>
      <w:bookmarkStart w:id="20" w:name="_Toc523396078"/>
      <w:r>
        <w:rPr>
          <w:rFonts w:hint="eastAsia" w:ascii="宋体" w:hAnsi="宋体"/>
          <w:sz w:val="28"/>
          <w:szCs w:val="28"/>
        </w:rPr>
        <w:t>（一）安全生产管理制度、操作规程的建立及落实情况</w:t>
      </w:r>
      <w:bookmarkEnd w:id="18"/>
      <w:bookmarkEnd w:id="19"/>
      <w:bookmarkEnd w:id="20"/>
    </w:p>
    <w:p>
      <w:pPr>
        <w:adjustRightInd w:val="0"/>
        <w:snapToGrid w:val="0"/>
        <w:spacing w:line="360" w:lineRule="auto"/>
        <w:ind w:firstLine="480" w:firstLineChars="200"/>
        <w:rPr>
          <w:rFonts w:ascii="宋体" w:hAnsi="宋体"/>
          <w:kern w:val="0"/>
          <w:sz w:val="24"/>
        </w:rPr>
      </w:pPr>
      <w:r>
        <w:rPr>
          <w:rFonts w:hint="eastAsia" w:ascii="宋体" w:hAnsi="宋体"/>
          <w:kern w:val="0"/>
          <w:sz w:val="24"/>
        </w:rPr>
        <w:t>2016年，公司制定了《安全生产管理制度》汇编。本制度汇编由安全生产管理部组织相关部门编写、评审、修改，总经理批准后发布实施；202</w:t>
      </w:r>
      <w:r>
        <w:rPr>
          <w:rFonts w:hint="eastAsia" w:ascii="宋体" w:hAnsi="宋体"/>
          <w:kern w:val="0"/>
          <w:sz w:val="24"/>
          <w:lang w:val="en-US" w:eastAsia="zh-CN"/>
        </w:rPr>
        <w:t>2</w:t>
      </w:r>
      <w:r>
        <w:rPr>
          <w:rFonts w:hint="eastAsia" w:ascii="宋体" w:hAnsi="宋体"/>
          <w:kern w:val="0"/>
          <w:sz w:val="24"/>
        </w:rPr>
        <w:t>年</w:t>
      </w:r>
      <w:r>
        <w:rPr>
          <w:rFonts w:hint="eastAsia" w:ascii="宋体" w:hAnsi="宋体"/>
          <w:kern w:val="0"/>
          <w:sz w:val="24"/>
          <w:lang w:val="en-US" w:eastAsia="zh-CN"/>
        </w:rPr>
        <w:t>1</w:t>
      </w:r>
      <w:r>
        <w:rPr>
          <w:rFonts w:hint="eastAsia" w:ascii="宋体" w:hAnsi="宋体"/>
          <w:kern w:val="0"/>
          <w:sz w:val="24"/>
        </w:rPr>
        <w:t>月组织修改、评审、重新发布并正式实施。</w:t>
      </w:r>
    </w:p>
    <w:p>
      <w:pPr>
        <w:adjustRightInd w:val="0"/>
        <w:snapToGrid w:val="0"/>
        <w:spacing w:line="360" w:lineRule="auto"/>
        <w:ind w:firstLine="480" w:firstLineChars="200"/>
        <w:rPr>
          <w:rFonts w:ascii="宋体" w:hAnsi="宋体"/>
          <w:kern w:val="0"/>
          <w:sz w:val="24"/>
        </w:rPr>
      </w:pPr>
      <w:r>
        <w:rPr>
          <w:rFonts w:hint="eastAsia" w:ascii="宋体" w:hAnsi="宋体"/>
          <w:kern w:val="0"/>
          <w:sz w:val="24"/>
        </w:rPr>
        <w:t>公司所有岗位均制定有操作规程、指导员工进行规范操作。操作规程定期进行评审、修订。</w:t>
      </w:r>
    </w:p>
    <w:p>
      <w:pPr>
        <w:adjustRightInd w:val="0"/>
        <w:snapToGrid w:val="0"/>
        <w:spacing w:line="360" w:lineRule="auto"/>
        <w:ind w:firstLine="480" w:firstLineChars="200"/>
        <w:rPr>
          <w:rFonts w:ascii="宋体" w:hAnsi="宋体"/>
          <w:kern w:val="0"/>
          <w:sz w:val="24"/>
        </w:rPr>
      </w:pPr>
      <w:r>
        <w:rPr>
          <w:rFonts w:hint="eastAsia" w:ascii="宋体" w:hAnsi="宋体"/>
          <w:kern w:val="0"/>
          <w:sz w:val="24"/>
        </w:rPr>
        <w:t>安环部定期组织相关部门和人员培训学习，提高员工的安全生产意识和操作技能，并对安全生产管理制度、操作规程的落实情况进行考核。</w:t>
      </w:r>
    </w:p>
    <w:p>
      <w:pPr>
        <w:adjustRightInd w:val="0"/>
        <w:snapToGrid w:val="0"/>
        <w:spacing w:line="360" w:lineRule="auto"/>
        <w:ind w:firstLine="480" w:firstLineChars="200"/>
        <w:rPr>
          <w:rFonts w:ascii="宋体" w:hAnsi="宋体"/>
          <w:kern w:val="0"/>
          <w:sz w:val="24"/>
        </w:rPr>
      </w:pPr>
      <w:r>
        <w:rPr>
          <w:rFonts w:hint="eastAsia" w:ascii="宋体" w:hAnsi="宋体"/>
          <w:kern w:val="0"/>
          <w:sz w:val="24"/>
        </w:rPr>
        <w:t>安全生产规章制度清单：</w:t>
      </w:r>
    </w:p>
    <w:tbl>
      <w:tblPr>
        <w:tblStyle w:val="24"/>
        <w:tblW w:w="8613"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212"/>
        <w:gridCol w:w="4520"/>
        <w:gridCol w:w="1747"/>
        <w:gridCol w:w="113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blHeader/>
          <w:jc w:val="center"/>
        </w:trPr>
        <w:tc>
          <w:tcPr>
            <w:tcW w:w="1212" w:type="dxa"/>
            <w:vAlign w:val="center"/>
          </w:tcPr>
          <w:p>
            <w:pPr>
              <w:adjustRightInd w:val="0"/>
              <w:snapToGrid w:val="0"/>
              <w:jc w:val="center"/>
              <w:rPr>
                <w:rFonts w:ascii="宋体" w:hAnsi="宋体"/>
                <w:b/>
                <w:kern w:val="0"/>
                <w:sz w:val="18"/>
                <w:szCs w:val="18"/>
              </w:rPr>
            </w:pPr>
            <w:r>
              <w:rPr>
                <w:rFonts w:hint="eastAsia" w:ascii="宋体" w:hAnsi="宋体"/>
                <w:b/>
                <w:kern w:val="0"/>
                <w:sz w:val="18"/>
                <w:szCs w:val="18"/>
              </w:rPr>
              <w:t>序号</w:t>
            </w:r>
          </w:p>
        </w:tc>
        <w:tc>
          <w:tcPr>
            <w:tcW w:w="4520" w:type="dxa"/>
            <w:vAlign w:val="center"/>
          </w:tcPr>
          <w:p>
            <w:pPr>
              <w:adjustRightInd w:val="0"/>
              <w:snapToGrid w:val="0"/>
              <w:jc w:val="center"/>
              <w:rPr>
                <w:rFonts w:ascii="宋体" w:hAnsi="宋体"/>
                <w:b/>
                <w:kern w:val="0"/>
                <w:sz w:val="18"/>
                <w:szCs w:val="18"/>
              </w:rPr>
            </w:pPr>
            <w:r>
              <w:rPr>
                <w:rFonts w:hint="eastAsia" w:ascii="宋体" w:hAnsi="宋体"/>
                <w:b/>
                <w:kern w:val="0"/>
                <w:sz w:val="18"/>
                <w:szCs w:val="18"/>
              </w:rPr>
              <w:t>安全生产规章制度名称</w:t>
            </w:r>
          </w:p>
        </w:tc>
        <w:tc>
          <w:tcPr>
            <w:tcW w:w="1747" w:type="dxa"/>
            <w:vAlign w:val="center"/>
          </w:tcPr>
          <w:p>
            <w:pPr>
              <w:adjustRightInd w:val="0"/>
              <w:snapToGrid w:val="0"/>
              <w:jc w:val="center"/>
              <w:rPr>
                <w:rFonts w:ascii="宋体" w:hAnsi="宋体"/>
                <w:b/>
                <w:kern w:val="0"/>
                <w:sz w:val="18"/>
                <w:szCs w:val="18"/>
              </w:rPr>
            </w:pPr>
            <w:r>
              <w:rPr>
                <w:rFonts w:hint="eastAsia" w:ascii="宋体" w:hAnsi="宋体"/>
                <w:b/>
                <w:kern w:val="0"/>
                <w:sz w:val="18"/>
                <w:szCs w:val="18"/>
              </w:rPr>
              <w:t>实施时间</w:t>
            </w:r>
          </w:p>
        </w:tc>
        <w:tc>
          <w:tcPr>
            <w:tcW w:w="1134" w:type="dxa"/>
            <w:vAlign w:val="center"/>
          </w:tcPr>
          <w:p>
            <w:pPr>
              <w:widowControl/>
              <w:jc w:val="center"/>
              <w:rPr>
                <w:rFonts w:ascii="宋体" w:hAnsi="宋体" w:cs="宋体"/>
                <w:b/>
                <w:kern w:val="0"/>
                <w:sz w:val="18"/>
                <w:szCs w:val="18"/>
              </w:rPr>
            </w:pPr>
            <w:r>
              <w:rPr>
                <w:rFonts w:hint="eastAsia" w:ascii="宋体" w:hAnsi="宋体" w:cs="宋体"/>
                <w:b/>
                <w:kern w:val="0"/>
                <w:sz w:val="18"/>
                <w:szCs w:val="18"/>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12" w:type="dxa"/>
            <w:vAlign w:val="center"/>
          </w:tcPr>
          <w:p>
            <w:pPr>
              <w:adjustRightInd w:val="0"/>
              <w:snapToGrid w:val="0"/>
              <w:jc w:val="center"/>
              <w:rPr>
                <w:rFonts w:ascii="宋体" w:hAnsi="宋体"/>
                <w:kern w:val="0"/>
                <w:sz w:val="18"/>
                <w:szCs w:val="18"/>
              </w:rPr>
            </w:pPr>
            <w:r>
              <w:rPr>
                <w:rFonts w:hint="eastAsia" w:ascii="宋体" w:hAnsi="宋体"/>
                <w:kern w:val="0"/>
                <w:sz w:val="18"/>
                <w:szCs w:val="18"/>
              </w:rPr>
              <w:t>1</w:t>
            </w:r>
          </w:p>
        </w:tc>
        <w:tc>
          <w:tcPr>
            <w:tcW w:w="4520" w:type="dxa"/>
          </w:tcPr>
          <w:p>
            <w:pPr>
              <w:ind w:left="427" w:hanging="426" w:hangingChars="237"/>
              <w:outlineLvl w:val="0"/>
              <w:rPr>
                <w:rFonts w:ascii="宋体" w:hAnsi="宋体"/>
                <w:kern w:val="0"/>
                <w:sz w:val="18"/>
                <w:szCs w:val="18"/>
              </w:rPr>
            </w:pPr>
            <w:bookmarkStart w:id="21" w:name="_Toc523396079"/>
            <w:r>
              <w:rPr>
                <w:rFonts w:hint="eastAsia" w:ascii="宋体" w:hAnsi="宋体"/>
                <w:sz w:val="18"/>
                <w:szCs w:val="18"/>
              </w:rPr>
              <w:t>识别和获取适用的安全生产法律法规、标准及其他要求管理制度</w:t>
            </w:r>
            <w:bookmarkEnd w:id="21"/>
          </w:p>
        </w:tc>
        <w:tc>
          <w:tcPr>
            <w:tcW w:w="1747" w:type="dxa"/>
            <w:vAlign w:val="center"/>
          </w:tcPr>
          <w:p>
            <w:pPr>
              <w:adjustRightInd w:val="0"/>
              <w:snapToGrid w:val="0"/>
              <w:jc w:val="center"/>
              <w:rPr>
                <w:rStyle w:val="29"/>
                <w:rFonts w:ascii="宋体" w:hAnsi="宋体"/>
                <w:color w:val="auto"/>
                <w:sz w:val="18"/>
                <w:szCs w:val="18"/>
              </w:rPr>
            </w:pPr>
            <w:r>
              <w:rPr>
                <w:rStyle w:val="29"/>
                <w:rFonts w:hint="eastAsia" w:ascii="宋体" w:hAnsi="宋体"/>
                <w:color w:val="auto"/>
                <w:sz w:val="18"/>
                <w:szCs w:val="18"/>
              </w:rPr>
              <w:t>202</w:t>
            </w:r>
            <w:r>
              <w:rPr>
                <w:rStyle w:val="29"/>
                <w:rFonts w:hint="eastAsia" w:ascii="宋体" w:hAnsi="宋体"/>
                <w:color w:val="auto"/>
                <w:sz w:val="18"/>
                <w:szCs w:val="18"/>
                <w:lang w:val="en-US" w:eastAsia="zh-CN"/>
              </w:rPr>
              <w:t>2</w:t>
            </w:r>
            <w:r>
              <w:rPr>
                <w:rStyle w:val="29"/>
                <w:rFonts w:hint="eastAsia" w:ascii="宋体" w:hAnsi="宋体"/>
                <w:color w:val="auto"/>
                <w:sz w:val="18"/>
                <w:szCs w:val="18"/>
              </w:rPr>
              <w:t>年</w:t>
            </w:r>
            <w:r>
              <w:rPr>
                <w:rStyle w:val="29"/>
                <w:rFonts w:hint="eastAsia" w:ascii="宋体" w:hAnsi="宋体"/>
                <w:color w:val="auto"/>
                <w:sz w:val="18"/>
                <w:szCs w:val="18"/>
                <w:lang w:val="en-US" w:eastAsia="zh-CN"/>
              </w:rPr>
              <w:t>4</w:t>
            </w:r>
            <w:r>
              <w:rPr>
                <w:rStyle w:val="29"/>
                <w:rFonts w:hint="eastAsia" w:ascii="宋体" w:hAnsi="宋体"/>
                <w:color w:val="auto"/>
                <w:sz w:val="18"/>
                <w:szCs w:val="18"/>
              </w:rPr>
              <w:t>月</w:t>
            </w:r>
          </w:p>
        </w:tc>
        <w:tc>
          <w:tcPr>
            <w:tcW w:w="1134" w:type="dxa"/>
            <w:vAlign w:val="center"/>
          </w:tcPr>
          <w:p>
            <w:pPr>
              <w:widowControl/>
              <w:jc w:val="center"/>
              <w:rPr>
                <w:rFonts w:ascii="宋体" w:hAnsi="宋体" w:cs="宋体"/>
                <w:kern w:val="0"/>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12" w:type="dxa"/>
            <w:vAlign w:val="center"/>
          </w:tcPr>
          <w:p>
            <w:pPr>
              <w:adjustRightInd w:val="0"/>
              <w:snapToGrid w:val="0"/>
              <w:jc w:val="center"/>
              <w:rPr>
                <w:rFonts w:ascii="宋体" w:hAnsi="宋体"/>
                <w:kern w:val="0"/>
                <w:sz w:val="18"/>
                <w:szCs w:val="18"/>
              </w:rPr>
            </w:pPr>
            <w:r>
              <w:rPr>
                <w:rFonts w:hint="eastAsia" w:ascii="宋体" w:hAnsi="宋体"/>
                <w:kern w:val="0"/>
                <w:sz w:val="18"/>
                <w:szCs w:val="18"/>
              </w:rPr>
              <w:t>2</w:t>
            </w:r>
          </w:p>
        </w:tc>
        <w:tc>
          <w:tcPr>
            <w:tcW w:w="4520" w:type="dxa"/>
          </w:tcPr>
          <w:p>
            <w:pPr>
              <w:autoSpaceDN w:val="0"/>
              <w:outlineLvl w:val="0"/>
              <w:rPr>
                <w:rFonts w:ascii="宋体" w:hAnsi="宋体"/>
                <w:kern w:val="0"/>
                <w:sz w:val="18"/>
                <w:szCs w:val="18"/>
              </w:rPr>
            </w:pPr>
            <w:bookmarkStart w:id="22" w:name="_Toc523396080"/>
            <w:r>
              <w:rPr>
                <w:rFonts w:hint="eastAsia" w:ascii="宋体" w:hAnsi="宋体" w:cs="宋体-方正超大字符集"/>
                <w:sz w:val="18"/>
                <w:szCs w:val="18"/>
              </w:rPr>
              <w:t>安全设施管理制度</w:t>
            </w:r>
            <w:bookmarkEnd w:id="22"/>
          </w:p>
        </w:tc>
        <w:tc>
          <w:tcPr>
            <w:tcW w:w="1747" w:type="dxa"/>
            <w:vAlign w:val="center"/>
          </w:tcPr>
          <w:p>
            <w:pPr>
              <w:adjustRightInd w:val="0"/>
              <w:snapToGrid w:val="0"/>
              <w:jc w:val="center"/>
              <w:rPr>
                <w:rStyle w:val="29"/>
                <w:rFonts w:ascii="宋体" w:hAnsi="宋体"/>
                <w:color w:val="auto"/>
                <w:sz w:val="18"/>
                <w:szCs w:val="18"/>
                <w:lang w:val="zh-CN"/>
              </w:rPr>
            </w:pPr>
            <w:r>
              <w:rPr>
                <w:rStyle w:val="29"/>
                <w:rFonts w:hint="eastAsia" w:ascii="宋体" w:hAnsi="宋体"/>
                <w:color w:val="auto"/>
                <w:sz w:val="18"/>
                <w:szCs w:val="18"/>
              </w:rPr>
              <w:t>202</w:t>
            </w:r>
            <w:r>
              <w:rPr>
                <w:rStyle w:val="29"/>
                <w:rFonts w:hint="eastAsia" w:ascii="宋体" w:hAnsi="宋体"/>
                <w:color w:val="auto"/>
                <w:sz w:val="18"/>
                <w:szCs w:val="18"/>
                <w:lang w:val="en-US" w:eastAsia="zh-CN"/>
              </w:rPr>
              <w:t>2</w:t>
            </w:r>
            <w:r>
              <w:rPr>
                <w:rStyle w:val="29"/>
                <w:rFonts w:hint="eastAsia" w:ascii="宋体" w:hAnsi="宋体"/>
                <w:color w:val="auto"/>
                <w:sz w:val="18"/>
                <w:szCs w:val="18"/>
              </w:rPr>
              <w:t>年</w:t>
            </w:r>
            <w:r>
              <w:rPr>
                <w:rStyle w:val="29"/>
                <w:rFonts w:hint="eastAsia" w:ascii="宋体" w:hAnsi="宋体"/>
                <w:color w:val="auto"/>
                <w:sz w:val="18"/>
                <w:szCs w:val="18"/>
                <w:lang w:val="en-US" w:eastAsia="zh-CN"/>
              </w:rPr>
              <w:t>4</w:t>
            </w:r>
            <w:r>
              <w:rPr>
                <w:rStyle w:val="29"/>
                <w:rFonts w:hint="eastAsia" w:ascii="宋体" w:hAnsi="宋体"/>
                <w:color w:val="auto"/>
                <w:sz w:val="18"/>
                <w:szCs w:val="18"/>
              </w:rPr>
              <w:t>月</w:t>
            </w:r>
          </w:p>
        </w:tc>
        <w:tc>
          <w:tcPr>
            <w:tcW w:w="1134" w:type="dxa"/>
            <w:vAlign w:val="center"/>
          </w:tcPr>
          <w:p>
            <w:pPr>
              <w:widowControl/>
              <w:jc w:val="center"/>
              <w:rPr>
                <w:rFonts w:ascii="宋体" w:hAnsi="宋体" w:cs="宋体"/>
                <w:kern w:val="0"/>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12" w:type="dxa"/>
            <w:vAlign w:val="center"/>
          </w:tcPr>
          <w:p>
            <w:pPr>
              <w:adjustRightInd w:val="0"/>
              <w:snapToGrid w:val="0"/>
              <w:jc w:val="center"/>
              <w:rPr>
                <w:rFonts w:ascii="宋体" w:hAnsi="宋体"/>
                <w:kern w:val="0"/>
                <w:sz w:val="18"/>
                <w:szCs w:val="18"/>
              </w:rPr>
            </w:pPr>
            <w:r>
              <w:rPr>
                <w:rFonts w:hint="eastAsia" w:ascii="宋体" w:hAnsi="宋体"/>
                <w:kern w:val="0"/>
                <w:sz w:val="18"/>
                <w:szCs w:val="18"/>
              </w:rPr>
              <w:t>3</w:t>
            </w:r>
          </w:p>
        </w:tc>
        <w:tc>
          <w:tcPr>
            <w:tcW w:w="4520" w:type="dxa"/>
          </w:tcPr>
          <w:p>
            <w:pPr>
              <w:outlineLvl w:val="0"/>
              <w:rPr>
                <w:rFonts w:ascii="宋体" w:hAnsi="宋体"/>
                <w:kern w:val="0"/>
                <w:sz w:val="18"/>
                <w:szCs w:val="18"/>
              </w:rPr>
            </w:pPr>
            <w:bookmarkStart w:id="23" w:name="_Toc523396081"/>
            <w:r>
              <w:rPr>
                <w:rFonts w:hint="eastAsia" w:ascii="宋体" w:hAnsi="宋体"/>
                <w:sz w:val="18"/>
                <w:szCs w:val="18"/>
              </w:rPr>
              <w:t>安全生产费用管理制度</w:t>
            </w:r>
            <w:bookmarkEnd w:id="23"/>
          </w:p>
        </w:tc>
        <w:tc>
          <w:tcPr>
            <w:tcW w:w="1747" w:type="dxa"/>
            <w:vAlign w:val="center"/>
          </w:tcPr>
          <w:p>
            <w:pPr>
              <w:adjustRightInd w:val="0"/>
              <w:snapToGrid w:val="0"/>
              <w:jc w:val="center"/>
              <w:rPr>
                <w:rStyle w:val="29"/>
                <w:rFonts w:ascii="宋体" w:hAnsi="宋体"/>
                <w:color w:val="auto"/>
                <w:sz w:val="18"/>
                <w:szCs w:val="18"/>
                <w:lang w:val="zh-CN"/>
              </w:rPr>
            </w:pPr>
            <w:r>
              <w:rPr>
                <w:rStyle w:val="29"/>
                <w:rFonts w:hint="eastAsia" w:ascii="宋体" w:hAnsi="宋体"/>
                <w:color w:val="auto"/>
                <w:sz w:val="18"/>
                <w:szCs w:val="18"/>
              </w:rPr>
              <w:t>202</w:t>
            </w:r>
            <w:r>
              <w:rPr>
                <w:rStyle w:val="29"/>
                <w:rFonts w:hint="eastAsia" w:ascii="宋体" w:hAnsi="宋体"/>
                <w:color w:val="auto"/>
                <w:sz w:val="18"/>
                <w:szCs w:val="18"/>
                <w:lang w:val="en-US" w:eastAsia="zh-CN"/>
              </w:rPr>
              <w:t>2</w:t>
            </w:r>
            <w:r>
              <w:rPr>
                <w:rStyle w:val="29"/>
                <w:rFonts w:hint="eastAsia" w:ascii="宋体" w:hAnsi="宋体"/>
                <w:color w:val="auto"/>
                <w:sz w:val="18"/>
                <w:szCs w:val="18"/>
              </w:rPr>
              <w:t>年</w:t>
            </w:r>
            <w:r>
              <w:rPr>
                <w:rStyle w:val="29"/>
                <w:rFonts w:hint="eastAsia" w:ascii="宋体" w:hAnsi="宋体"/>
                <w:color w:val="auto"/>
                <w:sz w:val="18"/>
                <w:szCs w:val="18"/>
                <w:lang w:val="en-US" w:eastAsia="zh-CN"/>
              </w:rPr>
              <w:t>4</w:t>
            </w:r>
            <w:r>
              <w:rPr>
                <w:rStyle w:val="29"/>
                <w:rFonts w:hint="eastAsia" w:ascii="宋体" w:hAnsi="宋体"/>
                <w:color w:val="auto"/>
                <w:sz w:val="18"/>
                <w:szCs w:val="18"/>
              </w:rPr>
              <w:t>月</w:t>
            </w:r>
          </w:p>
        </w:tc>
        <w:tc>
          <w:tcPr>
            <w:tcW w:w="1134" w:type="dxa"/>
            <w:vAlign w:val="center"/>
          </w:tcPr>
          <w:p>
            <w:pPr>
              <w:widowControl/>
              <w:jc w:val="center"/>
              <w:rPr>
                <w:rFonts w:ascii="宋体" w:hAnsi="宋体" w:cs="宋体"/>
                <w:kern w:val="0"/>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12" w:type="dxa"/>
            <w:vAlign w:val="center"/>
          </w:tcPr>
          <w:p>
            <w:pPr>
              <w:adjustRightInd w:val="0"/>
              <w:snapToGrid w:val="0"/>
              <w:jc w:val="center"/>
              <w:rPr>
                <w:rFonts w:ascii="宋体" w:hAnsi="宋体"/>
                <w:kern w:val="0"/>
                <w:sz w:val="18"/>
                <w:szCs w:val="18"/>
              </w:rPr>
            </w:pPr>
            <w:r>
              <w:rPr>
                <w:rFonts w:hint="eastAsia" w:ascii="宋体" w:hAnsi="宋体"/>
                <w:kern w:val="0"/>
                <w:sz w:val="18"/>
                <w:szCs w:val="18"/>
              </w:rPr>
              <w:t>4</w:t>
            </w:r>
          </w:p>
        </w:tc>
        <w:tc>
          <w:tcPr>
            <w:tcW w:w="4520" w:type="dxa"/>
          </w:tcPr>
          <w:p>
            <w:pPr>
              <w:outlineLvl w:val="0"/>
              <w:rPr>
                <w:rFonts w:ascii="宋体" w:hAnsi="宋体"/>
                <w:kern w:val="0"/>
                <w:sz w:val="18"/>
                <w:szCs w:val="18"/>
              </w:rPr>
            </w:pPr>
            <w:bookmarkStart w:id="24" w:name="_Toc523396082"/>
            <w:r>
              <w:rPr>
                <w:rFonts w:hint="eastAsia" w:ascii="宋体" w:hAnsi="宋体"/>
                <w:bCs/>
                <w:sz w:val="18"/>
                <w:szCs w:val="18"/>
              </w:rPr>
              <w:t>安全生产会议管理制度</w:t>
            </w:r>
            <w:bookmarkEnd w:id="24"/>
          </w:p>
        </w:tc>
        <w:tc>
          <w:tcPr>
            <w:tcW w:w="1747" w:type="dxa"/>
            <w:vAlign w:val="center"/>
          </w:tcPr>
          <w:p>
            <w:pPr>
              <w:adjustRightInd w:val="0"/>
              <w:snapToGrid w:val="0"/>
              <w:jc w:val="center"/>
              <w:rPr>
                <w:rStyle w:val="29"/>
                <w:rFonts w:ascii="宋体" w:hAnsi="宋体"/>
                <w:color w:val="auto"/>
                <w:sz w:val="18"/>
                <w:szCs w:val="18"/>
                <w:lang w:val="zh-CN"/>
              </w:rPr>
            </w:pPr>
            <w:r>
              <w:rPr>
                <w:rStyle w:val="29"/>
                <w:rFonts w:hint="eastAsia" w:ascii="宋体" w:hAnsi="宋体"/>
                <w:color w:val="auto"/>
                <w:sz w:val="18"/>
                <w:szCs w:val="18"/>
              </w:rPr>
              <w:t>202</w:t>
            </w:r>
            <w:r>
              <w:rPr>
                <w:rStyle w:val="29"/>
                <w:rFonts w:hint="eastAsia" w:ascii="宋体" w:hAnsi="宋体"/>
                <w:color w:val="auto"/>
                <w:sz w:val="18"/>
                <w:szCs w:val="18"/>
                <w:lang w:val="en-US" w:eastAsia="zh-CN"/>
              </w:rPr>
              <w:t>2</w:t>
            </w:r>
            <w:r>
              <w:rPr>
                <w:rStyle w:val="29"/>
                <w:rFonts w:hint="eastAsia" w:ascii="宋体" w:hAnsi="宋体"/>
                <w:color w:val="auto"/>
                <w:sz w:val="18"/>
                <w:szCs w:val="18"/>
              </w:rPr>
              <w:t>年</w:t>
            </w:r>
            <w:r>
              <w:rPr>
                <w:rStyle w:val="29"/>
                <w:rFonts w:hint="eastAsia" w:ascii="宋体" w:hAnsi="宋体"/>
                <w:color w:val="auto"/>
                <w:sz w:val="18"/>
                <w:szCs w:val="18"/>
                <w:lang w:val="en-US" w:eastAsia="zh-CN"/>
              </w:rPr>
              <w:t>4</w:t>
            </w:r>
            <w:r>
              <w:rPr>
                <w:rStyle w:val="29"/>
                <w:rFonts w:hint="eastAsia" w:ascii="宋体" w:hAnsi="宋体"/>
                <w:color w:val="auto"/>
                <w:sz w:val="18"/>
                <w:szCs w:val="18"/>
              </w:rPr>
              <w:t>月</w:t>
            </w:r>
          </w:p>
        </w:tc>
        <w:tc>
          <w:tcPr>
            <w:tcW w:w="1134" w:type="dxa"/>
            <w:vAlign w:val="center"/>
          </w:tcPr>
          <w:p>
            <w:pPr>
              <w:widowControl/>
              <w:jc w:val="center"/>
              <w:rPr>
                <w:rFonts w:ascii="宋体" w:hAnsi="宋体" w:cs="宋体"/>
                <w:kern w:val="0"/>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12" w:type="dxa"/>
            <w:vAlign w:val="center"/>
          </w:tcPr>
          <w:p>
            <w:pPr>
              <w:adjustRightInd w:val="0"/>
              <w:snapToGrid w:val="0"/>
              <w:jc w:val="center"/>
              <w:rPr>
                <w:rFonts w:ascii="宋体" w:hAnsi="宋体"/>
                <w:kern w:val="0"/>
                <w:sz w:val="18"/>
                <w:szCs w:val="18"/>
              </w:rPr>
            </w:pPr>
            <w:r>
              <w:rPr>
                <w:rFonts w:hint="eastAsia" w:ascii="宋体" w:hAnsi="宋体"/>
                <w:kern w:val="0"/>
                <w:sz w:val="18"/>
                <w:szCs w:val="18"/>
              </w:rPr>
              <w:t>5</w:t>
            </w:r>
          </w:p>
        </w:tc>
        <w:tc>
          <w:tcPr>
            <w:tcW w:w="4520" w:type="dxa"/>
          </w:tcPr>
          <w:p>
            <w:pPr>
              <w:outlineLvl w:val="0"/>
              <w:rPr>
                <w:rFonts w:ascii="宋体" w:hAnsi="宋体"/>
                <w:kern w:val="0"/>
                <w:sz w:val="18"/>
                <w:szCs w:val="18"/>
              </w:rPr>
            </w:pPr>
            <w:bookmarkStart w:id="25" w:name="_Toc523396083"/>
            <w:r>
              <w:rPr>
                <w:rFonts w:hint="eastAsia" w:ascii="宋体" w:hAnsi="宋体"/>
                <w:bCs/>
                <w:color w:val="auto"/>
                <w:sz w:val="18"/>
                <w:szCs w:val="18"/>
              </w:rPr>
              <w:t>安全生产考核奖惩规定</w:t>
            </w:r>
            <w:bookmarkEnd w:id="25"/>
          </w:p>
        </w:tc>
        <w:tc>
          <w:tcPr>
            <w:tcW w:w="1747" w:type="dxa"/>
            <w:vAlign w:val="center"/>
          </w:tcPr>
          <w:p>
            <w:pPr>
              <w:adjustRightInd w:val="0"/>
              <w:snapToGrid w:val="0"/>
              <w:jc w:val="center"/>
              <w:rPr>
                <w:rStyle w:val="29"/>
                <w:rFonts w:ascii="宋体" w:hAnsi="宋体"/>
                <w:color w:val="auto"/>
                <w:sz w:val="18"/>
                <w:szCs w:val="18"/>
                <w:lang w:val="zh-CN"/>
              </w:rPr>
            </w:pPr>
            <w:r>
              <w:rPr>
                <w:rStyle w:val="29"/>
                <w:rFonts w:hint="eastAsia" w:ascii="宋体" w:hAnsi="宋体"/>
                <w:color w:val="auto"/>
                <w:sz w:val="18"/>
                <w:szCs w:val="18"/>
              </w:rPr>
              <w:t>202</w:t>
            </w:r>
            <w:r>
              <w:rPr>
                <w:rStyle w:val="29"/>
                <w:rFonts w:hint="eastAsia" w:ascii="宋体" w:hAnsi="宋体"/>
                <w:color w:val="auto"/>
                <w:sz w:val="18"/>
                <w:szCs w:val="18"/>
                <w:lang w:val="en-US" w:eastAsia="zh-CN"/>
              </w:rPr>
              <w:t>2</w:t>
            </w:r>
            <w:r>
              <w:rPr>
                <w:rStyle w:val="29"/>
                <w:rFonts w:hint="eastAsia" w:ascii="宋体" w:hAnsi="宋体"/>
                <w:color w:val="auto"/>
                <w:sz w:val="18"/>
                <w:szCs w:val="18"/>
              </w:rPr>
              <w:t>年</w:t>
            </w:r>
            <w:r>
              <w:rPr>
                <w:rStyle w:val="29"/>
                <w:rFonts w:hint="eastAsia" w:ascii="宋体" w:hAnsi="宋体"/>
                <w:color w:val="auto"/>
                <w:sz w:val="18"/>
                <w:szCs w:val="18"/>
                <w:lang w:val="en-US" w:eastAsia="zh-CN"/>
              </w:rPr>
              <w:t>4</w:t>
            </w:r>
            <w:r>
              <w:rPr>
                <w:rStyle w:val="29"/>
                <w:rFonts w:hint="eastAsia" w:ascii="宋体" w:hAnsi="宋体"/>
                <w:color w:val="auto"/>
                <w:sz w:val="18"/>
                <w:szCs w:val="18"/>
              </w:rPr>
              <w:t>月</w:t>
            </w:r>
          </w:p>
        </w:tc>
        <w:tc>
          <w:tcPr>
            <w:tcW w:w="1134" w:type="dxa"/>
            <w:vAlign w:val="center"/>
          </w:tcPr>
          <w:p>
            <w:pPr>
              <w:widowControl/>
              <w:jc w:val="center"/>
              <w:rPr>
                <w:rFonts w:ascii="宋体" w:hAnsi="宋体" w:cs="宋体"/>
                <w:kern w:val="0"/>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12" w:type="dxa"/>
            <w:vAlign w:val="center"/>
          </w:tcPr>
          <w:p>
            <w:pPr>
              <w:adjustRightInd w:val="0"/>
              <w:snapToGrid w:val="0"/>
              <w:jc w:val="center"/>
              <w:rPr>
                <w:rFonts w:ascii="宋体" w:hAnsi="宋体"/>
                <w:kern w:val="0"/>
                <w:sz w:val="18"/>
                <w:szCs w:val="18"/>
              </w:rPr>
            </w:pPr>
            <w:r>
              <w:rPr>
                <w:rFonts w:hint="eastAsia" w:ascii="宋体" w:hAnsi="宋体"/>
                <w:kern w:val="0"/>
                <w:sz w:val="18"/>
                <w:szCs w:val="18"/>
              </w:rPr>
              <w:t>6</w:t>
            </w:r>
          </w:p>
        </w:tc>
        <w:tc>
          <w:tcPr>
            <w:tcW w:w="4520" w:type="dxa"/>
          </w:tcPr>
          <w:p>
            <w:pPr>
              <w:outlineLvl w:val="0"/>
              <w:rPr>
                <w:rFonts w:ascii="宋体" w:hAnsi="宋体"/>
                <w:kern w:val="0"/>
                <w:sz w:val="18"/>
                <w:szCs w:val="18"/>
              </w:rPr>
            </w:pPr>
            <w:bookmarkStart w:id="26" w:name="_Toc523396084"/>
            <w:r>
              <w:rPr>
                <w:rFonts w:hint="eastAsia" w:ascii="宋体" w:hAnsi="宋体"/>
                <w:sz w:val="18"/>
                <w:szCs w:val="18"/>
              </w:rPr>
              <w:t>安全教育培训管理规定</w:t>
            </w:r>
            <w:bookmarkEnd w:id="26"/>
          </w:p>
        </w:tc>
        <w:tc>
          <w:tcPr>
            <w:tcW w:w="1747" w:type="dxa"/>
            <w:vAlign w:val="center"/>
          </w:tcPr>
          <w:p>
            <w:pPr>
              <w:adjustRightInd w:val="0"/>
              <w:snapToGrid w:val="0"/>
              <w:jc w:val="center"/>
              <w:rPr>
                <w:rStyle w:val="29"/>
                <w:rFonts w:ascii="宋体" w:hAnsi="宋体"/>
                <w:color w:val="auto"/>
                <w:sz w:val="18"/>
                <w:szCs w:val="18"/>
                <w:lang w:val="zh-CN"/>
              </w:rPr>
            </w:pPr>
            <w:r>
              <w:rPr>
                <w:rStyle w:val="29"/>
                <w:rFonts w:hint="eastAsia" w:ascii="宋体" w:hAnsi="宋体"/>
                <w:color w:val="auto"/>
                <w:sz w:val="18"/>
                <w:szCs w:val="18"/>
              </w:rPr>
              <w:t>202</w:t>
            </w:r>
            <w:r>
              <w:rPr>
                <w:rStyle w:val="29"/>
                <w:rFonts w:hint="eastAsia" w:ascii="宋体" w:hAnsi="宋体"/>
                <w:color w:val="auto"/>
                <w:sz w:val="18"/>
                <w:szCs w:val="18"/>
                <w:lang w:val="en-US" w:eastAsia="zh-CN"/>
              </w:rPr>
              <w:t>2</w:t>
            </w:r>
            <w:r>
              <w:rPr>
                <w:rStyle w:val="29"/>
                <w:rFonts w:hint="eastAsia" w:ascii="宋体" w:hAnsi="宋体"/>
                <w:color w:val="auto"/>
                <w:sz w:val="18"/>
                <w:szCs w:val="18"/>
              </w:rPr>
              <w:t>年</w:t>
            </w:r>
            <w:r>
              <w:rPr>
                <w:rStyle w:val="29"/>
                <w:rFonts w:hint="eastAsia" w:ascii="宋体" w:hAnsi="宋体"/>
                <w:color w:val="auto"/>
                <w:sz w:val="18"/>
                <w:szCs w:val="18"/>
                <w:lang w:val="en-US" w:eastAsia="zh-CN"/>
              </w:rPr>
              <w:t>4</w:t>
            </w:r>
            <w:r>
              <w:rPr>
                <w:rStyle w:val="29"/>
                <w:rFonts w:hint="eastAsia" w:ascii="宋体" w:hAnsi="宋体"/>
                <w:color w:val="auto"/>
                <w:sz w:val="18"/>
                <w:szCs w:val="18"/>
              </w:rPr>
              <w:t>月</w:t>
            </w:r>
          </w:p>
        </w:tc>
        <w:tc>
          <w:tcPr>
            <w:tcW w:w="1134" w:type="dxa"/>
            <w:vAlign w:val="center"/>
          </w:tcPr>
          <w:p>
            <w:pPr>
              <w:widowControl/>
              <w:jc w:val="center"/>
              <w:rPr>
                <w:rFonts w:ascii="宋体" w:hAnsi="宋体" w:cs="宋体"/>
                <w:kern w:val="0"/>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12" w:type="dxa"/>
            <w:vAlign w:val="center"/>
          </w:tcPr>
          <w:p>
            <w:pPr>
              <w:adjustRightInd w:val="0"/>
              <w:snapToGrid w:val="0"/>
              <w:jc w:val="center"/>
              <w:rPr>
                <w:rFonts w:ascii="宋体" w:hAnsi="宋体"/>
                <w:kern w:val="0"/>
                <w:sz w:val="18"/>
                <w:szCs w:val="18"/>
              </w:rPr>
            </w:pPr>
            <w:r>
              <w:rPr>
                <w:rFonts w:hint="eastAsia" w:ascii="宋体" w:hAnsi="宋体"/>
                <w:kern w:val="0"/>
                <w:sz w:val="18"/>
                <w:szCs w:val="18"/>
              </w:rPr>
              <w:t>7</w:t>
            </w:r>
          </w:p>
        </w:tc>
        <w:tc>
          <w:tcPr>
            <w:tcW w:w="4520" w:type="dxa"/>
          </w:tcPr>
          <w:p>
            <w:pPr>
              <w:outlineLvl w:val="0"/>
              <w:rPr>
                <w:rFonts w:ascii="宋体" w:hAnsi="宋体"/>
                <w:kern w:val="0"/>
                <w:sz w:val="18"/>
                <w:szCs w:val="18"/>
              </w:rPr>
            </w:pPr>
            <w:bookmarkStart w:id="27" w:name="_Toc523396085"/>
            <w:r>
              <w:rPr>
                <w:rFonts w:hint="eastAsia" w:ascii="宋体" w:hAnsi="宋体"/>
                <w:sz w:val="18"/>
                <w:szCs w:val="18"/>
              </w:rPr>
              <w:t>领导干部现场带班管理制度</w:t>
            </w:r>
            <w:bookmarkEnd w:id="27"/>
          </w:p>
        </w:tc>
        <w:tc>
          <w:tcPr>
            <w:tcW w:w="1747" w:type="dxa"/>
            <w:vAlign w:val="center"/>
          </w:tcPr>
          <w:p>
            <w:pPr>
              <w:adjustRightInd w:val="0"/>
              <w:snapToGrid w:val="0"/>
              <w:jc w:val="center"/>
              <w:rPr>
                <w:rStyle w:val="29"/>
                <w:rFonts w:ascii="宋体" w:hAnsi="宋体"/>
                <w:color w:val="auto"/>
                <w:sz w:val="18"/>
                <w:szCs w:val="18"/>
                <w:lang w:val="zh-CN"/>
              </w:rPr>
            </w:pPr>
            <w:r>
              <w:rPr>
                <w:rStyle w:val="29"/>
                <w:rFonts w:hint="eastAsia" w:ascii="宋体" w:hAnsi="宋体"/>
                <w:color w:val="auto"/>
                <w:sz w:val="18"/>
                <w:szCs w:val="18"/>
              </w:rPr>
              <w:t>202</w:t>
            </w:r>
            <w:r>
              <w:rPr>
                <w:rStyle w:val="29"/>
                <w:rFonts w:hint="eastAsia" w:ascii="宋体" w:hAnsi="宋体"/>
                <w:color w:val="auto"/>
                <w:sz w:val="18"/>
                <w:szCs w:val="18"/>
                <w:lang w:val="en-US" w:eastAsia="zh-CN"/>
              </w:rPr>
              <w:t>2</w:t>
            </w:r>
            <w:r>
              <w:rPr>
                <w:rStyle w:val="29"/>
                <w:rFonts w:hint="eastAsia" w:ascii="宋体" w:hAnsi="宋体"/>
                <w:color w:val="auto"/>
                <w:sz w:val="18"/>
                <w:szCs w:val="18"/>
              </w:rPr>
              <w:t>年</w:t>
            </w:r>
            <w:r>
              <w:rPr>
                <w:rStyle w:val="29"/>
                <w:rFonts w:hint="eastAsia" w:ascii="宋体" w:hAnsi="宋体"/>
                <w:color w:val="auto"/>
                <w:sz w:val="18"/>
                <w:szCs w:val="18"/>
                <w:lang w:val="en-US" w:eastAsia="zh-CN"/>
              </w:rPr>
              <w:t>4</w:t>
            </w:r>
            <w:r>
              <w:rPr>
                <w:rStyle w:val="29"/>
                <w:rFonts w:hint="eastAsia" w:ascii="宋体" w:hAnsi="宋体"/>
                <w:color w:val="auto"/>
                <w:sz w:val="18"/>
                <w:szCs w:val="18"/>
              </w:rPr>
              <w:t>月</w:t>
            </w:r>
          </w:p>
        </w:tc>
        <w:tc>
          <w:tcPr>
            <w:tcW w:w="1134" w:type="dxa"/>
            <w:vAlign w:val="center"/>
          </w:tcPr>
          <w:p>
            <w:pPr>
              <w:widowControl/>
              <w:jc w:val="center"/>
              <w:rPr>
                <w:rFonts w:ascii="宋体" w:hAnsi="宋体" w:cs="宋体"/>
                <w:kern w:val="0"/>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12" w:type="dxa"/>
            <w:vAlign w:val="center"/>
          </w:tcPr>
          <w:p>
            <w:pPr>
              <w:adjustRightInd w:val="0"/>
              <w:snapToGrid w:val="0"/>
              <w:jc w:val="center"/>
              <w:rPr>
                <w:rFonts w:ascii="宋体" w:hAnsi="宋体"/>
                <w:kern w:val="0"/>
                <w:sz w:val="18"/>
                <w:szCs w:val="18"/>
              </w:rPr>
            </w:pPr>
            <w:r>
              <w:rPr>
                <w:rFonts w:hint="eastAsia" w:ascii="宋体" w:hAnsi="宋体"/>
                <w:kern w:val="0"/>
                <w:sz w:val="18"/>
                <w:szCs w:val="18"/>
              </w:rPr>
              <w:t>8</w:t>
            </w:r>
          </w:p>
        </w:tc>
        <w:tc>
          <w:tcPr>
            <w:tcW w:w="4520" w:type="dxa"/>
          </w:tcPr>
          <w:p>
            <w:pPr>
              <w:outlineLvl w:val="0"/>
              <w:rPr>
                <w:rFonts w:ascii="宋体" w:hAnsi="宋体"/>
                <w:kern w:val="0"/>
                <w:sz w:val="18"/>
                <w:szCs w:val="18"/>
              </w:rPr>
            </w:pPr>
            <w:bookmarkStart w:id="28" w:name="_Toc523396086"/>
            <w:r>
              <w:rPr>
                <w:rFonts w:hint="eastAsia" w:ascii="宋体" w:hAnsi="宋体"/>
                <w:sz w:val="18"/>
                <w:szCs w:val="18"/>
              </w:rPr>
              <w:t>特种作业人员管理制度</w:t>
            </w:r>
            <w:bookmarkEnd w:id="28"/>
          </w:p>
        </w:tc>
        <w:tc>
          <w:tcPr>
            <w:tcW w:w="1747" w:type="dxa"/>
            <w:vAlign w:val="center"/>
          </w:tcPr>
          <w:p>
            <w:pPr>
              <w:adjustRightInd w:val="0"/>
              <w:snapToGrid w:val="0"/>
              <w:jc w:val="center"/>
              <w:rPr>
                <w:rStyle w:val="29"/>
                <w:rFonts w:ascii="宋体" w:hAnsi="宋体"/>
                <w:color w:val="auto"/>
                <w:sz w:val="18"/>
                <w:szCs w:val="18"/>
                <w:lang w:val="zh-CN"/>
              </w:rPr>
            </w:pPr>
            <w:r>
              <w:rPr>
                <w:rStyle w:val="29"/>
                <w:rFonts w:hint="eastAsia" w:ascii="宋体" w:hAnsi="宋体"/>
                <w:color w:val="auto"/>
                <w:sz w:val="18"/>
                <w:szCs w:val="18"/>
              </w:rPr>
              <w:t>202</w:t>
            </w:r>
            <w:r>
              <w:rPr>
                <w:rStyle w:val="29"/>
                <w:rFonts w:hint="eastAsia" w:ascii="宋体" w:hAnsi="宋体"/>
                <w:color w:val="auto"/>
                <w:sz w:val="18"/>
                <w:szCs w:val="18"/>
                <w:lang w:val="en-US" w:eastAsia="zh-CN"/>
              </w:rPr>
              <w:t>2</w:t>
            </w:r>
            <w:r>
              <w:rPr>
                <w:rStyle w:val="29"/>
                <w:rFonts w:hint="eastAsia" w:ascii="宋体" w:hAnsi="宋体"/>
                <w:color w:val="auto"/>
                <w:sz w:val="18"/>
                <w:szCs w:val="18"/>
              </w:rPr>
              <w:t>年</w:t>
            </w:r>
            <w:r>
              <w:rPr>
                <w:rStyle w:val="29"/>
                <w:rFonts w:hint="eastAsia" w:ascii="宋体" w:hAnsi="宋体"/>
                <w:color w:val="auto"/>
                <w:sz w:val="18"/>
                <w:szCs w:val="18"/>
                <w:lang w:val="en-US" w:eastAsia="zh-CN"/>
              </w:rPr>
              <w:t>4</w:t>
            </w:r>
            <w:r>
              <w:rPr>
                <w:rStyle w:val="29"/>
                <w:rFonts w:hint="eastAsia" w:ascii="宋体" w:hAnsi="宋体"/>
                <w:color w:val="auto"/>
                <w:sz w:val="18"/>
                <w:szCs w:val="18"/>
              </w:rPr>
              <w:t>月</w:t>
            </w:r>
          </w:p>
        </w:tc>
        <w:tc>
          <w:tcPr>
            <w:tcW w:w="1134" w:type="dxa"/>
            <w:vAlign w:val="center"/>
          </w:tcPr>
          <w:p>
            <w:pPr>
              <w:widowControl/>
              <w:jc w:val="center"/>
              <w:rPr>
                <w:rFonts w:ascii="宋体" w:hAnsi="宋体" w:cs="宋体"/>
                <w:kern w:val="0"/>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12" w:type="dxa"/>
            <w:vAlign w:val="center"/>
          </w:tcPr>
          <w:p>
            <w:pPr>
              <w:adjustRightInd w:val="0"/>
              <w:snapToGrid w:val="0"/>
              <w:jc w:val="center"/>
              <w:rPr>
                <w:rFonts w:ascii="宋体" w:hAnsi="宋体"/>
                <w:kern w:val="0"/>
                <w:sz w:val="18"/>
                <w:szCs w:val="18"/>
              </w:rPr>
            </w:pPr>
            <w:r>
              <w:rPr>
                <w:rFonts w:hint="eastAsia" w:ascii="宋体" w:hAnsi="宋体"/>
                <w:kern w:val="0"/>
                <w:sz w:val="18"/>
                <w:szCs w:val="18"/>
              </w:rPr>
              <w:t>9</w:t>
            </w:r>
          </w:p>
        </w:tc>
        <w:tc>
          <w:tcPr>
            <w:tcW w:w="4520" w:type="dxa"/>
          </w:tcPr>
          <w:p>
            <w:pPr>
              <w:outlineLvl w:val="0"/>
              <w:rPr>
                <w:rFonts w:ascii="宋体" w:hAnsi="宋体"/>
                <w:kern w:val="0"/>
                <w:sz w:val="18"/>
                <w:szCs w:val="18"/>
              </w:rPr>
            </w:pPr>
            <w:bookmarkStart w:id="29" w:name="_Toc523396087"/>
            <w:r>
              <w:rPr>
                <w:rFonts w:hint="eastAsia" w:ascii="宋体" w:hAnsi="宋体"/>
                <w:sz w:val="18"/>
                <w:szCs w:val="18"/>
              </w:rPr>
              <w:t>管理部门、基层班组安全活动管理制度</w:t>
            </w:r>
            <w:bookmarkEnd w:id="29"/>
          </w:p>
        </w:tc>
        <w:tc>
          <w:tcPr>
            <w:tcW w:w="1747" w:type="dxa"/>
            <w:vAlign w:val="center"/>
          </w:tcPr>
          <w:p>
            <w:pPr>
              <w:adjustRightInd w:val="0"/>
              <w:snapToGrid w:val="0"/>
              <w:jc w:val="center"/>
              <w:rPr>
                <w:rStyle w:val="29"/>
                <w:rFonts w:ascii="宋体" w:hAnsi="宋体"/>
                <w:color w:val="auto"/>
                <w:sz w:val="18"/>
                <w:szCs w:val="18"/>
                <w:lang w:val="zh-CN"/>
              </w:rPr>
            </w:pPr>
            <w:r>
              <w:rPr>
                <w:rStyle w:val="29"/>
                <w:rFonts w:hint="eastAsia" w:ascii="宋体" w:hAnsi="宋体"/>
                <w:color w:val="auto"/>
                <w:sz w:val="18"/>
                <w:szCs w:val="18"/>
              </w:rPr>
              <w:t>202</w:t>
            </w:r>
            <w:r>
              <w:rPr>
                <w:rStyle w:val="29"/>
                <w:rFonts w:hint="eastAsia" w:ascii="宋体" w:hAnsi="宋体"/>
                <w:color w:val="auto"/>
                <w:sz w:val="18"/>
                <w:szCs w:val="18"/>
                <w:lang w:val="en-US" w:eastAsia="zh-CN"/>
              </w:rPr>
              <w:t>2</w:t>
            </w:r>
            <w:r>
              <w:rPr>
                <w:rStyle w:val="29"/>
                <w:rFonts w:hint="eastAsia" w:ascii="宋体" w:hAnsi="宋体"/>
                <w:color w:val="auto"/>
                <w:sz w:val="18"/>
                <w:szCs w:val="18"/>
              </w:rPr>
              <w:t>年</w:t>
            </w:r>
            <w:r>
              <w:rPr>
                <w:rStyle w:val="29"/>
                <w:rFonts w:hint="eastAsia" w:ascii="宋体" w:hAnsi="宋体"/>
                <w:color w:val="auto"/>
                <w:sz w:val="18"/>
                <w:szCs w:val="18"/>
                <w:lang w:val="en-US" w:eastAsia="zh-CN"/>
              </w:rPr>
              <w:t>4</w:t>
            </w:r>
            <w:r>
              <w:rPr>
                <w:rStyle w:val="29"/>
                <w:rFonts w:hint="eastAsia" w:ascii="宋体" w:hAnsi="宋体"/>
                <w:color w:val="auto"/>
                <w:sz w:val="18"/>
                <w:szCs w:val="18"/>
              </w:rPr>
              <w:t>月</w:t>
            </w:r>
          </w:p>
        </w:tc>
        <w:tc>
          <w:tcPr>
            <w:tcW w:w="1134" w:type="dxa"/>
            <w:vAlign w:val="center"/>
          </w:tcPr>
          <w:p>
            <w:pPr>
              <w:widowControl/>
              <w:jc w:val="center"/>
              <w:rPr>
                <w:rFonts w:ascii="宋体" w:hAnsi="宋体" w:cs="宋体"/>
                <w:kern w:val="0"/>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12" w:type="dxa"/>
            <w:vAlign w:val="center"/>
          </w:tcPr>
          <w:p>
            <w:pPr>
              <w:adjustRightInd w:val="0"/>
              <w:snapToGrid w:val="0"/>
              <w:jc w:val="center"/>
              <w:rPr>
                <w:rFonts w:ascii="宋体" w:hAnsi="宋体"/>
                <w:kern w:val="0"/>
                <w:sz w:val="18"/>
                <w:szCs w:val="18"/>
              </w:rPr>
            </w:pPr>
            <w:r>
              <w:rPr>
                <w:rFonts w:hint="eastAsia" w:ascii="宋体" w:hAnsi="宋体"/>
                <w:kern w:val="0"/>
                <w:sz w:val="18"/>
                <w:szCs w:val="18"/>
              </w:rPr>
              <w:t>10</w:t>
            </w:r>
          </w:p>
        </w:tc>
        <w:tc>
          <w:tcPr>
            <w:tcW w:w="4520" w:type="dxa"/>
          </w:tcPr>
          <w:p>
            <w:pPr>
              <w:outlineLvl w:val="0"/>
              <w:rPr>
                <w:rFonts w:ascii="宋体" w:hAnsi="宋体"/>
                <w:kern w:val="0"/>
                <w:sz w:val="18"/>
                <w:szCs w:val="18"/>
              </w:rPr>
            </w:pPr>
            <w:bookmarkStart w:id="30" w:name="_Toc523396088"/>
            <w:r>
              <w:rPr>
                <w:rFonts w:hint="eastAsia" w:ascii="宋体" w:hAnsi="宋体"/>
                <w:bCs/>
                <w:sz w:val="18"/>
                <w:szCs w:val="18"/>
              </w:rPr>
              <w:t>安全隐患排查治理制度</w:t>
            </w:r>
            <w:bookmarkEnd w:id="30"/>
          </w:p>
        </w:tc>
        <w:tc>
          <w:tcPr>
            <w:tcW w:w="1747" w:type="dxa"/>
            <w:vAlign w:val="center"/>
          </w:tcPr>
          <w:p>
            <w:pPr>
              <w:adjustRightInd w:val="0"/>
              <w:snapToGrid w:val="0"/>
              <w:jc w:val="center"/>
              <w:rPr>
                <w:rStyle w:val="29"/>
                <w:rFonts w:ascii="宋体" w:hAnsi="宋体"/>
                <w:color w:val="auto"/>
                <w:sz w:val="18"/>
                <w:szCs w:val="18"/>
                <w:lang w:val="zh-CN"/>
              </w:rPr>
            </w:pPr>
            <w:r>
              <w:rPr>
                <w:rStyle w:val="29"/>
                <w:rFonts w:hint="eastAsia" w:ascii="宋体" w:hAnsi="宋体"/>
                <w:color w:val="auto"/>
                <w:sz w:val="18"/>
                <w:szCs w:val="18"/>
              </w:rPr>
              <w:t>202</w:t>
            </w:r>
            <w:r>
              <w:rPr>
                <w:rStyle w:val="29"/>
                <w:rFonts w:hint="eastAsia" w:ascii="宋体" w:hAnsi="宋体"/>
                <w:color w:val="auto"/>
                <w:sz w:val="18"/>
                <w:szCs w:val="18"/>
                <w:lang w:val="en-US" w:eastAsia="zh-CN"/>
              </w:rPr>
              <w:t>2</w:t>
            </w:r>
            <w:r>
              <w:rPr>
                <w:rStyle w:val="29"/>
                <w:rFonts w:hint="eastAsia" w:ascii="宋体" w:hAnsi="宋体"/>
                <w:color w:val="auto"/>
                <w:sz w:val="18"/>
                <w:szCs w:val="18"/>
              </w:rPr>
              <w:t>年</w:t>
            </w:r>
            <w:r>
              <w:rPr>
                <w:rStyle w:val="29"/>
                <w:rFonts w:hint="eastAsia" w:ascii="宋体" w:hAnsi="宋体"/>
                <w:color w:val="auto"/>
                <w:sz w:val="18"/>
                <w:szCs w:val="18"/>
                <w:lang w:val="en-US" w:eastAsia="zh-CN"/>
              </w:rPr>
              <w:t>4</w:t>
            </w:r>
            <w:r>
              <w:rPr>
                <w:rStyle w:val="29"/>
                <w:rFonts w:hint="eastAsia" w:ascii="宋体" w:hAnsi="宋体"/>
                <w:color w:val="auto"/>
                <w:sz w:val="18"/>
                <w:szCs w:val="18"/>
              </w:rPr>
              <w:t>月</w:t>
            </w:r>
          </w:p>
        </w:tc>
        <w:tc>
          <w:tcPr>
            <w:tcW w:w="1134" w:type="dxa"/>
            <w:vAlign w:val="center"/>
          </w:tcPr>
          <w:p>
            <w:pPr>
              <w:widowControl/>
              <w:jc w:val="center"/>
              <w:rPr>
                <w:rFonts w:ascii="宋体" w:hAnsi="宋体" w:cs="宋体"/>
                <w:kern w:val="0"/>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12" w:type="dxa"/>
            <w:vAlign w:val="center"/>
          </w:tcPr>
          <w:p>
            <w:pPr>
              <w:adjustRightInd w:val="0"/>
              <w:snapToGrid w:val="0"/>
              <w:jc w:val="center"/>
              <w:rPr>
                <w:rFonts w:ascii="宋体" w:hAnsi="宋体"/>
                <w:kern w:val="0"/>
                <w:sz w:val="18"/>
                <w:szCs w:val="18"/>
              </w:rPr>
            </w:pPr>
            <w:r>
              <w:rPr>
                <w:rFonts w:hint="eastAsia" w:ascii="宋体" w:hAnsi="宋体"/>
                <w:kern w:val="0"/>
                <w:sz w:val="18"/>
                <w:szCs w:val="18"/>
              </w:rPr>
              <w:t>11</w:t>
            </w:r>
          </w:p>
        </w:tc>
        <w:tc>
          <w:tcPr>
            <w:tcW w:w="4520" w:type="dxa"/>
          </w:tcPr>
          <w:p>
            <w:pPr>
              <w:outlineLvl w:val="0"/>
              <w:rPr>
                <w:rFonts w:ascii="宋体" w:hAnsi="宋体"/>
                <w:kern w:val="0"/>
                <w:sz w:val="18"/>
                <w:szCs w:val="18"/>
              </w:rPr>
            </w:pPr>
            <w:bookmarkStart w:id="31" w:name="_Toc523396089"/>
            <w:r>
              <w:rPr>
                <w:rFonts w:hint="eastAsia" w:ascii="宋体" w:hAnsi="宋体"/>
                <w:sz w:val="18"/>
                <w:szCs w:val="18"/>
              </w:rPr>
              <w:t>重大危险源管理制度</w:t>
            </w:r>
            <w:bookmarkEnd w:id="31"/>
          </w:p>
        </w:tc>
        <w:tc>
          <w:tcPr>
            <w:tcW w:w="1747" w:type="dxa"/>
            <w:vAlign w:val="center"/>
          </w:tcPr>
          <w:p>
            <w:pPr>
              <w:adjustRightInd w:val="0"/>
              <w:snapToGrid w:val="0"/>
              <w:jc w:val="center"/>
              <w:rPr>
                <w:rStyle w:val="29"/>
                <w:rFonts w:ascii="宋体" w:hAnsi="宋体"/>
                <w:color w:val="auto"/>
                <w:sz w:val="18"/>
                <w:szCs w:val="18"/>
                <w:lang w:val="zh-CN"/>
              </w:rPr>
            </w:pPr>
            <w:r>
              <w:rPr>
                <w:rStyle w:val="29"/>
                <w:rFonts w:hint="eastAsia" w:ascii="宋体" w:hAnsi="宋体"/>
                <w:color w:val="auto"/>
                <w:sz w:val="18"/>
                <w:szCs w:val="18"/>
              </w:rPr>
              <w:t>202</w:t>
            </w:r>
            <w:r>
              <w:rPr>
                <w:rStyle w:val="29"/>
                <w:rFonts w:hint="eastAsia" w:ascii="宋体" w:hAnsi="宋体"/>
                <w:color w:val="auto"/>
                <w:sz w:val="18"/>
                <w:szCs w:val="18"/>
                <w:lang w:val="en-US" w:eastAsia="zh-CN"/>
              </w:rPr>
              <w:t>2</w:t>
            </w:r>
            <w:r>
              <w:rPr>
                <w:rStyle w:val="29"/>
                <w:rFonts w:hint="eastAsia" w:ascii="宋体" w:hAnsi="宋体"/>
                <w:color w:val="auto"/>
                <w:sz w:val="18"/>
                <w:szCs w:val="18"/>
              </w:rPr>
              <w:t>年</w:t>
            </w:r>
            <w:r>
              <w:rPr>
                <w:rStyle w:val="29"/>
                <w:rFonts w:hint="eastAsia" w:ascii="宋体" w:hAnsi="宋体"/>
                <w:color w:val="auto"/>
                <w:sz w:val="18"/>
                <w:szCs w:val="18"/>
                <w:lang w:val="en-US" w:eastAsia="zh-CN"/>
              </w:rPr>
              <w:t>4</w:t>
            </w:r>
            <w:r>
              <w:rPr>
                <w:rStyle w:val="29"/>
                <w:rFonts w:hint="eastAsia" w:ascii="宋体" w:hAnsi="宋体"/>
                <w:color w:val="auto"/>
                <w:sz w:val="18"/>
                <w:szCs w:val="18"/>
              </w:rPr>
              <w:t>月</w:t>
            </w:r>
          </w:p>
        </w:tc>
        <w:tc>
          <w:tcPr>
            <w:tcW w:w="1134" w:type="dxa"/>
            <w:vAlign w:val="center"/>
          </w:tcPr>
          <w:p>
            <w:pPr>
              <w:widowControl/>
              <w:jc w:val="center"/>
              <w:rPr>
                <w:rFonts w:ascii="宋体" w:hAnsi="宋体" w:cs="宋体"/>
                <w:kern w:val="0"/>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12" w:type="dxa"/>
            <w:vAlign w:val="center"/>
          </w:tcPr>
          <w:p>
            <w:pPr>
              <w:adjustRightInd w:val="0"/>
              <w:snapToGrid w:val="0"/>
              <w:jc w:val="center"/>
              <w:rPr>
                <w:rFonts w:ascii="宋体" w:hAnsi="宋体"/>
                <w:kern w:val="0"/>
                <w:sz w:val="18"/>
                <w:szCs w:val="18"/>
              </w:rPr>
            </w:pPr>
            <w:r>
              <w:rPr>
                <w:rFonts w:hint="eastAsia" w:ascii="宋体" w:hAnsi="宋体"/>
                <w:kern w:val="0"/>
                <w:sz w:val="18"/>
                <w:szCs w:val="18"/>
              </w:rPr>
              <w:t>12</w:t>
            </w:r>
          </w:p>
        </w:tc>
        <w:tc>
          <w:tcPr>
            <w:tcW w:w="4520" w:type="dxa"/>
          </w:tcPr>
          <w:p>
            <w:pPr>
              <w:outlineLvl w:val="0"/>
              <w:rPr>
                <w:rFonts w:ascii="宋体" w:hAnsi="宋体"/>
                <w:kern w:val="0"/>
                <w:sz w:val="18"/>
                <w:szCs w:val="18"/>
              </w:rPr>
            </w:pPr>
            <w:bookmarkStart w:id="32" w:name="_Toc523396090"/>
            <w:r>
              <w:rPr>
                <w:rFonts w:hint="eastAsia" w:ascii="宋体" w:hAnsi="宋体"/>
                <w:bCs/>
                <w:sz w:val="18"/>
                <w:szCs w:val="18"/>
              </w:rPr>
              <w:t>重大危险源检测、监控、管理制度</w:t>
            </w:r>
            <w:bookmarkEnd w:id="32"/>
          </w:p>
        </w:tc>
        <w:tc>
          <w:tcPr>
            <w:tcW w:w="1747" w:type="dxa"/>
            <w:vAlign w:val="center"/>
          </w:tcPr>
          <w:p>
            <w:pPr>
              <w:adjustRightInd w:val="0"/>
              <w:snapToGrid w:val="0"/>
              <w:jc w:val="center"/>
              <w:rPr>
                <w:rStyle w:val="29"/>
                <w:rFonts w:ascii="宋体" w:hAnsi="宋体"/>
                <w:color w:val="auto"/>
                <w:sz w:val="18"/>
                <w:szCs w:val="18"/>
                <w:lang w:val="zh-CN"/>
              </w:rPr>
            </w:pPr>
            <w:r>
              <w:rPr>
                <w:rStyle w:val="29"/>
                <w:rFonts w:hint="eastAsia" w:ascii="宋体" w:hAnsi="宋体"/>
                <w:color w:val="auto"/>
                <w:sz w:val="18"/>
                <w:szCs w:val="18"/>
              </w:rPr>
              <w:t>202</w:t>
            </w:r>
            <w:r>
              <w:rPr>
                <w:rStyle w:val="29"/>
                <w:rFonts w:hint="eastAsia" w:ascii="宋体" w:hAnsi="宋体"/>
                <w:color w:val="auto"/>
                <w:sz w:val="18"/>
                <w:szCs w:val="18"/>
                <w:lang w:val="en-US" w:eastAsia="zh-CN"/>
              </w:rPr>
              <w:t>2</w:t>
            </w:r>
            <w:r>
              <w:rPr>
                <w:rStyle w:val="29"/>
                <w:rFonts w:hint="eastAsia" w:ascii="宋体" w:hAnsi="宋体"/>
                <w:color w:val="auto"/>
                <w:sz w:val="18"/>
                <w:szCs w:val="18"/>
              </w:rPr>
              <w:t>年</w:t>
            </w:r>
            <w:r>
              <w:rPr>
                <w:rStyle w:val="29"/>
                <w:rFonts w:hint="eastAsia" w:ascii="宋体" w:hAnsi="宋体"/>
                <w:color w:val="auto"/>
                <w:sz w:val="18"/>
                <w:szCs w:val="18"/>
                <w:lang w:val="en-US" w:eastAsia="zh-CN"/>
              </w:rPr>
              <w:t>4</w:t>
            </w:r>
            <w:r>
              <w:rPr>
                <w:rStyle w:val="29"/>
                <w:rFonts w:hint="eastAsia" w:ascii="宋体" w:hAnsi="宋体"/>
                <w:color w:val="auto"/>
                <w:sz w:val="18"/>
                <w:szCs w:val="18"/>
              </w:rPr>
              <w:t>月</w:t>
            </w:r>
          </w:p>
        </w:tc>
        <w:tc>
          <w:tcPr>
            <w:tcW w:w="1134" w:type="dxa"/>
            <w:vAlign w:val="center"/>
          </w:tcPr>
          <w:p>
            <w:pPr>
              <w:widowControl/>
              <w:jc w:val="center"/>
              <w:rPr>
                <w:rFonts w:ascii="宋体" w:hAnsi="宋体" w:cs="宋体"/>
                <w:kern w:val="0"/>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12" w:type="dxa"/>
            <w:vAlign w:val="center"/>
          </w:tcPr>
          <w:p>
            <w:pPr>
              <w:adjustRightInd w:val="0"/>
              <w:snapToGrid w:val="0"/>
              <w:jc w:val="center"/>
              <w:rPr>
                <w:rFonts w:ascii="宋体" w:hAnsi="宋体"/>
                <w:kern w:val="0"/>
                <w:sz w:val="18"/>
                <w:szCs w:val="18"/>
              </w:rPr>
            </w:pPr>
            <w:r>
              <w:rPr>
                <w:rFonts w:hint="eastAsia" w:ascii="宋体" w:hAnsi="宋体"/>
                <w:kern w:val="0"/>
                <w:sz w:val="18"/>
                <w:szCs w:val="18"/>
              </w:rPr>
              <w:t>13</w:t>
            </w:r>
          </w:p>
        </w:tc>
        <w:tc>
          <w:tcPr>
            <w:tcW w:w="4520" w:type="dxa"/>
          </w:tcPr>
          <w:p>
            <w:pPr>
              <w:outlineLvl w:val="0"/>
              <w:rPr>
                <w:rFonts w:ascii="宋体" w:hAnsi="宋体"/>
                <w:kern w:val="0"/>
                <w:sz w:val="18"/>
                <w:szCs w:val="18"/>
              </w:rPr>
            </w:pPr>
            <w:bookmarkStart w:id="33" w:name="_Toc523396091"/>
            <w:r>
              <w:rPr>
                <w:rFonts w:hint="eastAsia" w:ascii="宋体" w:hAnsi="宋体"/>
                <w:sz w:val="18"/>
                <w:szCs w:val="18"/>
              </w:rPr>
              <w:t>变更管理制度</w:t>
            </w:r>
            <w:bookmarkEnd w:id="33"/>
          </w:p>
        </w:tc>
        <w:tc>
          <w:tcPr>
            <w:tcW w:w="1747" w:type="dxa"/>
            <w:vAlign w:val="center"/>
          </w:tcPr>
          <w:p>
            <w:pPr>
              <w:adjustRightInd w:val="0"/>
              <w:snapToGrid w:val="0"/>
              <w:jc w:val="center"/>
              <w:rPr>
                <w:rStyle w:val="29"/>
                <w:rFonts w:ascii="宋体" w:hAnsi="宋体"/>
                <w:color w:val="auto"/>
                <w:sz w:val="18"/>
                <w:szCs w:val="18"/>
                <w:lang w:val="zh-CN"/>
              </w:rPr>
            </w:pPr>
            <w:r>
              <w:rPr>
                <w:rStyle w:val="29"/>
                <w:rFonts w:hint="eastAsia" w:ascii="宋体" w:hAnsi="宋体"/>
                <w:color w:val="auto"/>
                <w:sz w:val="18"/>
                <w:szCs w:val="18"/>
              </w:rPr>
              <w:t>202</w:t>
            </w:r>
            <w:r>
              <w:rPr>
                <w:rStyle w:val="29"/>
                <w:rFonts w:hint="eastAsia" w:ascii="宋体" w:hAnsi="宋体"/>
                <w:color w:val="auto"/>
                <w:sz w:val="18"/>
                <w:szCs w:val="18"/>
                <w:lang w:val="en-US" w:eastAsia="zh-CN"/>
              </w:rPr>
              <w:t>2</w:t>
            </w:r>
            <w:r>
              <w:rPr>
                <w:rStyle w:val="29"/>
                <w:rFonts w:hint="eastAsia" w:ascii="宋体" w:hAnsi="宋体"/>
                <w:color w:val="auto"/>
                <w:sz w:val="18"/>
                <w:szCs w:val="18"/>
              </w:rPr>
              <w:t>年</w:t>
            </w:r>
            <w:r>
              <w:rPr>
                <w:rStyle w:val="29"/>
                <w:rFonts w:hint="eastAsia" w:ascii="宋体" w:hAnsi="宋体"/>
                <w:color w:val="auto"/>
                <w:sz w:val="18"/>
                <w:szCs w:val="18"/>
                <w:lang w:val="en-US" w:eastAsia="zh-CN"/>
              </w:rPr>
              <w:t>4</w:t>
            </w:r>
            <w:r>
              <w:rPr>
                <w:rStyle w:val="29"/>
                <w:rFonts w:hint="eastAsia" w:ascii="宋体" w:hAnsi="宋体"/>
                <w:color w:val="auto"/>
                <w:sz w:val="18"/>
                <w:szCs w:val="18"/>
              </w:rPr>
              <w:t>月</w:t>
            </w:r>
          </w:p>
        </w:tc>
        <w:tc>
          <w:tcPr>
            <w:tcW w:w="1134" w:type="dxa"/>
            <w:vAlign w:val="center"/>
          </w:tcPr>
          <w:p>
            <w:pPr>
              <w:widowControl/>
              <w:jc w:val="center"/>
              <w:rPr>
                <w:rFonts w:ascii="宋体" w:hAnsi="宋体" w:cs="宋体"/>
                <w:kern w:val="0"/>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12" w:type="dxa"/>
            <w:vAlign w:val="center"/>
          </w:tcPr>
          <w:p>
            <w:pPr>
              <w:adjustRightInd w:val="0"/>
              <w:snapToGrid w:val="0"/>
              <w:jc w:val="center"/>
              <w:rPr>
                <w:rFonts w:ascii="宋体" w:hAnsi="宋体"/>
                <w:kern w:val="0"/>
                <w:sz w:val="18"/>
                <w:szCs w:val="18"/>
              </w:rPr>
            </w:pPr>
            <w:r>
              <w:rPr>
                <w:rFonts w:hint="eastAsia" w:ascii="宋体" w:hAnsi="宋体"/>
                <w:kern w:val="0"/>
                <w:sz w:val="18"/>
                <w:szCs w:val="18"/>
              </w:rPr>
              <w:t>14</w:t>
            </w:r>
          </w:p>
        </w:tc>
        <w:tc>
          <w:tcPr>
            <w:tcW w:w="4520" w:type="dxa"/>
          </w:tcPr>
          <w:p>
            <w:pPr>
              <w:outlineLvl w:val="0"/>
              <w:rPr>
                <w:rFonts w:ascii="宋体" w:hAnsi="宋体"/>
                <w:kern w:val="0"/>
                <w:sz w:val="18"/>
                <w:szCs w:val="18"/>
              </w:rPr>
            </w:pPr>
            <w:bookmarkStart w:id="34" w:name="_Toc523396092"/>
            <w:r>
              <w:rPr>
                <w:rFonts w:hint="eastAsia" w:ascii="宋体" w:hAnsi="宋体"/>
                <w:bCs/>
                <w:sz w:val="18"/>
                <w:szCs w:val="18"/>
              </w:rPr>
              <w:t>交接班制度</w:t>
            </w:r>
            <w:bookmarkEnd w:id="34"/>
          </w:p>
        </w:tc>
        <w:tc>
          <w:tcPr>
            <w:tcW w:w="1747" w:type="dxa"/>
            <w:vAlign w:val="center"/>
          </w:tcPr>
          <w:p>
            <w:pPr>
              <w:adjustRightInd w:val="0"/>
              <w:snapToGrid w:val="0"/>
              <w:jc w:val="center"/>
              <w:rPr>
                <w:rStyle w:val="29"/>
                <w:rFonts w:ascii="宋体" w:hAnsi="宋体"/>
                <w:color w:val="auto"/>
                <w:sz w:val="18"/>
                <w:szCs w:val="18"/>
                <w:lang w:val="zh-CN"/>
              </w:rPr>
            </w:pPr>
            <w:r>
              <w:rPr>
                <w:rStyle w:val="29"/>
                <w:rFonts w:hint="eastAsia" w:ascii="宋体" w:hAnsi="宋体"/>
                <w:color w:val="auto"/>
                <w:sz w:val="18"/>
                <w:szCs w:val="18"/>
              </w:rPr>
              <w:t>202</w:t>
            </w:r>
            <w:r>
              <w:rPr>
                <w:rStyle w:val="29"/>
                <w:rFonts w:hint="eastAsia" w:ascii="宋体" w:hAnsi="宋体"/>
                <w:color w:val="auto"/>
                <w:sz w:val="18"/>
                <w:szCs w:val="18"/>
                <w:lang w:val="en-US" w:eastAsia="zh-CN"/>
              </w:rPr>
              <w:t>2</w:t>
            </w:r>
            <w:r>
              <w:rPr>
                <w:rStyle w:val="29"/>
                <w:rFonts w:hint="eastAsia" w:ascii="宋体" w:hAnsi="宋体"/>
                <w:color w:val="auto"/>
                <w:sz w:val="18"/>
                <w:szCs w:val="18"/>
              </w:rPr>
              <w:t>年</w:t>
            </w:r>
            <w:r>
              <w:rPr>
                <w:rStyle w:val="29"/>
                <w:rFonts w:hint="eastAsia" w:ascii="宋体" w:hAnsi="宋体"/>
                <w:color w:val="auto"/>
                <w:sz w:val="18"/>
                <w:szCs w:val="18"/>
                <w:lang w:val="en-US" w:eastAsia="zh-CN"/>
              </w:rPr>
              <w:t>4</w:t>
            </w:r>
            <w:r>
              <w:rPr>
                <w:rStyle w:val="29"/>
                <w:rFonts w:hint="eastAsia" w:ascii="宋体" w:hAnsi="宋体"/>
                <w:color w:val="auto"/>
                <w:sz w:val="18"/>
                <w:szCs w:val="18"/>
              </w:rPr>
              <w:t>月</w:t>
            </w:r>
          </w:p>
        </w:tc>
        <w:tc>
          <w:tcPr>
            <w:tcW w:w="1134" w:type="dxa"/>
            <w:vAlign w:val="center"/>
          </w:tcPr>
          <w:p>
            <w:pPr>
              <w:widowControl/>
              <w:jc w:val="center"/>
              <w:rPr>
                <w:rFonts w:ascii="宋体" w:hAnsi="宋体" w:cs="宋体"/>
                <w:kern w:val="0"/>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12" w:type="dxa"/>
            <w:vAlign w:val="center"/>
          </w:tcPr>
          <w:p>
            <w:pPr>
              <w:adjustRightInd w:val="0"/>
              <w:snapToGrid w:val="0"/>
              <w:jc w:val="center"/>
              <w:rPr>
                <w:rFonts w:ascii="宋体" w:hAnsi="宋体"/>
                <w:kern w:val="0"/>
                <w:sz w:val="18"/>
                <w:szCs w:val="18"/>
              </w:rPr>
            </w:pPr>
            <w:r>
              <w:rPr>
                <w:rFonts w:hint="eastAsia" w:ascii="宋体" w:hAnsi="宋体"/>
                <w:kern w:val="0"/>
                <w:sz w:val="18"/>
                <w:szCs w:val="18"/>
              </w:rPr>
              <w:t>15</w:t>
            </w:r>
          </w:p>
        </w:tc>
        <w:tc>
          <w:tcPr>
            <w:tcW w:w="4520" w:type="dxa"/>
          </w:tcPr>
          <w:p>
            <w:pPr>
              <w:outlineLvl w:val="0"/>
              <w:rPr>
                <w:rFonts w:ascii="宋体" w:hAnsi="宋体"/>
                <w:kern w:val="0"/>
                <w:sz w:val="18"/>
                <w:szCs w:val="18"/>
                <w:lang w:val="zh-CN"/>
              </w:rPr>
            </w:pPr>
            <w:bookmarkStart w:id="35" w:name="_Toc523396093"/>
            <w:r>
              <w:rPr>
                <w:rFonts w:hint="eastAsia" w:ascii="宋体" w:hAnsi="宋体"/>
                <w:sz w:val="18"/>
                <w:szCs w:val="18"/>
              </w:rPr>
              <w:t>消防安全管理制度</w:t>
            </w:r>
            <w:bookmarkEnd w:id="35"/>
          </w:p>
        </w:tc>
        <w:tc>
          <w:tcPr>
            <w:tcW w:w="1747" w:type="dxa"/>
            <w:vAlign w:val="center"/>
          </w:tcPr>
          <w:p>
            <w:pPr>
              <w:adjustRightInd w:val="0"/>
              <w:snapToGrid w:val="0"/>
              <w:jc w:val="center"/>
              <w:rPr>
                <w:rStyle w:val="29"/>
                <w:rFonts w:ascii="宋体" w:hAnsi="宋体"/>
                <w:color w:val="auto"/>
                <w:sz w:val="18"/>
                <w:szCs w:val="18"/>
                <w:lang w:val="zh-CN"/>
              </w:rPr>
            </w:pPr>
            <w:r>
              <w:rPr>
                <w:rStyle w:val="29"/>
                <w:rFonts w:hint="eastAsia" w:ascii="宋体" w:hAnsi="宋体"/>
                <w:color w:val="auto"/>
                <w:sz w:val="18"/>
                <w:szCs w:val="18"/>
              </w:rPr>
              <w:t>202</w:t>
            </w:r>
            <w:r>
              <w:rPr>
                <w:rStyle w:val="29"/>
                <w:rFonts w:hint="eastAsia" w:ascii="宋体" w:hAnsi="宋体"/>
                <w:color w:val="auto"/>
                <w:sz w:val="18"/>
                <w:szCs w:val="18"/>
                <w:lang w:val="en-US" w:eastAsia="zh-CN"/>
              </w:rPr>
              <w:t>2</w:t>
            </w:r>
            <w:r>
              <w:rPr>
                <w:rStyle w:val="29"/>
                <w:rFonts w:hint="eastAsia" w:ascii="宋体" w:hAnsi="宋体"/>
                <w:color w:val="auto"/>
                <w:sz w:val="18"/>
                <w:szCs w:val="18"/>
              </w:rPr>
              <w:t>年</w:t>
            </w:r>
            <w:r>
              <w:rPr>
                <w:rStyle w:val="29"/>
                <w:rFonts w:hint="eastAsia" w:ascii="宋体" w:hAnsi="宋体"/>
                <w:color w:val="auto"/>
                <w:sz w:val="18"/>
                <w:szCs w:val="18"/>
                <w:lang w:val="en-US" w:eastAsia="zh-CN"/>
              </w:rPr>
              <w:t>4</w:t>
            </w:r>
            <w:r>
              <w:rPr>
                <w:rStyle w:val="29"/>
                <w:rFonts w:hint="eastAsia" w:ascii="宋体" w:hAnsi="宋体"/>
                <w:color w:val="auto"/>
                <w:sz w:val="18"/>
                <w:szCs w:val="18"/>
              </w:rPr>
              <w:t>月</w:t>
            </w:r>
          </w:p>
        </w:tc>
        <w:tc>
          <w:tcPr>
            <w:tcW w:w="1134" w:type="dxa"/>
            <w:vAlign w:val="center"/>
          </w:tcPr>
          <w:p>
            <w:pPr>
              <w:widowControl/>
              <w:jc w:val="center"/>
              <w:rPr>
                <w:rFonts w:ascii="宋体" w:hAnsi="宋体" w:cs="宋体"/>
                <w:kern w:val="0"/>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12" w:type="dxa"/>
            <w:vAlign w:val="center"/>
          </w:tcPr>
          <w:p>
            <w:pPr>
              <w:adjustRightInd w:val="0"/>
              <w:snapToGrid w:val="0"/>
              <w:jc w:val="center"/>
              <w:rPr>
                <w:rFonts w:ascii="宋体" w:hAnsi="宋体"/>
                <w:kern w:val="0"/>
                <w:sz w:val="18"/>
                <w:szCs w:val="18"/>
              </w:rPr>
            </w:pPr>
            <w:r>
              <w:rPr>
                <w:rFonts w:hint="eastAsia" w:ascii="宋体" w:hAnsi="宋体"/>
                <w:kern w:val="0"/>
                <w:sz w:val="18"/>
                <w:szCs w:val="18"/>
              </w:rPr>
              <w:t>16</w:t>
            </w:r>
          </w:p>
        </w:tc>
        <w:tc>
          <w:tcPr>
            <w:tcW w:w="4520" w:type="dxa"/>
          </w:tcPr>
          <w:p>
            <w:pPr>
              <w:outlineLvl w:val="0"/>
              <w:rPr>
                <w:rFonts w:ascii="宋体" w:hAnsi="宋体"/>
                <w:kern w:val="0"/>
                <w:sz w:val="18"/>
                <w:szCs w:val="18"/>
              </w:rPr>
            </w:pPr>
            <w:bookmarkStart w:id="36" w:name="_Toc523396094"/>
            <w:r>
              <w:rPr>
                <w:rFonts w:hint="eastAsia" w:ascii="宋体" w:hAnsi="宋体"/>
                <w:sz w:val="18"/>
                <w:szCs w:val="18"/>
              </w:rPr>
              <w:t>防火、防爆安全管理制度</w:t>
            </w:r>
            <w:bookmarkEnd w:id="36"/>
          </w:p>
        </w:tc>
        <w:tc>
          <w:tcPr>
            <w:tcW w:w="1747" w:type="dxa"/>
            <w:vAlign w:val="center"/>
          </w:tcPr>
          <w:p>
            <w:pPr>
              <w:adjustRightInd w:val="0"/>
              <w:snapToGrid w:val="0"/>
              <w:jc w:val="center"/>
              <w:rPr>
                <w:rStyle w:val="29"/>
                <w:rFonts w:ascii="宋体" w:hAnsi="宋体"/>
                <w:color w:val="auto"/>
                <w:sz w:val="18"/>
                <w:szCs w:val="18"/>
                <w:lang w:val="zh-CN"/>
              </w:rPr>
            </w:pPr>
            <w:r>
              <w:rPr>
                <w:rStyle w:val="29"/>
                <w:rFonts w:hint="eastAsia" w:ascii="宋体" w:hAnsi="宋体"/>
                <w:color w:val="auto"/>
                <w:sz w:val="18"/>
                <w:szCs w:val="18"/>
              </w:rPr>
              <w:t>202</w:t>
            </w:r>
            <w:r>
              <w:rPr>
                <w:rStyle w:val="29"/>
                <w:rFonts w:hint="eastAsia" w:ascii="宋体" w:hAnsi="宋体"/>
                <w:color w:val="auto"/>
                <w:sz w:val="18"/>
                <w:szCs w:val="18"/>
                <w:lang w:val="en-US" w:eastAsia="zh-CN"/>
              </w:rPr>
              <w:t>2</w:t>
            </w:r>
            <w:r>
              <w:rPr>
                <w:rStyle w:val="29"/>
                <w:rFonts w:hint="eastAsia" w:ascii="宋体" w:hAnsi="宋体"/>
                <w:color w:val="auto"/>
                <w:sz w:val="18"/>
                <w:szCs w:val="18"/>
              </w:rPr>
              <w:t>年</w:t>
            </w:r>
            <w:r>
              <w:rPr>
                <w:rStyle w:val="29"/>
                <w:rFonts w:hint="eastAsia" w:ascii="宋体" w:hAnsi="宋体"/>
                <w:color w:val="auto"/>
                <w:sz w:val="18"/>
                <w:szCs w:val="18"/>
                <w:lang w:val="en-US" w:eastAsia="zh-CN"/>
              </w:rPr>
              <w:t>4</w:t>
            </w:r>
            <w:r>
              <w:rPr>
                <w:rStyle w:val="29"/>
                <w:rFonts w:hint="eastAsia" w:ascii="宋体" w:hAnsi="宋体"/>
                <w:color w:val="auto"/>
                <w:sz w:val="18"/>
                <w:szCs w:val="18"/>
              </w:rPr>
              <w:t>月</w:t>
            </w:r>
          </w:p>
        </w:tc>
        <w:tc>
          <w:tcPr>
            <w:tcW w:w="1134" w:type="dxa"/>
            <w:vAlign w:val="center"/>
          </w:tcPr>
          <w:p>
            <w:pPr>
              <w:widowControl/>
              <w:jc w:val="center"/>
              <w:rPr>
                <w:rFonts w:ascii="宋体" w:hAnsi="宋体" w:cs="宋体"/>
                <w:kern w:val="0"/>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12" w:type="dxa"/>
            <w:vAlign w:val="center"/>
          </w:tcPr>
          <w:p>
            <w:pPr>
              <w:adjustRightInd w:val="0"/>
              <w:snapToGrid w:val="0"/>
              <w:jc w:val="center"/>
              <w:rPr>
                <w:rFonts w:ascii="宋体" w:hAnsi="宋体"/>
                <w:kern w:val="0"/>
                <w:sz w:val="18"/>
                <w:szCs w:val="18"/>
              </w:rPr>
            </w:pPr>
            <w:r>
              <w:rPr>
                <w:rFonts w:hint="eastAsia" w:ascii="宋体" w:hAnsi="宋体"/>
                <w:kern w:val="0"/>
                <w:sz w:val="18"/>
                <w:szCs w:val="18"/>
              </w:rPr>
              <w:t>17</w:t>
            </w:r>
          </w:p>
        </w:tc>
        <w:tc>
          <w:tcPr>
            <w:tcW w:w="4520" w:type="dxa"/>
          </w:tcPr>
          <w:p>
            <w:pPr>
              <w:outlineLvl w:val="0"/>
              <w:rPr>
                <w:rFonts w:ascii="宋体" w:hAnsi="宋体"/>
                <w:kern w:val="0"/>
                <w:sz w:val="18"/>
                <w:szCs w:val="18"/>
                <w:lang w:val="zh-CN"/>
              </w:rPr>
            </w:pPr>
            <w:bookmarkStart w:id="37" w:name="_Toc523396095"/>
            <w:r>
              <w:rPr>
                <w:rFonts w:hint="eastAsia" w:ascii="宋体" w:hAnsi="宋体"/>
                <w:bCs/>
                <w:sz w:val="18"/>
                <w:szCs w:val="18"/>
              </w:rPr>
              <w:t>仓库（和罐区）安全管理规定</w:t>
            </w:r>
            <w:bookmarkEnd w:id="37"/>
          </w:p>
        </w:tc>
        <w:tc>
          <w:tcPr>
            <w:tcW w:w="1747" w:type="dxa"/>
            <w:vAlign w:val="center"/>
          </w:tcPr>
          <w:p>
            <w:pPr>
              <w:adjustRightInd w:val="0"/>
              <w:snapToGrid w:val="0"/>
              <w:jc w:val="center"/>
              <w:rPr>
                <w:rStyle w:val="29"/>
                <w:rFonts w:ascii="宋体" w:hAnsi="宋体"/>
                <w:color w:val="auto"/>
                <w:sz w:val="18"/>
                <w:szCs w:val="18"/>
                <w:lang w:val="zh-CN"/>
              </w:rPr>
            </w:pPr>
            <w:r>
              <w:rPr>
                <w:rStyle w:val="29"/>
                <w:rFonts w:hint="eastAsia" w:ascii="宋体" w:hAnsi="宋体"/>
                <w:color w:val="auto"/>
                <w:sz w:val="18"/>
                <w:szCs w:val="18"/>
              </w:rPr>
              <w:t>202</w:t>
            </w:r>
            <w:r>
              <w:rPr>
                <w:rStyle w:val="29"/>
                <w:rFonts w:hint="eastAsia" w:ascii="宋体" w:hAnsi="宋体"/>
                <w:color w:val="auto"/>
                <w:sz w:val="18"/>
                <w:szCs w:val="18"/>
                <w:lang w:val="en-US" w:eastAsia="zh-CN"/>
              </w:rPr>
              <w:t>2</w:t>
            </w:r>
            <w:r>
              <w:rPr>
                <w:rStyle w:val="29"/>
                <w:rFonts w:hint="eastAsia" w:ascii="宋体" w:hAnsi="宋体"/>
                <w:color w:val="auto"/>
                <w:sz w:val="18"/>
                <w:szCs w:val="18"/>
              </w:rPr>
              <w:t>年</w:t>
            </w:r>
            <w:r>
              <w:rPr>
                <w:rStyle w:val="29"/>
                <w:rFonts w:hint="eastAsia" w:ascii="宋体" w:hAnsi="宋体"/>
                <w:color w:val="auto"/>
                <w:sz w:val="18"/>
                <w:szCs w:val="18"/>
                <w:lang w:val="en-US" w:eastAsia="zh-CN"/>
              </w:rPr>
              <w:t>4</w:t>
            </w:r>
            <w:r>
              <w:rPr>
                <w:rStyle w:val="29"/>
                <w:rFonts w:hint="eastAsia" w:ascii="宋体" w:hAnsi="宋体"/>
                <w:color w:val="auto"/>
                <w:sz w:val="18"/>
                <w:szCs w:val="18"/>
              </w:rPr>
              <w:t>月</w:t>
            </w:r>
          </w:p>
        </w:tc>
        <w:tc>
          <w:tcPr>
            <w:tcW w:w="1134" w:type="dxa"/>
            <w:vAlign w:val="center"/>
          </w:tcPr>
          <w:p>
            <w:pPr>
              <w:widowControl/>
              <w:jc w:val="center"/>
              <w:rPr>
                <w:rFonts w:ascii="宋体" w:hAnsi="宋体" w:cs="宋体"/>
                <w:kern w:val="0"/>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12" w:type="dxa"/>
            <w:vAlign w:val="center"/>
          </w:tcPr>
          <w:p>
            <w:pPr>
              <w:adjustRightInd w:val="0"/>
              <w:snapToGrid w:val="0"/>
              <w:jc w:val="center"/>
              <w:rPr>
                <w:rFonts w:ascii="宋体" w:hAnsi="宋体"/>
                <w:kern w:val="0"/>
                <w:sz w:val="18"/>
                <w:szCs w:val="18"/>
              </w:rPr>
            </w:pPr>
            <w:r>
              <w:rPr>
                <w:rFonts w:hint="eastAsia" w:ascii="宋体" w:hAnsi="宋体"/>
                <w:kern w:val="0"/>
                <w:sz w:val="18"/>
                <w:szCs w:val="18"/>
              </w:rPr>
              <w:t>18</w:t>
            </w:r>
          </w:p>
        </w:tc>
        <w:tc>
          <w:tcPr>
            <w:tcW w:w="4520" w:type="dxa"/>
          </w:tcPr>
          <w:p>
            <w:pPr>
              <w:outlineLvl w:val="0"/>
              <w:rPr>
                <w:rFonts w:ascii="宋体" w:hAnsi="宋体"/>
                <w:kern w:val="0"/>
                <w:sz w:val="18"/>
                <w:szCs w:val="18"/>
                <w:lang w:val="zh-CN"/>
              </w:rPr>
            </w:pPr>
            <w:bookmarkStart w:id="38" w:name="_Toc523396096"/>
            <w:r>
              <w:rPr>
                <w:rFonts w:hint="eastAsia" w:ascii="宋体" w:hAnsi="宋体"/>
                <w:bCs/>
                <w:sz w:val="18"/>
                <w:szCs w:val="18"/>
              </w:rPr>
              <w:t>关键装置重点部位安全管理制度</w:t>
            </w:r>
            <w:bookmarkEnd w:id="38"/>
          </w:p>
        </w:tc>
        <w:tc>
          <w:tcPr>
            <w:tcW w:w="1747" w:type="dxa"/>
            <w:vAlign w:val="center"/>
          </w:tcPr>
          <w:p>
            <w:pPr>
              <w:adjustRightInd w:val="0"/>
              <w:snapToGrid w:val="0"/>
              <w:jc w:val="center"/>
              <w:rPr>
                <w:rStyle w:val="29"/>
                <w:rFonts w:ascii="宋体" w:hAnsi="宋体"/>
                <w:color w:val="auto"/>
                <w:sz w:val="18"/>
                <w:szCs w:val="18"/>
                <w:lang w:val="zh-CN"/>
              </w:rPr>
            </w:pPr>
            <w:r>
              <w:rPr>
                <w:rStyle w:val="29"/>
                <w:rFonts w:hint="eastAsia" w:ascii="宋体" w:hAnsi="宋体"/>
                <w:color w:val="auto"/>
                <w:sz w:val="18"/>
                <w:szCs w:val="18"/>
              </w:rPr>
              <w:t>202</w:t>
            </w:r>
            <w:r>
              <w:rPr>
                <w:rStyle w:val="29"/>
                <w:rFonts w:hint="eastAsia" w:ascii="宋体" w:hAnsi="宋体"/>
                <w:color w:val="auto"/>
                <w:sz w:val="18"/>
                <w:szCs w:val="18"/>
                <w:lang w:val="en-US" w:eastAsia="zh-CN"/>
              </w:rPr>
              <w:t>2</w:t>
            </w:r>
            <w:r>
              <w:rPr>
                <w:rStyle w:val="29"/>
                <w:rFonts w:hint="eastAsia" w:ascii="宋体" w:hAnsi="宋体"/>
                <w:color w:val="auto"/>
                <w:sz w:val="18"/>
                <w:szCs w:val="18"/>
              </w:rPr>
              <w:t>年</w:t>
            </w:r>
            <w:r>
              <w:rPr>
                <w:rStyle w:val="29"/>
                <w:rFonts w:hint="eastAsia" w:ascii="宋体" w:hAnsi="宋体"/>
                <w:color w:val="auto"/>
                <w:sz w:val="18"/>
                <w:szCs w:val="18"/>
                <w:lang w:val="en-US" w:eastAsia="zh-CN"/>
              </w:rPr>
              <w:t>4</w:t>
            </w:r>
            <w:r>
              <w:rPr>
                <w:rStyle w:val="29"/>
                <w:rFonts w:hint="eastAsia" w:ascii="宋体" w:hAnsi="宋体"/>
                <w:color w:val="auto"/>
                <w:sz w:val="18"/>
                <w:szCs w:val="18"/>
              </w:rPr>
              <w:t>月</w:t>
            </w:r>
          </w:p>
        </w:tc>
        <w:tc>
          <w:tcPr>
            <w:tcW w:w="1134" w:type="dxa"/>
            <w:vAlign w:val="center"/>
          </w:tcPr>
          <w:p>
            <w:pPr>
              <w:widowControl/>
              <w:jc w:val="center"/>
              <w:rPr>
                <w:rFonts w:ascii="宋体" w:hAnsi="宋体" w:cs="宋体"/>
                <w:kern w:val="0"/>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12" w:type="dxa"/>
            <w:vAlign w:val="center"/>
          </w:tcPr>
          <w:p>
            <w:pPr>
              <w:adjustRightInd w:val="0"/>
              <w:snapToGrid w:val="0"/>
              <w:jc w:val="center"/>
              <w:rPr>
                <w:rFonts w:ascii="宋体" w:hAnsi="宋体"/>
                <w:kern w:val="0"/>
                <w:sz w:val="18"/>
                <w:szCs w:val="18"/>
              </w:rPr>
            </w:pPr>
            <w:r>
              <w:rPr>
                <w:rFonts w:hint="eastAsia" w:ascii="宋体" w:hAnsi="宋体"/>
                <w:kern w:val="0"/>
                <w:sz w:val="18"/>
                <w:szCs w:val="18"/>
              </w:rPr>
              <w:t>19</w:t>
            </w:r>
          </w:p>
        </w:tc>
        <w:tc>
          <w:tcPr>
            <w:tcW w:w="4520" w:type="dxa"/>
          </w:tcPr>
          <w:p>
            <w:pPr>
              <w:outlineLvl w:val="0"/>
              <w:rPr>
                <w:rFonts w:ascii="宋体" w:hAnsi="宋体"/>
                <w:kern w:val="0"/>
                <w:sz w:val="18"/>
                <w:szCs w:val="18"/>
                <w:lang w:val="zh-CN"/>
              </w:rPr>
            </w:pPr>
            <w:bookmarkStart w:id="39" w:name="_Toc523396097"/>
            <w:r>
              <w:rPr>
                <w:rFonts w:hint="eastAsia" w:ascii="宋体" w:hAnsi="宋体"/>
                <w:bCs/>
                <w:sz w:val="18"/>
                <w:szCs w:val="18"/>
              </w:rPr>
              <w:t>特种设备安全管理制度</w:t>
            </w:r>
            <w:bookmarkEnd w:id="39"/>
          </w:p>
        </w:tc>
        <w:tc>
          <w:tcPr>
            <w:tcW w:w="1747" w:type="dxa"/>
            <w:vAlign w:val="center"/>
          </w:tcPr>
          <w:p>
            <w:pPr>
              <w:adjustRightInd w:val="0"/>
              <w:snapToGrid w:val="0"/>
              <w:jc w:val="center"/>
              <w:rPr>
                <w:rStyle w:val="29"/>
                <w:rFonts w:ascii="宋体" w:hAnsi="宋体"/>
                <w:color w:val="auto"/>
                <w:sz w:val="18"/>
                <w:szCs w:val="18"/>
              </w:rPr>
            </w:pPr>
            <w:r>
              <w:rPr>
                <w:rStyle w:val="29"/>
                <w:rFonts w:hint="eastAsia" w:ascii="宋体" w:hAnsi="宋体"/>
                <w:color w:val="auto"/>
                <w:sz w:val="18"/>
                <w:szCs w:val="18"/>
              </w:rPr>
              <w:t>202</w:t>
            </w:r>
            <w:r>
              <w:rPr>
                <w:rStyle w:val="29"/>
                <w:rFonts w:hint="eastAsia" w:ascii="宋体" w:hAnsi="宋体"/>
                <w:color w:val="auto"/>
                <w:sz w:val="18"/>
                <w:szCs w:val="18"/>
                <w:lang w:val="en-US" w:eastAsia="zh-CN"/>
              </w:rPr>
              <w:t>2</w:t>
            </w:r>
            <w:r>
              <w:rPr>
                <w:rStyle w:val="29"/>
                <w:rFonts w:hint="eastAsia" w:ascii="宋体" w:hAnsi="宋体"/>
                <w:color w:val="auto"/>
                <w:sz w:val="18"/>
                <w:szCs w:val="18"/>
              </w:rPr>
              <w:t>年</w:t>
            </w:r>
            <w:r>
              <w:rPr>
                <w:rStyle w:val="29"/>
                <w:rFonts w:hint="eastAsia" w:ascii="宋体" w:hAnsi="宋体"/>
                <w:color w:val="auto"/>
                <w:sz w:val="18"/>
                <w:szCs w:val="18"/>
                <w:lang w:val="en-US" w:eastAsia="zh-CN"/>
              </w:rPr>
              <w:t>4</w:t>
            </w:r>
            <w:r>
              <w:rPr>
                <w:rStyle w:val="29"/>
                <w:rFonts w:hint="eastAsia" w:ascii="宋体" w:hAnsi="宋体"/>
                <w:color w:val="auto"/>
                <w:sz w:val="18"/>
                <w:szCs w:val="18"/>
              </w:rPr>
              <w:t>月</w:t>
            </w:r>
          </w:p>
        </w:tc>
        <w:tc>
          <w:tcPr>
            <w:tcW w:w="1134" w:type="dxa"/>
            <w:vAlign w:val="center"/>
          </w:tcPr>
          <w:p>
            <w:pPr>
              <w:widowControl/>
              <w:jc w:val="center"/>
              <w:rPr>
                <w:rFonts w:ascii="宋体" w:hAnsi="宋体" w:cs="宋体"/>
                <w:kern w:val="0"/>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12" w:type="dxa"/>
            <w:vAlign w:val="center"/>
          </w:tcPr>
          <w:p>
            <w:pPr>
              <w:widowControl/>
              <w:jc w:val="center"/>
              <w:rPr>
                <w:rFonts w:ascii="宋体" w:hAnsi="宋体" w:cs="宋体"/>
                <w:kern w:val="0"/>
                <w:sz w:val="18"/>
                <w:szCs w:val="18"/>
              </w:rPr>
            </w:pPr>
            <w:r>
              <w:rPr>
                <w:rFonts w:hint="eastAsia" w:ascii="宋体" w:hAnsi="宋体" w:cs="宋体"/>
                <w:kern w:val="0"/>
                <w:sz w:val="18"/>
                <w:szCs w:val="18"/>
              </w:rPr>
              <w:t>20</w:t>
            </w:r>
          </w:p>
        </w:tc>
        <w:tc>
          <w:tcPr>
            <w:tcW w:w="4520" w:type="dxa"/>
          </w:tcPr>
          <w:p>
            <w:pPr>
              <w:outlineLvl w:val="0"/>
              <w:rPr>
                <w:rFonts w:ascii="宋体" w:hAnsi="宋体"/>
                <w:kern w:val="0"/>
                <w:sz w:val="18"/>
                <w:szCs w:val="18"/>
                <w:lang w:val="zh-CN"/>
              </w:rPr>
            </w:pPr>
            <w:bookmarkStart w:id="40" w:name="_Toc523396098"/>
            <w:r>
              <w:rPr>
                <w:rFonts w:hint="eastAsia" w:ascii="宋体" w:hAnsi="宋体"/>
                <w:sz w:val="18"/>
                <w:szCs w:val="18"/>
              </w:rPr>
              <w:t>建设项目“三同时”管理制度</w:t>
            </w:r>
            <w:bookmarkEnd w:id="40"/>
          </w:p>
        </w:tc>
        <w:tc>
          <w:tcPr>
            <w:tcW w:w="1747" w:type="dxa"/>
            <w:vAlign w:val="center"/>
          </w:tcPr>
          <w:p>
            <w:pPr>
              <w:adjustRightInd w:val="0"/>
              <w:snapToGrid w:val="0"/>
              <w:jc w:val="center"/>
              <w:rPr>
                <w:rStyle w:val="29"/>
                <w:rFonts w:ascii="宋体" w:hAnsi="宋体"/>
                <w:color w:val="auto"/>
                <w:sz w:val="18"/>
                <w:szCs w:val="18"/>
              </w:rPr>
            </w:pPr>
            <w:r>
              <w:rPr>
                <w:rStyle w:val="29"/>
                <w:rFonts w:hint="eastAsia" w:ascii="宋体" w:hAnsi="宋体"/>
                <w:color w:val="auto"/>
                <w:sz w:val="18"/>
                <w:szCs w:val="18"/>
              </w:rPr>
              <w:t>202</w:t>
            </w:r>
            <w:r>
              <w:rPr>
                <w:rStyle w:val="29"/>
                <w:rFonts w:hint="eastAsia" w:ascii="宋体" w:hAnsi="宋体"/>
                <w:color w:val="auto"/>
                <w:sz w:val="18"/>
                <w:szCs w:val="18"/>
                <w:lang w:val="en-US" w:eastAsia="zh-CN"/>
              </w:rPr>
              <w:t>2</w:t>
            </w:r>
            <w:r>
              <w:rPr>
                <w:rStyle w:val="29"/>
                <w:rFonts w:hint="eastAsia" w:ascii="宋体" w:hAnsi="宋体"/>
                <w:color w:val="auto"/>
                <w:sz w:val="18"/>
                <w:szCs w:val="18"/>
              </w:rPr>
              <w:t>年</w:t>
            </w:r>
            <w:r>
              <w:rPr>
                <w:rStyle w:val="29"/>
                <w:rFonts w:hint="eastAsia" w:ascii="宋体" w:hAnsi="宋体"/>
                <w:color w:val="auto"/>
                <w:sz w:val="18"/>
                <w:szCs w:val="18"/>
                <w:lang w:val="en-US" w:eastAsia="zh-CN"/>
              </w:rPr>
              <w:t>4</w:t>
            </w:r>
            <w:r>
              <w:rPr>
                <w:rStyle w:val="29"/>
                <w:rFonts w:hint="eastAsia" w:ascii="宋体" w:hAnsi="宋体"/>
                <w:color w:val="auto"/>
                <w:sz w:val="18"/>
                <w:szCs w:val="18"/>
              </w:rPr>
              <w:t>月</w:t>
            </w:r>
          </w:p>
        </w:tc>
        <w:tc>
          <w:tcPr>
            <w:tcW w:w="1134" w:type="dxa"/>
            <w:vAlign w:val="center"/>
          </w:tcPr>
          <w:p>
            <w:pPr>
              <w:widowControl/>
              <w:jc w:val="center"/>
              <w:rPr>
                <w:rFonts w:ascii="宋体" w:hAnsi="宋体" w:cs="宋体"/>
                <w:kern w:val="0"/>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12" w:type="dxa"/>
            <w:vAlign w:val="center"/>
          </w:tcPr>
          <w:p>
            <w:pPr>
              <w:widowControl/>
              <w:jc w:val="center"/>
              <w:rPr>
                <w:rFonts w:ascii="宋体" w:hAnsi="宋体" w:cs="宋体"/>
                <w:kern w:val="0"/>
                <w:sz w:val="18"/>
                <w:szCs w:val="18"/>
              </w:rPr>
            </w:pPr>
            <w:r>
              <w:rPr>
                <w:rFonts w:hint="eastAsia" w:ascii="宋体" w:hAnsi="宋体" w:cs="宋体"/>
                <w:kern w:val="0"/>
                <w:sz w:val="18"/>
                <w:szCs w:val="18"/>
              </w:rPr>
              <w:t>21</w:t>
            </w:r>
          </w:p>
        </w:tc>
        <w:tc>
          <w:tcPr>
            <w:tcW w:w="4520" w:type="dxa"/>
          </w:tcPr>
          <w:p>
            <w:pPr>
              <w:outlineLvl w:val="0"/>
              <w:rPr>
                <w:rFonts w:ascii="宋体" w:hAnsi="宋体"/>
                <w:kern w:val="0"/>
                <w:sz w:val="18"/>
                <w:szCs w:val="18"/>
                <w:lang w:val="zh-CN"/>
              </w:rPr>
            </w:pPr>
            <w:bookmarkStart w:id="41" w:name="_Toc523396099"/>
            <w:r>
              <w:rPr>
                <w:rFonts w:hint="eastAsia" w:ascii="宋体" w:hAnsi="宋体"/>
                <w:sz w:val="18"/>
                <w:szCs w:val="18"/>
              </w:rPr>
              <w:t>公用工程安全管理制度</w:t>
            </w:r>
            <w:bookmarkEnd w:id="41"/>
          </w:p>
        </w:tc>
        <w:tc>
          <w:tcPr>
            <w:tcW w:w="1747" w:type="dxa"/>
            <w:vAlign w:val="center"/>
          </w:tcPr>
          <w:p>
            <w:pPr>
              <w:adjustRightInd w:val="0"/>
              <w:snapToGrid w:val="0"/>
              <w:jc w:val="center"/>
              <w:rPr>
                <w:rStyle w:val="29"/>
                <w:rFonts w:ascii="宋体" w:hAnsi="宋体"/>
                <w:color w:val="auto"/>
                <w:sz w:val="18"/>
                <w:szCs w:val="18"/>
              </w:rPr>
            </w:pPr>
            <w:r>
              <w:rPr>
                <w:rStyle w:val="29"/>
                <w:rFonts w:hint="eastAsia" w:ascii="宋体" w:hAnsi="宋体"/>
                <w:color w:val="auto"/>
                <w:sz w:val="18"/>
                <w:szCs w:val="18"/>
              </w:rPr>
              <w:t>202</w:t>
            </w:r>
            <w:r>
              <w:rPr>
                <w:rStyle w:val="29"/>
                <w:rFonts w:hint="eastAsia" w:ascii="宋体" w:hAnsi="宋体"/>
                <w:color w:val="auto"/>
                <w:sz w:val="18"/>
                <w:szCs w:val="18"/>
                <w:lang w:val="en-US" w:eastAsia="zh-CN"/>
              </w:rPr>
              <w:t>2</w:t>
            </w:r>
            <w:r>
              <w:rPr>
                <w:rStyle w:val="29"/>
                <w:rFonts w:hint="eastAsia" w:ascii="宋体" w:hAnsi="宋体"/>
                <w:color w:val="auto"/>
                <w:sz w:val="18"/>
                <w:szCs w:val="18"/>
              </w:rPr>
              <w:t>年</w:t>
            </w:r>
            <w:r>
              <w:rPr>
                <w:rStyle w:val="29"/>
                <w:rFonts w:hint="eastAsia" w:ascii="宋体" w:hAnsi="宋体"/>
                <w:color w:val="auto"/>
                <w:sz w:val="18"/>
                <w:szCs w:val="18"/>
                <w:lang w:val="en-US" w:eastAsia="zh-CN"/>
              </w:rPr>
              <w:t>4</w:t>
            </w:r>
            <w:r>
              <w:rPr>
                <w:rStyle w:val="29"/>
                <w:rFonts w:hint="eastAsia" w:ascii="宋体" w:hAnsi="宋体"/>
                <w:color w:val="auto"/>
                <w:sz w:val="18"/>
                <w:szCs w:val="18"/>
              </w:rPr>
              <w:t>月</w:t>
            </w:r>
          </w:p>
        </w:tc>
        <w:tc>
          <w:tcPr>
            <w:tcW w:w="1134" w:type="dxa"/>
            <w:vAlign w:val="center"/>
          </w:tcPr>
          <w:p>
            <w:pPr>
              <w:widowControl/>
              <w:jc w:val="center"/>
              <w:rPr>
                <w:rFonts w:ascii="宋体" w:hAnsi="宋体" w:cs="宋体"/>
                <w:kern w:val="0"/>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12" w:type="dxa"/>
            <w:vAlign w:val="center"/>
          </w:tcPr>
          <w:p>
            <w:pPr>
              <w:widowControl/>
              <w:jc w:val="center"/>
              <w:rPr>
                <w:rFonts w:ascii="宋体" w:hAnsi="宋体" w:cs="宋体"/>
                <w:kern w:val="0"/>
                <w:sz w:val="18"/>
                <w:szCs w:val="18"/>
              </w:rPr>
            </w:pPr>
            <w:r>
              <w:rPr>
                <w:rFonts w:hint="eastAsia" w:ascii="宋体" w:hAnsi="宋体" w:cs="宋体"/>
                <w:kern w:val="0"/>
                <w:sz w:val="18"/>
                <w:szCs w:val="18"/>
              </w:rPr>
              <w:t>22</w:t>
            </w:r>
          </w:p>
        </w:tc>
        <w:tc>
          <w:tcPr>
            <w:tcW w:w="4520" w:type="dxa"/>
          </w:tcPr>
          <w:p>
            <w:pPr>
              <w:outlineLvl w:val="0"/>
              <w:rPr>
                <w:rFonts w:ascii="宋体" w:hAnsi="宋体"/>
                <w:kern w:val="0"/>
                <w:sz w:val="18"/>
                <w:szCs w:val="18"/>
                <w:lang w:val="zh-CN"/>
              </w:rPr>
            </w:pPr>
            <w:bookmarkStart w:id="42" w:name="_Toc523396100"/>
            <w:r>
              <w:rPr>
                <w:rFonts w:hint="eastAsia" w:ascii="宋体" w:hAnsi="宋体"/>
                <w:sz w:val="18"/>
                <w:szCs w:val="18"/>
              </w:rPr>
              <w:t>厂内交通安全管理制度</w:t>
            </w:r>
            <w:bookmarkEnd w:id="42"/>
          </w:p>
        </w:tc>
        <w:tc>
          <w:tcPr>
            <w:tcW w:w="1747" w:type="dxa"/>
            <w:vAlign w:val="center"/>
          </w:tcPr>
          <w:p>
            <w:pPr>
              <w:adjustRightInd w:val="0"/>
              <w:snapToGrid w:val="0"/>
              <w:jc w:val="center"/>
              <w:rPr>
                <w:rStyle w:val="29"/>
                <w:rFonts w:ascii="宋体" w:hAnsi="宋体"/>
                <w:color w:val="auto"/>
                <w:sz w:val="18"/>
                <w:szCs w:val="18"/>
              </w:rPr>
            </w:pPr>
            <w:r>
              <w:rPr>
                <w:rStyle w:val="29"/>
                <w:rFonts w:hint="eastAsia" w:ascii="宋体" w:hAnsi="宋体"/>
                <w:color w:val="auto"/>
                <w:sz w:val="18"/>
                <w:szCs w:val="18"/>
              </w:rPr>
              <w:t>202</w:t>
            </w:r>
            <w:r>
              <w:rPr>
                <w:rStyle w:val="29"/>
                <w:rFonts w:hint="eastAsia" w:ascii="宋体" w:hAnsi="宋体"/>
                <w:color w:val="auto"/>
                <w:sz w:val="18"/>
                <w:szCs w:val="18"/>
                <w:lang w:val="en-US" w:eastAsia="zh-CN"/>
              </w:rPr>
              <w:t>2</w:t>
            </w:r>
            <w:r>
              <w:rPr>
                <w:rStyle w:val="29"/>
                <w:rFonts w:hint="eastAsia" w:ascii="宋体" w:hAnsi="宋体"/>
                <w:color w:val="auto"/>
                <w:sz w:val="18"/>
                <w:szCs w:val="18"/>
              </w:rPr>
              <w:t>年</w:t>
            </w:r>
            <w:r>
              <w:rPr>
                <w:rStyle w:val="29"/>
                <w:rFonts w:hint="eastAsia" w:ascii="宋体" w:hAnsi="宋体"/>
                <w:color w:val="auto"/>
                <w:sz w:val="18"/>
                <w:szCs w:val="18"/>
                <w:lang w:val="en-US" w:eastAsia="zh-CN"/>
              </w:rPr>
              <w:t>4</w:t>
            </w:r>
            <w:r>
              <w:rPr>
                <w:rStyle w:val="29"/>
                <w:rFonts w:hint="eastAsia" w:ascii="宋体" w:hAnsi="宋体"/>
                <w:color w:val="auto"/>
                <w:sz w:val="18"/>
                <w:szCs w:val="18"/>
              </w:rPr>
              <w:t>月</w:t>
            </w:r>
          </w:p>
        </w:tc>
        <w:tc>
          <w:tcPr>
            <w:tcW w:w="1134" w:type="dxa"/>
            <w:vAlign w:val="center"/>
          </w:tcPr>
          <w:p>
            <w:pPr>
              <w:widowControl/>
              <w:jc w:val="center"/>
              <w:rPr>
                <w:rFonts w:ascii="宋体" w:hAnsi="宋体" w:cs="宋体"/>
                <w:kern w:val="0"/>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12" w:type="dxa"/>
            <w:vAlign w:val="center"/>
          </w:tcPr>
          <w:p>
            <w:pPr>
              <w:widowControl/>
              <w:jc w:val="center"/>
              <w:rPr>
                <w:rFonts w:ascii="宋体" w:hAnsi="宋体" w:cs="宋体"/>
                <w:kern w:val="0"/>
                <w:sz w:val="18"/>
                <w:szCs w:val="18"/>
              </w:rPr>
            </w:pPr>
            <w:r>
              <w:rPr>
                <w:rFonts w:hint="eastAsia" w:ascii="宋体" w:hAnsi="宋体" w:cs="宋体"/>
                <w:kern w:val="0"/>
                <w:sz w:val="18"/>
                <w:szCs w:val="18"/>
              </w:rPr>
              <w:t>23</w:t>
            </w:r>
          </w:p>
        </w:tc>
        <w:tc>
          <w:tcPr>
            <w:tcW w:w="4520" w:type="dxa"/>
          </w:tcPr>
          <w:p>
            <w:pPr>
              <w:outlineLvl w:val="0"/>
              <w:rPr>
                <w:rFonts w:ascii="宋体" w:hAnsi="宋体"/>
                <w:kern w:val="0"/>
                <w:sz w:val="18"/>
                <w:szCs w:val="18"/>
                <w:lang w:val="zh-CN"/>
              </w:rPr>
            </w:pPr>
            <w:bookmarkStart w:id="43" w:name="_Toc523396101"/>
            <w:r>
              <w:rPr>
                <w:rFonts w:hint="eastAsia" w:ascii="宋体" w:hAnsi="宋体"/>
                <w:sz w:val="18"/>
                <w:szCs w:val="18"/>
              </w:rPr>
              <w:t>防雷、防静电管理规定</w:t>
            </w:r>
            <w:bookmarkEnd w:id="43"/>
          </w:p>
        </w:tc>
        <w:tc>
          <w:tcPr>
            <w:tcW w:w="1747" w:type="dxa"/>
            <w:vAlign w:val="center"/>
          </w:tcPr>
          <w:p>
            <w:pPr>
              <w:adjustRightInd w:val="0"/>
              <w:snapToGrid w:val="0"/>
              <w:jc w:val="center"/>
              <w:rPr>
                <w:rStyle w:val="29"/>
                <w:rFonts w:ascii="宋体" w:hAnsi="宋体"/>
                <w:color w:val="auto"/>
                <w:sz w:val="18"/>
                <w:szCs w:val="18"/>
              </w:rPr>
            </w:pPr>
            <w:r>
              <w:rPr>
                <w:rStyle w:val="29"/>
                <w:rFonts w:hint="eastAsia" w:ascii="宋体" w:hAnsi="宋体"/>
                <w:color w:val="auto"/>
                <w:sz w:val="18"/>
                <w:szCs w:val="18"/>
              </w:rPr>
              <w:t>202</w:t>
            </w:r>
            <w:r>
              <w:rPr>
                <w:rStyle w:val="29"/>
                <w:rFonts w:hint="eastAsia" w:ascii="宋体" w:hAnsi="宋体"/>
                <w:color w:val="auto"/>
                <w:sz w:val="18"/>
                <w:szCs w:val="18"/>
                <w:lang w:val="en-US" w:eastAsia="zh-CN"/>
              </w:rPr>
              <w:t>2</w:t>
            </w:r>
            <w:r>
              <w:rPr>
                <w:rStyle w:val="29"/>
                <w:rFonts w:hint="eastAsia" w:ascii="宋体" w:hAnsi="宋体"/>
                <w:color w:val="auto"/>
                <w:sz w:val="18"/>
                <w:szCs w:val="18"/>
              </w:rPr>
              <w:t>年</w:t>
            </w:r>
            <w:r>
              <w:rPr>
                <w:rStyle w:val="29"/>
                <w:rFonts w:hint="eastAsia" w:ascii="宋体" w:hAnsi="宋体"/>
                <w:color w:val="auto"/>
                <w:sz w:val="18"/>
                <w:szCs w:val="18"/>
                <w:lang w:val="en-US" w:eastAsia="zh-CN"/>
              </w:rPr>
              <w:t>4</w:t>
            </w:r>
            <w:r>
              <w:rPr>
                <w:rStyle w:val="29"/>
                <w:rFonts w:hint="eastAsia" w:ascii="宋体" w:hAnsi="宋体"/>
                <w:color w:val="auto"/>
                <w:sz w:val="18"/>
                <w:szCs w:val="18"/>
              </w:rPr>
              <w:t>月</w:t>
            </w:r>
          </w:p>
        </w:tc>
        <w:tc>
          <w:tcPr>
            <w:tcW w:w="1134" w:type="dxa"/>
            <w:vAlign w:val="center"/>
          </w:tcPr>
          <w:p>
            <w:pPr>
              <w:widowControl/>
              <w:jc w:val="center"/>
              <w:rPr>
                <w:rFonts w:ascii="宋体" w:hAnsi="宋体" w:cs="宋体"/>
                <w:kern w:val="0"/>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12" w:type="dxa"/>
            <w:vAlign w:val="center"/>
          </w:tcPr>
          <w:p>
            <w:pPr>
              <w:widowControl/>
              <w:jc w:val="center"/>
              <w:rPr>
                <w:rFonts w:ascii="宋体" w:hAnsi="宋体" w:cs="宋体"/>
                <w:kern w:val="0"/>
                <w:sz w:val="18"/>
                <w:szCs w:val="18"/>
              </w:rPr>
            </w:pPr>
            <w:r>
              <w:rPr>
                <w:rFonts w:hint="eastAsia" w:ascii="宋体" w:hAnsi="宋体" w:cs="宋体"/>
                <w:kern w:val="0"/>
                <w:sz w:val="18"/>
                <w:szCs w:val="18"/>
              </w:rPr>
              <w:t>24</w:t>
            </w:r>
          </w:p>
        </w:tc>
        <w:tc>
          <w:tcPr>
            <w:tcW w:w="4520" w:type="dxa"/>
          </w:tcPr>
          <w:p>
            <w:pPr>
              <w:outlineLvl w:val="0"/>
              <w:rPr>
                <w:rFonts w:ascii="宋体" w:hAnsi="宋体"/>
                <w:kern w:val="0"/>
                <w:sz w:val="18"/>
                <w:szCs w:val="18"/>
                <w:lang w:val="zh-CN"/>
              </w:rPr>
            </w:pPr>
            <w:bookmarkStart w:id="44" w:name="_Toc523396102"/>
            <w:r>
              <w:rPr>
                <w:rFonts w:hint="eastAsia" w:ascii="宋体" w:hAnsi="宋体"/>
                <w:sz w:val="18"/>
                <w:szCs w:val="18"/>
              </w:rPr>
              <w:t>安全作业管理规定</w:t>
            </w:r>
            <w:bookmarkEnd w:id="44"/>
          </w:p>
        </w:tc>
        <w:tc>
          <w:tcPr>
            <w:tcW w:w="1747" w:type="dxa"/>
            <w:vAlign w:val="center"/>
          </w:tcPr>
          <w:p>
            <w:pPr>
              <w:adjustRightInd w:val="0"/>
              <w:snapToGrid w:val="0"/>
              <w:jc w:val="center"/>
              <w:rPr>
                <w:rStyle w:val="29"/>
                <w:rFonts w:ascii="宋体" w:hAnsi="宋体"/>
                <w:color w:val="auto"/>
                <w:sz w:val="18"/>
                <w:szCs w:val="18"/>
              </w:rPr>
            </w:pPr>
            <w:r>
              <w:rPr>
                <w:rStyle w:val="29"/>
                <w:rFonts w:hint="eastAsia" w:ascii="宋体" w:hAnsi="宋体"/>
                <w:color w:val="auto"/>
                <w:sz w:val="18"/>
                <w:szCs w:val="18"/>
              </w:rPr>
              <w:t>202</w:t>
            </w:r>
            <w:r>
              <w:rPr>
                <w:rStyle w:val="29"/>
                <w:rFonts w:hint="eastAsia" w:ascii="宋体" w:hAnsi="宋体"/>
                <w:color w:val="auto"/>
                <w:sz w:val="18"/>
                <w:szCs w:val="18"/>
                <w:lang w:val="en-US" w:eastAsia="zh-CN"/>
              </w:rPr>
              <w:t>2</w:t>
            </w:r>
            <w:r>
              <w:rPr>
                <w:rStyle w:val="29"/>
                <w:rFonts w:hint="eastAsia" w:ascii="宋体" w:hAnsi="宋体"/>
                <w:color w:val="auto"/>
                <w:sz w:val="18"/>
                <w:szCs w:val="18"/>
              </w:rPr>
              <w:t>年</w:t>
            </w:r>
            <w:r>
              <w:rPr>
                <w:rStyle w:val="29"/>
                <w:rFonts w:hint="eastAsia" w:ascii="宋体" w:hAnsi="宋体"/>
                <w:color w:val="auto"/>
                <w:sz w:val="18"/>
                <w:szCs w:val="18"/>
                <w:lang w:val="en-US" w:eastAsia="zh-CN"/>
              </w:rPr>
              <w:t>4</w:t>
            </w:r>
            <w:r>
              <w:rPr>
                <w:rStyle w:val="29"/>
                <w:rFonts w:hint="eastAsia" w:ascii="宋体" w:hAnsi="宋体"/>
                <w:color w:val="auto"/>
                <w:sz w:val="18"/>
                <w:szCs w:val="18"/>
              </w:rPr>
              <w:t>月</w:t>
            </w:r>
          </w:p>
        </w:tc>
        <w:tc>
          <w:tcPr>
            <w:tcW w:w="1134" w:type="dxa"/>
            <w:vAlign w:val="center"/>
          </w:tcPr>
          <w:p>
            <w:pPr>
              <w:widowControl/>
              <w:jc w:val="center"/>
              <w:rPr>
                <w:rFonts w:ascii="宋体" w:hAnsi="宋体" w:cs="宋体"/>
                <w:kern w:val="0"/>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12" w:type="dxa"/>
            <w:vAlign w:val="center"/>
          </w:tcPr>
          <w:p>
            <w:pPr>
              <w:widowControl/>
              <w:jc w:val="center"/>
              <w:rPr>
                <w:rFonts w:ascii="宋体" w:hAnsi="宋体" w:cs="宋体"/>
                <w:kern w:val="0"/>
                <w:sz w:val="18"/>
                <w:szCs w:val="18"/>
              </w:rPr>
            </w:pPr>
            <w:r>
              <w:rPr>
                <w:rFonts w:hint="eastAsia" w:ascii="宋体" w:hAnsi="宋体" w:cs="宋体"/>
                <w:kern w:val="0"/>
                <w:sz w:val="18"/>
                <w:szCs w:val="18"/>
              </w:rPr>
              <w:t>25</w:t>
            </w:r>
          </w:p>
        </w:tc>
        <w:tc>
          <w:tcPr>
            <w:tcW w:w="4520" w:type="dxa"/>
          </w:tcPr>
          <w:p>
            <w:pPr>
              <w:outlineLvl w:val="0"/>
              <w:rPr>
                <w:rFonts w:ascii="宋体" w:hAnsi="宋体"/>
                <w:kern w:val="0"/>
                <w:sz w:val="18"/>
                <w:szCs w:val="18"/>
                <w:lang w:val="zh-CN"/>
              </w:rPr>
            </w:pPr>
            <w:bookmarkStart w:id="45" w:name="_Toc523396103"/>
            <w:r>
              <w:rPr>
                <w:rFonts w:ascii="宋体" w:hAnsi="宋体"/>
                <w:sz w:val="18"/>
                <w:szCs w:val="18"/>
              </w:rPr>
              <w:t>动火</w:t>
            </w:r>
            <w:r>
              <w:rPr>
                <w:rFonts w:hint="eastAsia" w:ascii="宋体" w:hAnsi="宋体"/>
                <w:sz w:val="18"/>
                <w:szCs w:val="18"/>
              </w:rPr>
              <w:t>作业</w:t>
            </w:r>
            <w:r>
              <w:rPr>
                <w:rFonts w:ascii="宋体" w:hAnsi="宋体"/>
                <w:sz w:val="18"/>
                <w:szCs w:val="18"/>
              </w:rPr>
              <w:t>安全</w:t>
            </w:r>
            <w:r>
              <w:rPr>
                <w:rFonts w:hint="eastAsia" w:ascii="宋体" w:hAnsi="宋体"/>
                <w:sz w:val="18"/>
                <w:szCs w:val="18"/>
              </w:rPr>
              <w:t>管理规定</w:t>
            </w:r>
            <w:bookmarkEnd w:id="45"/>
          </w:p>
        </w:tc>
        <w:tc>
          <w:tcPr>
            <w:tcW w:w="1747" w:type="dxa"/>
            <w:vAlign w:val="center"/>
          </w:tcPr>
          <w:p>
            <w:pPr>
              <w:adjustRightInd w:val="0"/>
              <w:snapToGrid w:val="0"/>
              <w:jc w:val="center"/>
              <w:rPr>
                <w:rStyle w:val="29"/>
                <w:rFonts w:ascii="宋体" w:hAnsi="宋体"/>
                <w:color w:val="auto"/>
                <w:sz w:val="18"/>
                <w:szCs w:val="18"/>
              </w:rPr>
            </w:pPr>
            <w:r>
              <w:rPr>
                <w:rStyle w:val="29"/>
                <w:rFonts w:hint="eastAsia" w:ascii="宋体" w:hAnsi="宋体"/>
                <w:color w:val="auto"/>
                <w:sz w:val="18"/>
                <w:szCs w:val="18"/>
              </w:rPr>
              <w:t>202</w:t>
            </w:r>
            <w:r>
              <w:rPr>
                <w:rStyle w:val="29"/>
                <w:rFonts w:hint="eastAsia" w:ascii="宋体" w:hAnsi="宋体"/>
                <w:color w:val="auto"/>
                <w:sz w:val="18"/>
                <w:szCs w:val="18"/>
                <w:lang w:val="en-US" w:eastAsia="zh-CN"/>
              </w:rPr>
              <w:t>2</w:t>
            </w:r>
            <w:r>
              <w:rPr>
                <w:rStyle w:val="29"/>
                <w:rFonts w:hint="eastAsia" w:ascii="宋体" w:hAnsi="宋体"/>
                <w:color w:val="auto"/>
                <w:sz w:val="18"/>
                <w:szCs w:val="18"/>
              </w:rPr>
              <w:t>年</w:t>
            </w:r>
            <w:r>
              <w:rPr>
                <w:rStyle w:val="29"/>
                <w:rFonts w:hint="eastAsia" w:ascii="宋体" w:hAnsi="宋体"/>
                <w:color w:val="auto"/>
                <w:sz w:val="18"/>
                <w:szCs w:val="18"/>
                <w:lang w:val="en-US" w:eastAsia="zh-CN"/>
              </w:rPr>
              <w:t>4</w:t>
            </w:r>
            <w:r>
              <w:rPr>
                <w:rStyle w:val="29"/>
                <w:rFonts w:hint="eastAsia" w:ascii="宋体" w:hAnsi="宋体"/>
                <w:color w:val="auto"/>
                <w:sz w:val="18"/>
                <w:szCs w:val="18"/>
              </w:rPr>
              <w:t>月</w:t>
            </w:r>
          </w:p>
        </w:tc>
        <w:tc>
          <w:tcPr>
            <w:tcW w:w="1134" w:type="dxa"/>
            <w:vAlign w:val="center"/>
          </w:tcPr>
          <w:p>
            <w:pPr>
              <w:widowControl/>
              <w:jc w:val="center"/>
              <w:rPr>
                <w:rFonts w:ascii="宋体" w:hAnsi="宋体" w:cs="宋体"/>
                <w:kern w:val="0"/>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12" w:type="dxa"/>
            <w:vAlign w:val="center"/>
          </w:tcPr>
          <w:p>
            <w:pPr>
              <w:widowControl/>
              <w:jc w:val="center"/>
              <w:rPr>
                <w:rFonts w:ascii="宋体" w:hAnsi="宋体" w:cs="宋体"/>
                <w:kern w:val="0"/>
                <w:sz w:val="18"/>
                <w:szCs w:val="18"/>
              </w:rPr>
            </w:pPr>
            <w:r>
              <w:rPr>
                <w:rFonts w:hint="eastAsia" w:ascii="宋体" w:hAnsi="宋体" w:cs="宋体"/>
                <w:kern w:val="0"/>
                <w:sz w:val="18"/>
                <w:szCs w:val="18"/>
              </w:rPr>
              <w:t>26</w:t>
            </w:r>
          </w:p>
        </w:tc>
        <w:tc>
          <w:tcPr>
            <w:tcW w:w="4520" w:type="dxa"/>
          </w:tcPr>
          <w:p>
            <w:pPr>
              <w:outlineLvl w:val="0"/>
              <w:rPr>
                <w:rFonts w:ascii="宋体" w:hAnsi="宋体"/>
                <w:kern w:val="0"/>
                <w:sz w:val="18"/>
                <w:szCs w:val="18"/>
                <w:lang w:val="zh-CN"/>
              </w:rPr>
            </w:pPr>
            <w:bookmarkStart w:id="46" w:name="_Toc523396104"/>
            <w:r>
              <w:rPr>
                <w:rFonts w:hint="eastAsia" w:ascii="宋体" w:hAnsi="宋体"/>
                <w:bCs/>
                <w:sz w:val="18"/>
                <w:szCs w:val="18"/>
              </w:rPr>
              <w:t>进入受限空间作业安全管理制度</w:t>
            </w:r>
            <w:bookmarkEnd w:id="46"/>
          </w:p>
        </w:tc>
        <w:tc>
          <w:tcPr>
            <w:tcW w:w="1747" w:type="dxa"/>
            <w:vAlign w:val="center"/>
          </w:tcPr>
          <w:p>
            <w:pPr>
              <w:adjustRightInd w:val="0"/>
              <w:snapToGrid w:val="0"/>
              <w:jc w:val="center"/>
              <w:rPr>
                <w:rStyle w:val="29"/>
                <w:rFonts w:ascii="宋体" w:hAnsi="宋体"/>
                <w:color w:val="auto"/>
                <w:sz w:val="18"/>
                <w:szCs w:val="18"/>
              </w:rPr>
            </w:pPr>
            <w:r>
              <w:rPr>
                <w:rStyle w:val="29"/>
                <w:rFonts w:hint="eastAsia" w:ascii="宋体" w:hAnsi="宋体"/>
                <w:color w:val="auto"/>
                <w:sz w:val="18"/>
                <w:szCs w:val="18"/>
              </w:rPr>
              <w:t>202</w:t>
            </w:r>
            <w:r>
              <w:rPr>
                <w:rStyle w:val="29"/>
                <w:rFonts w:hint="eastAsia" w:ascii="宋体" w:hAnsi="宋体"/>
                <w:color w:val="auto"/>
                <w:sz w:val="18"/>
                <w:szCs w:val="18"/>
                <w:lang w:val="en-US" w:eastAsia="zh-CN"/>
              </w:rPr>
              <w:t>2</w:t>
            </w:r>
            <w:r>
              <w:rPr>
                <w:rStyle w:val="29"/>
                <w:rFonts w:hint="eastAsia" w:ascii="宋体" w:hAnsi="宋体"/>
                <w:color w:val="auto"/>
                <w:sz w:val="18"/>
                <w:szCs w:val="18"/>
              </w:rPr>
              <w:t>年</w:t>
            </w:r>
            <w:r>
              <w:rPr>
                <w:rStyle w:val="29"/>
                <w:rFonts w:hint="eastAsia" w:ascii="宋体" w:hAnsi="宋体"/>
                <w:color w:val="auto"/>
                <w:sz w:val="18"/>
                <w:szCs w:val="18"/>
                <w:lang w:val="en-US" w:eastAsia="zh-CN"/>
              </w:rPr>
              <w:t>4</w:t>
            </w:r>
            <w:r>
              <w:rPr>
                <w:rStyle w:val="29"/>
                <w:rFonts w:hint="eastAsia" w:ascii="宋体" w:hAnsi="宋体"/>
                <w:color w:val="auto"/>
                <w:sz w:val="18"/>
                <w:szCs w:val="18"/>
              </w:rPr>
              <w:t>月</w:t>
            </w:r>
          </w:p>
        </w:tc>
        <w:tc>
          <w:tcPr>
            <w:tcW w:w="1134" w:type="dxa"/>
            <w:vAlign w:val="center"/>
          </w:tcPr>
          <w:p>
            <w:pPr>
              <w:widowControl/>
              <w:jc w:val="center"/>
              <w:rPr>
                <w:rFonts w:ascii="宋体" w:hAnsi="宋体" w:cs="宋体"/>
                <w:kern w:val="0"/>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12" w:type="dxa"/>
            <w:vAlign w:val="center"/>
          </w:tcPr>
          <w:p>
            <w:pPr>
              <w:widowControl/>
              <w:jc w:val="center"/>
              <w:textAlignment w:val="center"/>
              <w:rPr>
                <w:rFonts w:ascii="宋体" w:hAnsi="宋体" w:cs="宋体"/>
                <w:kern w:val="0"/>
                <w:sz w:val="18"/>
                <w:szCs w:val="18"/>
              </w:rPr>
            </w:pPr>
            <w:r>
              <w:rPr>
                <w:rFonts w:hint="eastAsia" w:ascii="宋体" w:hAnsi="宋体" w:cs="宋体"/>
                <w:kern w:val="0"/>
                <w:sz w:val="18"/>
                <w:szCs w:val="18"/>
              </w:rPr>
              <w:t>27</w:t>
            </w:r>
          </w:p>
        </w:tc>
        <w:tc>
          <w:tcPr>
            <w:tcW w:w="4520" w:type="dxa"/>
          </w:tcPr>
          <w:p>
            <w:pPr>
              <w:outlineLvl w:val="0"/>
              <w:rPr>
                <w:rFonts w:ascii="宋体" w:hAnsi="宋体"/>
                <w:kern w:val="0"/>
                <w:sz w:val="18"/>
                <w:szCs w:val="18"/>
                <w:lang w:val="zh-CN"/>
              </w:rPr>
            </w:pPr>
            <w:bookmarkStart w:id="47" w:name="_Toc523396105"/>
            <w:r>
              <w:rPr>
                <w:rFonts w:hint="eastAsia" w:ascii="宋体" w:hAnsi="宋体"/>
                <w:sz w:val="18"/>
                <w:szCs w:val="18"/>
              </w:rPr>
              <w:t>临时用电安全管理制度</w:t>
            </w:r>
            <w:bookmarkEnd w:id="47"/>
          </w:p>
        </w:tc>
        <w:tc>
          <w:tcPr>
            <w:tcW w:w="1747" w:type="dxa"/>
            <w:vAlign w:val="center"/>
          </w:tcPr>
          <w:p>
            <w:pPr>
              <w:adjustRightInd w:val="0"/>
              <w:snapToGrid w:val="0"/>
              <w:jc w:val="center"/>
              <w:rPr>
                <w:rStyle w:val="29"/>
                <w:rFonts w:ascii="宋体" w:hAnsi="宋体"/>
                <w:color w:val="auto"/>
                <w:sz w:val="18"/>
                <w:szCs w:val="18"/>
              </w:rPr>
            </w:pPr>
            <w:r>
              <w:rPr>
                <w:rStyle w:val="29"/>
                <w:rFonts w:hint="eastAsia" w:ascii="宋体" w:hAnsi="宋体"/>
                <w:color w:val="auto"/>
                <w:sz w:val="18"/>
                <w:szCs w:val="18"/>
              </w:rPr>
              <w:t>202</w:t>
            </w:r>
            <w:r>
              <w:rPr>
                <w:rStyle w:val="29"/>
                <w:rFonts w:hint="eastAsia" w:ascii="宋体" w:hAnsi="宋体"/>
                <w:color w:val="auto"/>
                <w:sz w:val="18"/>
                <w:szCs w:val="18"/>
                <w:lang w:val="en-US" w:eastAsia="zh-CN"/>
              </w:rPr>
              <w:t>2</w:t>
            </w:r>
            <w:r>
              <w:rPr>
                <w:rStyle w:val="29"/>
                <w:rFonts w:hint="eastAsia" w:ascii="宋体" w:hAnsi="宋体"/>
                <w:color w:val="auto"/>
                <w:sz w:val="18"/>
                <w:szCs w:val="18"/>
              </w:rPr>
              <w:t>年</w:t>
            </w:r>
            <w:r>
              <w:rPr>
                <w:rStyle w:val="29"/>
                <w:rFonts w:hint="eastAsia" w:ascii="宋体" w:hAnsi="宋体"/>
                <w:color w:val="auto"/>
                <w:sz w:val="18"/>
                <w:szCs w:val="18"/>
                <w:lang w:val="en-US" w:eastAsia="zh-CN"/>
              </w:rPr>
              <w:t>4</w:t>
            </w:r>
            <w:r>
              <w:rPr>
                <w:rStyle w:val="29"/>
                <w:rFonts w:hint="eastAsia" w:ascii="宋体" w:hAnsi="宋体"/>
                <w:color w:val="auto"/>
                <w:sz w:val="18"/>
                <w:szCs w:val="18"/>
              </w:rPr>
              <w:t>月</w:t>
            </w:r>
          </w:p>
        </w:tc>
        <w:tc>
          <w:tcPr>
            <w:tcW w:w="1134" w:type="dxa"/>
            <w:vAlign w:val="center"/>
          </w:tcPr>
          <w:p>
            <w:pPr>
              <w:widowControl/>
              <w:jc w:val="center"/>
              <w:rPr>
                <w:rFonts w:ascii="宋体" w:hAnsi="宋体" w:cs="宋体"/>
                <w:kern w:val="0"/>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12" w:type="dxa"/>
            <w:vAlign w:val="center"/>
          </w:tcPr>
          <w:p>
            <w:pPr>
              <w:widowControl/>
              <w:jc w:val="center"/>
              <w:textAlignment w:val="center"/>
              <w:rPr>
                <w:rFonts w:ascii="宋体" w:hAnsi="宋体" w:cs="宋体"/>
                <w:kern w:val="0"/>
                <w:sz w:val="18"/>
                <w:szCs w:val="18"/>
              </w:rPr>
            </w:pPr>
            <w:r>
              <w:rPr>
                <w:rFonts w:hint="eastAsia" w:ascii="宋体" w:hAnsi="宋体" w:cs="宋体"/>
                <w:kern w:val="0"/>
                <w:sz w:val="18"/>
                <w:szCs w:val="18"/>
              </w:rPr>
              <w:t>28</w:t>
            </w:r>
          </w:p>
        </w:tc>
        <w:tc>
          <w:tcPr>
            <w:tcW w:w="4520" w:type="dxa"/>
          </w:tcPr>
          <w:p>
            <w:pPr>
              <w:outlineLvl w:val="0"/>
              <w:rPr>
                <w:rFonts w:ascii="宋体" w:hAnsi="宋体"/>
                <w:kern w:val="0"/>
                <w:sz w:val="18"/>
                <w:szCs w:val="18"/>
                <w:lang w:val="zh-CN"/>
              </w:rPr>
            </w:pPr>
            <w:bookmarkStart w:id="48" w:name="_Toc523396106"/>
            <w:r>
              <w:rPr>
                <w:rFonts w:hint="eastAsia" w:ascii="宋体" w:hAnsi="宋体"/>
                <w:bCs/>
                <w:sz w:val="18"/>
                <w:szCs w:val="18"/>
              </w:rPr>
              <w:t>高处作业安全管理制度</w:t>
            </w:r>
            <w:bookmarkEnd w:id="48"/>
          </w:p>
        </w:tc>
        <w:tc>
          <w:tcPr>
            <w:tcW w:w="1747" w:type="dxa"/>
            <w:vAlign w:val="center"/>
          </w:tcPr>
          <w:p>
            <w:pPr>
              <w:adjustRightInd w:val="0"/>
              <w:snapToGrid w:val="0"/>
              <w:jc w:val="center"/>
              <w:rPr>
                <w:rStyle w:val="29"/>
                <w:rFonts w:ascii="宋体" w:hAnsi="宋体"/>
                <w:color w:val="auto"/>
                <w:sz w:val="18"/>
                <w:szCs w:val="18"/>
              </w:rPr>
            </w:pPr>
            <w:r>
              <w:rPr>
                <w:rStyle w:val="29"/>
                <w:rFonts w:hint="eastAsia" w:ascii="宋体" w:hAnsi="宋体"/>
                <w:color w:val="auto"/>
                <w:sz w:val="18"/>
                <w:szCs w:val="18"/>
              </w:rPr>
              <w:t>202</w:t>
            </w:r>
            <w:r>
              <w:rPr>
                <w:rStyle w:val="29"/>
                <w:rFonts w:hint="eastAsia" w:ascii="宋体" w:hAnsi="宋体"/>
                <w:color w:val="auto"/>
                <w:sz w:val="18"/>
                <w:szCs w:val="18"/>
                <w:lang w:val="en-US" w:eastAsia="zh-CN"/>
              </w:rPr>
              <w:t>2</w:t>
            </w:r>
            <w:r>
              <w:rPr>
                <w:rStyle w:val="29"/>
                <w:rFonts w:hint="eastAsia" w:ascii="宋体" w:hAnsi="宋体"/>
                <w:color w:val="auto"/>
                <w:sz w:val="18"/>
                <w:szCs w:val="18"/>
              </w:rPr>
              <w:t>年</w:t>
            </w:r>
            <w:r>
              <w:rPr>
                <w:rStyle w:val="29"/>
                <w:rFonts w:hint="eastAsia" w:ascii="宋体" w:hAnsi="宋体"/>
                <w:color w:val="auto"/>
                <w:sz w:val="18"/>
                <w:szCs w:val="18"/>
                <w:lang w:val="en-US" w:eastAsia="zh-CN"/>
              </w:rPr>
              <w:t>4</w:t>
            </w:r>
            <w:r>
              <w:rPr>
                <w:rStyle w:val="29"/>
                <w:rFonts w:hint="eastAsia" w:ascii="宋体" w:hAnsi="宋体"/>
                <w:color w:val="auto"/>
                <w:sz w:val="18"/>
                <w:szCs w:val="18"/>
              </w:rPr>
              <w:t>月</w:t>
            </w:r>
          </w:p>
        </w:tc>
        <w:tc>
          <w:tcPr>
            <w:tcW w:w="1134" w:type="dxa"/>
            <w:vAlign w:val="center"/>
          </w:tcPr>
          <w:p>
            <w:pPr>
              <w:widowControl/>
              <w:jc w:val="center"/>
              <w:rPr>
                <w:rFonts w:ascii="宋体" w:hAnsi="宋体" w:cs="宋体"/>
                <w:kern w:val="0"/>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12" w:type="dxa"/>
            <w:vAlign w:val="center"/>
          </w:tcPr>
          <w:p>
            <w:pPr>
              <w:widowControl/>
              <w:jc w:val="center"/>
              <w:textAlignment w:val="center"/>
              <w:rPr>
                <w:rFonts w:ascii="宋体" w:hAnsi="宋体" w:cs="宋体"/>
                <w:kern w:val="0"/>
                <w:sz w:val="18"/>
                <w:szCs w:val="18"/>
              </w:rPr>
            </w:pPr>
            <w:r>
              <w:rPr>
                <w:rFonts w:hint="eastAsia" w:ascii="宋体" w:hAnsi="宋体" w:cs="宋体"/>
                <w:kern w:val="0"/>
                <w:sz w:val="18"/>
                <w:szCs w:val="18"/>
              </w:rPr>
              <w:t>29</w:t>
            </w:r>
          </w:p>
        </w:tc>
        <w:tc>
          <w:tcPr>
            <w:tcW w:w="4520" w:type="dxa"/>
          </w:tcPr>
          <w:p>
            <w:pPr>
              <w:outlineLvl w:val="0"/>
              <w:rPr>
                <w:rFonts w:ascii="宋体" w:hAnsi="宋体"/>
                <w:kern w:val="0"/>
                <w:sz w:val="18"/>
                <w:szCs w:val="18"/>
                <w:lang w:val="zh-CN"/>
              </w:rPr>
            </w:pPr>
            <w:bookmarkStart w:id="49" w:name="_Toc523396107"/>
            <w:r>
              <w:rPr>
                <w:rFonts w:ascii="宋体" w:hAnsi="宋体"/>
                <w:bCs/>
                <w:sz w:val="18"/>
                <w:szCs w:val="18"/>
              </w:rPr>
              <w:t>厂区吊装作业安全管理规定</w:t>
            </w:r>
            <w:bookmarkEnd w:id="49"/>
          </w:p>
        </w:tc>
        <w:tc>
          <w:tcPr>
            <w:tcW w:w="1747" w:type="dxa"/>
            <w:vAlign w:val="center"/>
          </w:tcPr>
          <w:p>
            <w:pPr>
              <w:adjustRightInd w:val="0"/>
              <w:snapToGrid w:val="0"/>
              <w:jc w:val="center"/>
              <w:rPr>
                <w:rStyle w:val="29"/>
                <w:rFonts w:ascii="宋体" w:hAnsi="宋体"/>
                <w:color w:val="auto"/>
                <w:sz w:val="18"/>
                <w:szCs w:val="18"/>
              </w:rPr>
            </w:pPr>
            <w:r>
              <w:rPr>
                <w:rStyle w:val="29"/>
                <w:rFonts w:hint="eastAsia" w:ascii="宋体" w:hAnsi="宋体"/>
                <w:color w:val="auto"/>
                <w:sz w:val="18"/>
                <w:szCs w:val="18"/>
              </w:rPr>
              <w:t>202</w:t>
            </w:r>
            <w:r>
              <w:rPr>
                <w:rStyle w:val="29"/>
                <w:rFonts w:hint="eastAsia" w:ascii="宋体" w:hAnsi="宋体"/>
                <w:color w:val="auto"/>
                <w:sz w:val="18"/>
                <w:szCs w:val="18"/>
                <w:lang w:val="en-US" w:eastAsia="zh-CN"/>
              </w:rPr>
              <w:t>2</w:t>
            </w:r>
            <w:r>
              <w:rPr>
                <w:rStyle w:val="29"/>
                <w:rFonts w:hint="eastAsia" w:ascii="宋体" w:hAnsi="宋体"/>
                <w:color w:val="auto"/>
                <w:sz w:val="18"/>
                <w:szCs w:val="18"/>
              </w:rPr>
              <w:t>年</w:t>
            </w:r>
            <w:r>
              <w:rPr>
                <w:rStyle w:val="29"/>
                <w:rFonts w:hint="eastAsia" w:ascii="宋体" w:hAnsi="宋体"/>
                <w:color w:val="auto"/>
                <w:sz w:val="18"/>
                <w:szCs w:val="18"/>
                <w:lang w:val="en-US" w:eastAsia="zh-CN"/>
              </w:rPr>
              <w:t>4</w:t>
            </w:r>
            <w:r>
              <w:rPr>
                <w:rStyle w:val="29"/>
                <w:rFonts w:hint="eastAsia" w:ascii="宋体" w:hAnsi="宋体"/>
                <w:color w:val="auto"/>
                <w:sz w:val="18"/>
                <w:szCs w:val="18"/>
              </w:rPr>
              <w:t>月</w:t>
            </w:r>
          </w:p>
        </w:tc>
        <w:tc>
          <w:tcPr>
            <w:tcW w:w="1134" w:type="dxa"/>
            <w:vAlign w:val="center"/>
          </w:tcPr>
          <w:p>
            <w:pPr>
              <w:widowControl/>
              <w:jc w:val="center"/>
              <w:rPr>
                <w:rFonts w:ascii="宋体" w:hAnsi="宋体" w:cs="宋体"/>
                <w:kern w:val="0"/>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12" w:type="dxa"/>
            <w:vAlign w:val="center"/>
          </w:tcPr>
          <w:p>
            <w:pPr>
              <w:widowControl/>
              <w:jc w:val="center"/>
              <w:textAlignment w:val="center"/>
              <w:rPr>
                <w:rFonts w:ascii="宋体" w:hAnsi="宋体" w:cs="宋体"/>
                <w:kern w:val="0"/>
                <w:sz w:val="18"/>
                <w:szCs w:val="18"/>
              </w:rPr>
            </w:pPr>
            <w:r>
              <w:rPr>
                <w:rFonts w:hint="eastAsia" w:ascii="宋体" w:hAnsi="宋体" w:cs="宋体"/>
                <w:kern w:val="0"/>
                <w:sz w:val="18"/>
                <w:szCs w:val="18"/>
              </w:rPr>
              <w:t>30</w:t>
            </w:r>
          </w:p>
        </w:tc>
        <w:tc>
          <w:tcPr>
            <w:tcW w:w="4520" w:type="dxa"/>
          </w:tcPr>
          <w:p>
            <w:pPr>
              <w:outlineLvl w:val="0"/>
              <w:rPr>
                <w:rFonts w:ascii="宋体" w:hAnsi="宋体"/>
                <w:kern w:val="0"/>
                <w:sz w:val="18"/>
                <w:szCs w:val="18"/>
                <w:lang w:val="zh-CN"/>
              </w:rPr>
            </w:pPr>
            <w:bookmarkStart w:id="50" w:name="_Toc523396108"/>
            <w:r>
              <w:rPr>
                <w:rFonts w:hint="eastAsia" w:ascii="宋体" w:hAnsi="宋体"/>
                <w:sz w:val="18"/>
                <w:szCs w:val="18"/>
              </w:rPr>
              <w:t>公司动土作业安全管理规定</w:t>
            </w:r>
            <w:bookmarkEnd w:id="50"/>
          </w:p>
        </w:tc>
        <w:tc>
          <w:tcPr>
            <w:tcW w:w="1747" w:type="dxa"/>
            <w:vAlign w:val="center"/>
          </w:tcPr>
          <w:p>
            <w:pPr>
              <w:adjustRightInd w:val="0"/>
              <w:snapToGrid w:val="0"/>
              <w:jc w:val="center"/>
              <w:rPr>
                <w:rStyle w:val="29"/>
                <w:rFonts w:ascii="宋体" w:hAnsi="宋体"/>
                <w:color w:val="auto"/>
                <w:sz w:val="18"/>
                <w:szCs w:val="18"/>
              </w:rPr>
            </w:pPr>
            <w:r>
              <w:rPr>
                <w:rStyle w:val="29"/>
                <w:rFonts w:hint="eastAsia" w:ascii="宋体" w:hAnsi="宋体"/>
                <w:color w:val="auto"/>
                <w:sz w:val="18"/>
                <w:szCs w:val="18"/>
              </w:rPr>
              <w:t>202</w:t>
            </w:r>
            <w:r>
              <w:rPr>
                <w:rStyle w:val="29"/>
                <w:rFonts w:hint="eastAsia" w:ascii="宋体" w:hAnsi="宋体"/>
                <w:color w:val="auto"/>
                <w:sz w:val="18"/>
                <w:szCs w:val="18"/>
                <w:lang w:val="en-US" w:eastAsia="zh-CN"/>
              </w:rPr>
              <w:t>2</w:t>
            </w:r>
            <w:r>
              <w:rPr>
                <w:rStyle w:val="29"/>
                <w:rFonts w:hint="eastAsia" w:ascii="宋体" w:hAnsi="宋体"/>
                <w:color w:val="auto"/>
                <w:sz w:val="18"/>
                <w:szCs w:val="18"/>
              </w:rPr>
              <w:t>年</w:t>
            </w:r>
            <w:r>
              <w:rPr>
                <w:rStyle w:val="29"/>
                <w:rFonts w:hint="eastAsia" w:ascii="宋体" w:hAnsi="宋体"/>
                <w:color w:val="auto"/>
                <w:sz w:val="18"/>
                <w:szCs w:val="18"/>
                <w:lang w:val="en-US" w:eastAsia="zh-CN"/>
              </w:rPr>
              <w:t>4</w:t>
            </w:r>
            <w:r>
              <w:rPr>
                <w:rStyle w:val="29"/>
                <w:rFonts w:hint="eastAsia" w:ascii="宋体" w:hAnsi="宋体"/>
                <w:color w:val="auto"/>
                <w:sz w:val="18"/>
                <w:szCs w:val="18"/>
              </w:rPr>
              <w:t>月</w:t>
            </w:r>
          </w:p>
        </w:tc>
        <w:tc>
          <w:tcPr>
            <w:tcW w:w="1134" w:type="dxa"/>
            <w:vAlign w:val="center"/>
          </w:tcPr>
          <w:p>
            <w:pPr>
              <w:widowControl/>
              <w:jc w:val="center"/>
              <w:rPr>
                <w:rFonts w:ascii="宋体" w:hAnsi="宋体" w:cs="宋体"/>
                <w:kern w:val="0"/>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12" w:type="dxa"/>
            <w:vAlign w:val="center"/>
          </w:tcPr>
          <w:p>
            <w:pPr>
              <w:widowControl/>
              <w:jc w:val="center"/>
              <w:textAlignment w:val="center"/>
              <w:rPr>
                <w:rFonts w:ascii="宋体" w:hAnsi="宋体" w:cs="宋体"/>
                <w:kern w:val="0"/>
                <w:sz w:val="18"/>
                <w:szCs w:val="18"/>
              </w:rPr>
            </w:pPr>
            <w:r>
              <w:rPr>
                <w:rFonts w:hint="eastAsia" w:ascii="宋体" w:hAnsi="宋体" w:cs="宋体"/>
                <w:kern w:val="0"/>
                <w:sz w:val="18"/>
                <w:szCs w:val="18"/>
              </w:rPr>
              <w:t>31</w:t>
            </w:r>
          </w:p>
        </w:tc>
        <w:tc>
          <w:tcPr>
            <w:tcW w:w="4520" w:type="dxa"/>
          </w:tcPr>
          <w:p>
            <w:pPr>
              <w:outlineLvl w:val="0"/>
              <w:rPr>
                <w:rFonts w:ascii="宋体" w:hAnsi="宋体"/>
                <w:kern w:val="0"/>
                <w:sz w:val="18"/>
                <w:szCs w:val="18"/>
                <w:lang w:val="zh-CN"/>
              </w:rPr>
            </w:pPr>
            <w:bookmarkStart w:id="51" w:name="_Toc523396109"/>
            <w:r>
              <w:rPr>
                <w:rFonts w:hint="eastAsia" w:ascii="宋体" w:hAnsi="宋体"/>
                <w:sz w:val="18"/>
                <w:szCs w:val="18"/>
              </w:rPr>
              <w:t>断路作业安全管理规定</w:t>
            </w:r>
            <w:bookmarkEnd w:id="51"/>
          </w:p>
        </w:tc>
        <w:tc>
          <w:tcPr>
            <w:tcW w:w="1747" w:type="dxa"/>
            <w:vAlign w:val="center"/>
          </w:tcPr>
          <w:p>
            <w:pPr>
              <w:adjustRightInd w:val="0"/>
              <w:snapToGrid w:val="0"/>
              <w:jc w:val="center"/>
              <w:rPr>
                <w:rStyle w:val="29"/>
                <w:rFonts w:ascii="宋体" w:hAnsi="宋体"/>
                <w:color w:val="auto"/>
                <w:sz w:val="18"/>
                <w:szCs w:val="18"/>
              </w:rPr>
            </w:pPr>
            <w:r>
              <w:rPr>
                <w:rStyle w:val="29"/>
                <w:rFonts w:hint="eastAsia" w:ascii="宋体" w:hAnsi="宋体"/>
                <w:color w:val="auto"/>
                <w:sz w:val="18"/>
                <w:szCs w:val="18"/>
              </w:rPr>
              <w:t>202</w:t>
            </w:r>
            <w:r>
              <w:rPr>
                <w:rStyle w:val="29"/>
                <w:rFonts w:hint="eastAsia" w:ascii="宋体" w:hAnsi="宋体"/>
                <w:color w:val="auto"/>
                <w:sz w:val="18"/>
                <w:szCs w:val="18"/>
                <w:lang w:val="en-US" w:eastAsia="zh-CN"/>
              </w:rPr>
              <w:t>2</w:t>
            </w:r>
            <w:r>
              <w:rPr>
                <w:rStyle w:val="29"/>
                <w:rFonts w:hint="eastAsia" w:ascii="宋体" w:hAnsi="宋体"/>
                <w:color w:val="auto"/>
                <w:sz w:val="18"/>
                <w:szCs w:val="18"/>
              </w:rPr>
              <w:t>年</w:t>
            </w:r>
            <w:r>
              <w:rPr>
                <w:rStyle w:val="29"/>
                <w:rFonts w:hint="eastAsia" w:ascii="宋体" w:hAnsi="宋体"/>
                <w:color w:val="auto"/>
                <w:sz w:val="18"/>
                <w:szCs w:val="18"/>
                <w:lang w:val="en-US" w:eastAsia="zh-CN"/>
              </w:rPr>
              <w:t>4</w:t>
            </w:r>
            <w:r>
              <w:rPr>
                <w:rStyle w:val="29"/>
                <w:rFonts w:hint="eastAsia" w:ascii="宋体" w:hAnsi="宋体"/>
                <w:color w:val="auto"/>
                <w:sz w:val="18"/>
                <w:szCs w:val="18"/>
              </w:rPr>
              <w:t>月</w:t>
            </w:r>
          </w:p>
        </w:tc>
        <w:tc>
          <w:tcPr>
            <w:tcW w:w="1134" w:type="dxa"/>
            <w:vAlign w:val="center"/>
          </w:tcPr>
          <w:p>
            <w:pPr>
              <w:widowControl/>
              <w:jc w:val="center"/>
              <w:rPr>
                <w:rFonts w:ascii="宋体" w:hAnsi="宋体" w:cs="宋体"/>
                <w:kern w:val="0"/>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12" w:type="dxa"/>
            <w:vAlign w:val="center"/>
          </w:tcPr>
          <w:p>
            <w:pPr>
              <w:widowControl/>
              <w:jc w:val="center"/>
              <w:textAlignment w:val="center"/>
              <w:rPr>
                <w:rFonts w:ascii="宋体" w:hAnsi="宋体" w:cs="宋体"/>
                <w:kern w:val="0"/>
                <w:sz w:val="18"/>
                <w:szCs w:val="18"/>
              </w:rPr>
            </w:pPr>
            <w:r>
              <w:rPr>
                <w:rFonts w:hint="eastAsia" w:ascii="宋体" w:hAnsi="宋体" w:cs="宋体"/>
                <w:kern w:val="0"/>
                <w:sz w:val="18"/>
                <w:szCs w:val="18"/>
              </w:rPr>
              <w:t>32</w:t>
            </w:r>
          </w:p>
        </w:tc>
        <w:tc>
          <w:tcPr>
            <w:tcW w:w="4520" w:type="dxa"/>
          </w:tcPr>
          <w:p>
            <w:pPr>
              <w:outlineLvl w:val="0"/>
              <w:rPr>
                <w:rFonts w:ascii="宋体" w:hAnsi="宋体"/>
                <w:kern w:val="0"/>
                <w:sz w:val="18"/>
                <w:szCs w:val="18"/>
                <w:lang w:val="zh-CN"/>
              </w:rPr>
            </w:pPr>
            <w:bookmarkStart w:id="52" w:name="_Toc523396110"/>
            <w:r>
              <w:rPr>
                <w:rFonts w:hint="eastAsia" w:ascii="宋体" w:hAnsi="宋体"/>
                <w:sz w:val="18"/>
                <w:szCs w:val="18"/>
              </w:rPr>
              <w:t>高温作业安全管理规定</w:t>
            </w:r>
            <w:bookmarkEnd w:id="52"/>
          </w:p>
        </w:tc>
        <w:tc>
          <w:tcPr>
            <w:tcW w:w="1747" w:type="dxa"/>
            <w:vAlign w:val="center"/>
          </w:tcPr>
          <w:p>
            <w:pPr>
              <w:adjustRightInd w:val="0"/>
              <w:snapToGrid w:val="0"/>
              <w:jc w:val="center"/>
              <w:rPr>
                <w:rStyle w:val="29"/>
                <w:rFonts w:ascii="宋体" w:hAnsi="宋体"/>
                <w:color w:val="auto"/>
                <w:sz w:val="18"/>
                <w:szCs w:val="18"/>
              </w:rPr>
            </w:pPr>
            <w:r>
              <w:rPr>
                <w:rStyle w:val="29"/>
                <w:rFonts w:hint="eastAsia" w:ascii="宋体" w:hAnsi="宋体"/>
                <w:color w:val="auto"/>
                <w:sz w:val="18"/>
                <w:szCs w:val="18"/>
              </w:rPr>
              <w:t>202</w:t>
            </w:r>
            <w:r>
              <w:rPr>
                <w:rStyle w:val="29"/>
                <w:rFonts w:hint="eastAsia" w:ascii="宋体" w:hAnsi="宋体"/>
                <w:color w:val="auto"/>
                <w:sz w:val="18"/>
                <w:szCs w:val="18"/>
                <w:lang w:val="en-US" w:eastAsia="zh-CN"/>
              </w:rPr>
              <w:t>2</w:t>
            </w:r>
            <w:r>
              <w:rPr>
                <w:rStyle w:val="29"/>
                <w:rFonts w:hint="eastAsia" w:ascii="宋体" w:hAnsi="宋体"/>
                <w:color w:val="auto"/>
                <w:sz w:val="18"/>
                <w:szCs w:val="18"/>
              </w:rPr>
              <w:t>年</w:t>
            </w:r>
            <w:r>
              <w:rPr>
                <w:rStyle w:val="29"/>
                <w:rFonts w:hint="eastAsia" w:ascii="宋体" w:hAnsi="宋体"/>
                <w:color w:val="auto"/>
                <w:sz w:val="18"/>
                <w:szCs w:val="18"/>
                <w:lang w:val="en-US" w:eastAsia="zh-CN"/>
              </w:rPr>
              <w:t>4</w:t>
            </w:r>
            <w:r>
              <w:rPr>
                <w:rStyle w:val="29"/>
                <w:rFonts w:hint="eastAsia" w:ascii="宋体" w:hAnsi="宋体"/>
                <w:color w:val="auto"/>
                <w:sz w:val="18"/>
                <w:szCs w:val="18"/>
              </w:rPr>
              <w:t>月</w:t>
            </w:r>
          </w:p>
        </w:tc>
        <w:tc>
          <w:tcPr>
            <w:tcW w:w="1134" w:type="dxa"/>
            <w:vAlign w:val="center"/>
          </w:tcPr>
          <w:p>
            <w:pPr>
              <w:widowControl/>
              <w:jc w:val="center"/>
              <w:rPr>
                <w:rFonts w:ascii="宋体" w:hAnsi="宋体" w:cs="宋体"/>
                <w:kern w:val="0"/>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12" w:type="dxa"/>
            <w:vAlign w:val="center"/>
          </w:tcPr>
          <w:p>
            <w:pPr>
              <w:widowControl/>
              <w:jc w:val="center"/>
              <w:textAlignment w:val="center"/>
              <w:rPr>
                <w:rFonts w:ascii="宋体" w:hAnsi="宋体" w:cs="宋体"/>
                <w:kern w:val="0"/>
                <w:sz w:val="18"/>
                <w:szCs w:val="18"/>
              </w:rPr>
            </w:pPr>
            <w:r>
              <w:rPr>
                <w:rFonts w:hint="eastAsia" w:ascii="宋体" w:hAnsi="宋体" w:cs="宋体"/>
                <w:kern w:val="0"/>
                <w:sz w:val="18"/>
                <w:szCs w:val="18"/>
              </w:rPr>
              <w:t>33</w:t>
            </w:r>
          </w:p>
        </w:tc>
        <w:tc>
          <w:tcPr>
            <w:tcW w:w="4520" w:type="dxa"/>
          </w:tcPr>
          <w:p>
            <w:pPr>
              <w:outlineLvl w:val="0"/>
              <w:rPr>
                <w:rFonts w:ascii="宋体" w:hAnsi="宋体"/>
                <w:kern w:val="0"/>
                <w:sz w:val="18"/>
                <w:szCs w:val="18"/>
                <w:lang w:val="zh-CN"/>
              </w:rPr>
            </w:pPr>
            <w:bookmarkStart w:id="53" w:name="_Toc523396111"/>
            <w:r>
              <w:rPr>
                <w:rFonts w:hint="eastAsia" w:ascii="宋体" w:hAnsi="宋体"/>
                <w:sz w:val="18"/>
                <w:szCs w:val="18"/>
              </w:rPr>
              <w:t>抽堵盲板安全作业管理制度</w:t>
            </w:r>
            <w:bookmarkEnd w:id="53"/>
          </w:p>
        </w:tc>
        <w:tc>
          <w:tcPr>
            <w:tcW w:w="1747" w:type="dxa"/>
            <w:vAlign w:val="center"/>
          </w:tcPr>
          <w:p>
            <w:pPr>
              <w:adjustRightInd w:val="0"/>
              <w:snapToGrid w:val="0"/>
              <w:jc w:val="center"/>
              <w:rPr>
                <w:rStyle w:val="29"/>
                <w:rFonts w:ascii="宋体" w:hAnsi="宋体"/>
                <w:color w:val="auto"/>
                <w:sz w:val="18"/>
                <w:szCs w:val="18"/>
              </w:rPr>
            </w:pPr>
            <w:r>
              <w:rPr>
                <w:rStyle w:val="29"/>
                <w:rFonts w:hint="eastAsia" w:ascii="宋体" w:hAnsi="宋体"/>
                <w:color w:val="auto"/>
                <w:sz w:val="18"/>
                <w:szCs w:val="18"/>
              </w:rPr>
              <w:t>202</w:t>
            </w:r>
            <w:r>
              <w:rPr>
                <w:rStyle w:val="29"/>
                <w:rFonts w:hint="eastAsia" w:ascii="宋体" w:hAnsi="宋体"/>
                <w:color w:val="auto"/>
                <w:sz w:val="18"/>
                <w:szCs w:val="18"/>
                <w:lang w:val="en-US" w:eastAsia="zh-CN"/>
              </w:rPr>
              <w:t>2</w:t>
            </w:r>
            <w:r>
              <w:rPr>
                <w:rStyle w:val="29"/>
                <w:rFonts w:hint="eastAsia" w:ascii="宋体" w:hAnsi="宋体"/>
                <w:color w:val="auto"/>
                <w:sz w:val="18"/>
                <w:szCs w:val="18"/>
              </w:rPr>
              <w:t>年</w:t>
            </w:r>
            <w:r>
              <w:rPr>
                <w:rStyle w:val="29"/>
                <w:rFonts w:hint="eastAsia" w:ascii="宋体" w:hAnsi="宋体"/>
                <w:color w:val="auto"/>
                <w:sz w:val="18"/>
                <w:szCs w:val="18"/>
                <w:lang w:val="en-US" w:eastAsia="zh-CN"/>
              </w:rPr>
              <w:t>4</w:t>
            </w:r>
            <w:r>
              <w:rPr>
                <w:rStyle w:val="29"/>
                <w:rFonts w:hint="eastAsia" w:ascii="宋体" w:hAnsi="宋体"/>
                <w:color w:val="auto"/>
                <w:sz w:val="18"/>
                <w:szCs w:val="18"/>
              </w:rPr>
              <w:t>月</w:t>
            </w:r>
          </w:p>
        </w:tc>
        <w:tc>
          <w:tcPr>
            <w:tcW w:w="1134" w:type="dxa"/>
            <w:vAlign w:val="center"/>
          </w:tcPr>
          <w:p>
            <w:pPr>
              <w:widowControl/>
              <w:jc w:val="center"/>
              <w:rPr>
                <w:rFonts w:ascii="宋体" w:hAnsi="宋体" w:cs="宋体"/>
                <w:kern w:val="0"/>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12" w:type="dxa"/>
            <w:vAlign w:val="center"/>
          </w:tcPr>
          <w:p>
            <w:pPr>
              <w:widowControl/>
              <w:jc w:val="center"/>
              <w:textAlignment w:val="center"/>
              <w:rPr>
                <w:rFonts w:ascii="宋体" w:hAnsi="宋体" w:cs="宋体"/>
                <w:kern w:val="0"/>
                <w:sz w:val="18"/>
                <w:szCs w:val="18"/>
              </w:rPr>
            </w:pPr>
            <w:r>
              <w:rPr>
                <w:rFonts w:hint="eastAsia" w:ascii="宋体" w:hAnsi="宋体" w:cs="宋体"/>
                <w:kern w:val="0"/>
                <w:sz w:val="18"/>
                <w:szCs w:val="18"/>
              </w:rPr>
              <w:t>34</w:t>
            </w:r>
          </w:p>
        </w:tc>
        <w:tc>
          <w:tcPr>
            <w:tcW w:w="4520" w:type="dxa"/>
          </w:tcPr>
          <w:p>
            <w:pPr>
              <w:outlineLvl w:val="0"/>
              <w:rPr>
                <w:rFonts w:ascii="宋体" w:hAnsi="宋体"/>
                <w:kern w:val="0"/>
                <w:sz w:val="18"/>
                <w:szCs w:val="18"/>
                <w:lang w:val="zh-CN"/>
              </w:rPr>
            </w:pPr>
            <w:bookmarkStart w:id="54" w:name="_Toc523396112"/>
            <w:r>
              <w:rPr>
                <w:rFonts w:hint="eastAsia" w:ascii="宋体" w:hAnsi="宋体"/>
                <w:sz w:val="18"/>
                <w:szCs w:val="18"/>
              </w:rPr>
              <w:t>危险化学品安全管理规定</w:t>
            </w:r>
            <w:bookmarkEnd w:id="54"/>
          </w:p>
        </w:tc>
        <w:tc>
          <w:tcPr>
            <w:tcW w:w="1747" w:type="dxa"/>
            <w:vAlign w:val="center"/>
          </w:tcPr>
          <w:p>
            <w:pPr>
              <w:adjustRightInd w:val="0"/>
              <w:snapToGrid w:val="0"/>
              <w:jc w:val="center"/>
              <w:rPr>
                <w:rStyle w:val="29"/>
                <w:rFonts w:ascii="宋体" w:hAnsi="宋体"/>
                <w:color w:val="auto"/>
                <w:sz w:val="18"/>
                <w:szCs w:val="18"/>
              </w:rPr>
            </w:pPr>
            <w:r>
              <w:rPr>
                <w:rStyle w:val="29"/>
                <w:rFonts w:hint="eastAsia" w:ascii="宋体" w:hAnsi="宋体"/>
                <w:color w:val="auto"/>
                <w:sz w:val="18"/>
                <w:szCs w:val="18"/>
              </w:rPr>
              <w:t>202</w:t>
            </w:r>
            <w:r>
              <w:rPr>
                <w:rStyle w:val="29"/>
                <w:rFonts w:hint="eastAsia" w:ascii="宋体" w:hAnsi="宋体"/>
                <w:color w:val="auto"/>
                <w:sz w:val="18"/>
                <w:szCs w:val="18"/>
                <w:lang w:val="en-US" w:eastAsia="zh-CN"/>
              </w:rPr>
              <w:t>2</w:t>
            </w:r>
            <w:r>
              <w:rPr>
                <w:rStyle w:val="29"/>
                <w:rFonts w:hint="eastAsia" w:ascii="宋体" w:hAnsi="宋体"/>
                <w:color w:val="auto"/>
                <w:sz w:val="18"/>
                <w:szCs w:val="18"/>
              </w:rPr>
              <w:t>年</w:t>
            </w:r>
            <w:r>
              <w:rPr>
                <w:rStyle w:val="29"/>
                <w:rFonts w:hint="eastAsia" w:ascii="宋体" w:hAnsi="宋体"/>
                <w:color w:val="auto"/>
                <w:sz w:val="18"/>
                <w:szCs w:val="18"/>
                <w:lang w:val="en-US" w:eastAsia="zh-CN"/>
              </w:rPr>
              <w:t>4</w:t>
            </w:r>
            <w:r>
              <w:rPr>
                <w:rStyle w:val="29"/>
                <w:rFonts w:hint="eastAsia" w:ascii="宋体" w:hAnsi="宋体"/>
                <w:color w:val="auto"/>
                <w:sz w:val="18"/>
                <w:szCs w:val="18"/>
              </w:rPr>
              <w:t>月</w:t>
            </w:r>
          </w:p>
        </w:tc>
        <w:tc>
          <w:tcPr>
            <w:tcW w:w="1134" w:type="dxa"/>
            <w:vAlign w:val="center"/>
          </w:tcPr>
          <w:p>
            <w:pPr>
              <w:widowControl/>
              <w:jc w:val="center"/>
              <w:rPr>
                <w:rFonts w:ascii="宋体" w:hAnsi="宋体" w:cs="宋体"/>
                <w:kern w:val="0"/>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12" w:type="dxa"/>
            <w:vAlign w:val="center"/>
          </w:tcPr>
          <w:p>
            <w:pPr>
              <w:widowControl/>
              <w:jc w:val="center"/>
              <w:textAlignment w:val="center"/>
              <w:rPr>
                <w:rFonts w:ascii="宋体" w:hAnsi="宋体" w:cs="宋体"/>
                <w:kern w:val="0"/>
                <w:sz w:val="18"/>
                <w:szCs w:val="18"/>
              </w:rPr>
            </w:pPr>
            <w:r>
              <w:rPr>
                <w:rFonts w:hint="eastAsia" w:ascii="宋体" w:hAnsi="宋体" w:cs="宋体"/>
                <w:kern w:val="0"/>
                <w:sz w:val="18"/>
                <w:szCs w:val="18"/>
              </w:rPr>
              <w:t>35</w:t>
            </w:r>
          </w:p>
        </w:tc>
        <w:tc>
          <w:tcPr>
            <w:tcW w:w="4520" w:type="dxa"/>
          </w:tcPr>
          <w:p>
            <w:pPr>
              <w:outlineLvl w:val="0"/>
              <w:rPr>
                <w:rFonts w:ascii="宋体" w:hAnsi="宋体"/>
                <w:kern w:val="0"/>
                <w:sz w:val="18"/>
                <w:szCs w:val="18"/>
                <w:lang w:val="zh-CN"/>
              </w:rPr>
            </w:pPr>
            <w:bookmarkStart w:id="55" w:name="_Toc523396113"/>
            <w:r>
              <w:rPr>
                <w:rFonts w:hint="eastAsia" w:ascii="宋体" w:hAnsi="宋体"/>
                <w:sz w:val="18"/>
                <w:szCs w:val="18"/>
              </w:rPr>
              <w:t>剧毒物品安全管理制度</w:t>
            </w:r>
            <w:bookmarkEnd w:id="55"/>
          </w:p>
        </w:tc>
        <w:tc>
          <w:tcPr>
            <w:tcW w:w="1747" w:type="dxa"/>
            <w:vAlign w:val="center"/>
          </w:tcPr>
          <w:p>
            <w:pPr>
              <w:adjustRightInd w:val="0"/>
              <w:snapToGrid w:val="0"/>
              <w:jc w:val="center"/>
              <w:rPr>
                <w:rStyle w:val="29"/>
                <w:rFonts w:ascii="宋体" w:hAnsi="宋体"/>
                <w:color w:val="auto"/>
                <w:sz w:val="18"/>
                <w:szCs w:val="18"/>
              </w:rPr>
            </w:pPr>
            <w:r>
              <w:rPr>
                <w:rStyle w:val="29"/>
                <w:rFonts w:hint="eastAsia" w:ascii="宋体" w:hAnsi="宋体"/>
                <w:color w:val="auto"/>
                <w:sz w:val="18"/>
                <w:szCs w:val="18"/>
              </w:rPr>
              <w:t>202</w:t>
            </w:r>
            <w:r>
              <w:rPr>
                <w:rStyle w:val="29"/>
                <w:rFonts w:hint="eastAsia" w:ascii="宋体" w:hAnsi="宋体"/>
                <w:color w:val="auto"/>
                <w:sz w:val="18"/>
                <w:szCs w:val="18"/>
                <w:lang w:val="en-US" w:eastAsia="zh-CN"/>
              </w:rPr>
              <w:t>2</w:t>
            </w:r>
            <w:r>
              <w:rPr>
                <w:rStyle w:val="29"/>
                <w:rFonts w:hint="eastAsia" w:ascii="宋体" w:hAnsi="宋体"/>
                <w:color w:val="auto"/>
                <w:sz w:val="18"/>
                <w:szCs w:val="18"/>
              </w:rPr>
              <w:t>年</w:t>
            </w:r>
            <w:r>
              <w:rPr>
                <w:rStyle w:val="29"/>
                <w:rFonts w:hint="eastAsia" w:ascii="宋体" w:hAnsi="宋体"/>
                <w:color w:val="auto"/>
                <w:sz w:val="18"/>
                <w:szCs w:val="18"/>
                <w:lang w:val="en-US" w:eastAsia="zh-CN"/>
              </w:rPr>
              <w:t>4</w:t>
            </w:r>
            <w:r>
              <w:rPr>
                <w:rStyle w:val="29"/>
                <w:rFonts w:hint="eastAsia" w:ascii="宋体" w:hAnsi="宋体"/>
                <w:color w:val="auto"/>
                <w:sz w:val="18"/>
                <w:szCs w:val="18"/>
              </w:rPr>
              <w:t>月</w:t>
            </w:r>
          </w:p>
        </w:tc>
        <w:tc>
          <w:tcPr>
            <w:tcW w:w="1134" w:type="dxa"/>
            <w:vAlign w:val="center"/>
          </w:tcPr>
          <w:p>
            <w:pPr>
              <w:widowControl/>
              <w:jc w:val="center"/>
              <w:rPr>
                <w:rFonts w:ascii="宋体" w:hAnsi="宋体" w:cs="宋体"/>
                <w:kern w:val="0"/>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12" w:type="dxa"/>
            <w:vAlign w:val="center"/>
          </w:tcPr>
          <w:p>
            <w:pPr>
              <w:widowControl/>
              <w:jc w:val="center"/>
              <w:textAlignment w:val="center"/>
              <w:rPr>
                <w:rFonts w:ascii="宋体" w:hAnsi="宋体" w:cs="宋体"/>
                <w:kern w:val="0"/>
                <w:sz w:val="18"/>
                <w:szCs w:val="18"/>
              </w:rPr>
            </w:pPr>
            <w:r>
              <w:rPr>
                <w:rFonts w:hint="eastAsia" w:ascii="宋体" w:hAnsi="宋体" w:cs="宋体"/>
                <w:kern w:val="0"/>
                <w:sz w:val="18"/>
                <w:szCs w:val="18"/>
              </w:rPr>
              <w:t>36</w:t>
            </w:r>
          </w:p>
        </w:tc>
        <w:tc>
          <w:tcPr>
            <w:tcW w:w="4520" w:type="dxa"/>
          </w:tcPr>
          <w:p>
            <w:pPr>
              <w:outlineLvl w:val="0"/>
              <w:rPr>
                <w:rFonts w:ascii="宋体" w:hAnsi="宋体"/>
                <w:kern w:val="0"/>
                <w:sz w:val="18"/>
                <w:szCs w:val="18"/>
                <w:lang w:val="zh-CN"/>
              </w:rPr>
            </w:pPr>
            <w:bookmarkStart w:id="56" w:name="_Toc523396114"/>
            <w:r>
              <w:rPr>
                <w:rFonts w:hint="eastAsia" w:ascii="宋体" w:hAnsi="宋体"/>
                <w:sz w:val="18"/>
                <w:szCs w:val="18"/>
              </w:rPr>
              <w:t>易制毒化学品安全管理制度</w:t>
            </w:r>
            <w:bookmarkEnd w:id="56"/>
          </w:p>
        </w:tc>
        <w:tc>
          <w:tcPr>
            <w:tcW w:w="1747" w:type="dxa"/>
            <w:vAlign w:val="center"/>
          </w:tcPr>
          <w:p>
            <w:pPr>
              <w:adjustRightInd w:val="0"/>
              <w:snapToGrid w:val="0"/>
              <w:jc w:val="center"/>
              <w:rPr>
                <w:rStyle w:val="29"/>
                <w:rFonts w:ascii="宋体" w:hAnsi="宋体"/>
                <w:color w:val="auto"/>
                <w:sz w:val="18"/>
                <w:szCs w:val="18"/>
              </w:rPr>
            </w:pPr>
            <w:r>
              <w:rPr>
                <w:rStyle w:val="29"/>
                <w:rFonts w:hint="eastAsia" w:ascii="宋体" w:hAnsi="宋体"/>
                <w:color w:val="auto"/>
                <w:sz w:val="18"/>
                <w:szCs w:val="18"/>
              </w:rPr>
              <w:t>202</w:t>
            </w:r>
            <w:r>
              <w:rPr>
                <w:rStyle w:val="29"/>
                <w:rFonts w:hint="eastAsia" w:ascii="宋体" w:hAnsi="宋体"/>
                <w:color w:val="auto"/>
                <w:sz w:val="18"/>
                <w:szCs w:val="18"/>
                <w:lang w:val="en-US" w:eastAsia="zh-CN"/>
              </w:rPr>
              <w:t>2</w:t>
            </w:r>
            <w:r>
              <w:rPr>
                <w:rStyle w:val="29"/>
                <w:rFonts w:hint="eastAsia" w:ascii="宋体" w:hAnsi="宋体"/>
                <w:color w:val="auto"/>
                <w:sz w:val="18"/>
                <w:szCs w:val="18"/>
              </w:rPr>
              <w:t>年</w:t>
            </w:r>
            <w:r>
              <w:rPr>
                <w:rStyle w:val="29"/>
                <w:rFonts w:hint="eastAsia" w:ascii="宋体" w:hAnsi="宋体"/>
                <w:color w:val="auto"/>
                <w:sz w:val="18"/>
                <w:szCs w:val="18"/>
                <w:lang w:val="en-US" w:eastAsia="zh-CN"/>
              </w:rPr>
              <w:t>4</w:t>
            </w:r>
            <w:r>
              <w:rPr>
                <w:rStyle w:val="29"/>
                <w:rFonts w:hint="eastAsia" w:ascii="宋体" w:hAnsi="宋体"/>
                <w:color w:val="auto"/>
                <w:sz w:val="18"/>
                <w:szCs w:val="18"/>
              </w:rPr>
              <w:t>月</w:t>
            </w:r>
          </w:p>
        </w:tc>
        <w:tc>
          <w:tcPr>
            <w:tcW w:w="1134" w:type="dxa"/>
            <w:vAlign w:val="center"/>
          </w:tcPr>
          <w:p>
            <w:pPr>
              <w:widowControl/>
              <w:jc w:val="center"/>
              <w:rPr>
                <w:rFonts w:ascii="宋体" w:hAnsi="宋体" w:cs="宋体"/>
                <w:kern w:val="0"/>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12" w:type="dxa"/>
            <w:vAlign w:val="center"/>
          </w:tcPr>
          <w:p>
            <w:pPr>
              <w:widowControl/>
              <w:jc w:val="center"/>
              <w:textAlignment w:val="center"/>
              <w:rPr>
                <w:rFonts w:ascii="宋体" w:hAnsi="宋体" w:cs="宋体"/>
                <w:kern w:val="0"/>
                <w:sz w:val="18"/>
                <w:szCs w:val="18"/>
              </w:rPr>
            </w:pPr>
            <w:r>
              <w:rPr>
                <w:rFonts w:hint="eastAsia" w:ascii="宋体" w:hAnsi="宋体" w:cs="宋体"/>
                <w:kern w:val="0"/>
                <w:sz w:val="18"/>
                <w:szCs w:val="18"/>
              </w:rPr>
              <w:t>37</w:t>
            </w:r>
          </w:p>
        </w:tc>
        <w:tc>
          <w:tcPr>
            <w:tcW w:w="4520" w:type="dxa"/>
          </w:tcPr>
          <w:p>
            <w:pPr>
              <w:outlineLvl w:val="0"/>
              <w:rPr>
                <w:rFonts w:ascii="宋体" w:hAnsi="宋体"/>
                <w:kern w:val="0"/>
                <w:sz w:val="18"/>
                <w:szCs w:val="18"/>
                <w:lang w:val="zh-CN"/>
              </w:rPr>
            </w:pPr>
            <w:bookmarkStart w:id="57" w:name="_Toc523396115"/>
            <w:r>
              <w:rPr>
                <w:rFonts w:hint="eastAsia" w:ascii="宋体" w:hAnsi="宋体"/>
                <w:sz w:val="18"/>
                <w:szCs w:val="18"/>
              </w:rPr>
              <w:t>巡回检查及设备维护保养制度</w:t>
            </w:r>
            <w:bookmarkEnd w:id="57"/>
          </w:p>
        </w:tc>
        <w:tc>
          <w:tcPr>
            <w:tcW w:w="1747" w:type="dxa"/>
            <w:vAlign w:val="center"/>
          </w:tcPr>
          <w:p>
            <w:pPr>
              <w:adjustRightInd w:val="0"/>
              <w:snapToGrid w:val="0"/>
              <w:jc w:val="center"/>
              <w:rPr>
                <w:rStyle w:val="29"/>
                <w:rFonts w:ascii="宋体" w:hAnsi="宋体"/>
                <w:color w:val="auto"/>
                <w:sz w:val="18"/>
                <w:szCs w:val="18"/>
              </w:rPr>
            </w:pPr>
            <w:r>
              <w:rPr>
                <w:rStyle w:val="29"/>
                <w:rFonts w:hint="eastAsia" w:ascii="宋体" w:hAnsi="宋体"/>
                <w:color w:val="auto"/>
                <w:sz w:val="18"/>
                <w:szCs w:val="18"/>
              </w:rPr>
              <w:t>202</w:t>
            </w:r>
            <w:r>
              <w:rPr>
                <w:rStyle w:val="29"/>
                <w:rFonts w:hint="eastAsia" w:ascii="宋体" w:hAnsi="宋体"/>
                <w:color w:val="auto"/>
                <w:sz w:val="18"/>
                <w:szCs w:val="18"/>
                <w:lang w:val="en-US" w:eastAsia="zh-CN"/>
              </w:rPr>
              <w:t>2</w:t>
            </w:r>
            <w:r>
              <w:rPr>
                <w:rStyle w:val="29"/>
                <w:rFonts w:hint="eastAsia" w:ascii="宋体" w:hAnsi="宋体"/>
                <w:color w:val="auto"/>
                <w:sz w:val="18"/>
                <w:szCs w:val="18"/>
              </w:rPr>
              <w:t>年</w:t>
            </w:r>
            <w:r>
              <w:rPr>
                <w:rStyle w:val="29"/>
                <w:rFonts w:hint="eastAsia" w:ascii="宋体" w:hAnsi="宋体"/>
                <w:color w:val="auto"/>
                <w:sz w:val="18"/>
                <w:szCs w:val="18"/>
                <w:lang w:val="en-US" w:eastAsia="zh-CN"/>
              </w:rPr>
              <w:t>4</w:t>
            </w:r>
            <w:r>
              <w:rPr>
                <w:rStyle w:val="29"/>
                <w:rFonts w:hint="eastAsia" w:ascii="宋体" w:hAnsi="宋体"/>
                <w:color w:val="auto"/>
                <w:sz w:val="18"/>
                <w:szCs w:val="18"/>
              </w:rPr>
              <w:t>月</w:t>
            </w:r>
          </w:p>
        </w:tc>
        <w:tc>
          <w:tcPr>
            <w:tcW w:w="1134" w:type="dxa"/>
            <w:vAlign w:val="center"/>
          </w:tcPr>
          <w:p>
            <w:pPr>
              <w:widowControl/>
              <w:jc w:val="center"/>
              <w:rPr>
                <w:rFonts w:ascii="宋体" w:hAnsi="宋体" w:cs="宋体"/>
                <w:kern w:val="0"/>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12" w:type="dxa"/>
            <w:vAlign w:val="center"/>
          </w:tcPr>
          <w:p>
            <w:pPr>
              <w:widowControl/>
              <w:jc w:val="center"/>
              <w:textAlignment w:val="center"/>
              <w:rPr>
                <w:rFonts w:ascii="宋体" w:hAnsi="宋体" w:cs="宋体"/>
                <w:kern w:val="0"/>
                <w:sz w:val="18"/>
                <w:szCs w:val="18"/>
              </w:rPr>
            </w:pPr>
            <w:r>
              <w:rPr>
                <w:rFonts w:hint="eastAsia" w:ascii="宋体" w:hAnsi="宋体" w:cs="宋体"/>
                <w:kern w:val="0"/>
                <w:sz w:val="18"/>
                <w:szCs w:val="18"/>
              </w:rPr>
              <w:t>38</w:t>
            </w:r>
          </w:p>
        </w:tc>
        <w:tc>
          <w:tcPr>
            <w:tcW w:w="4520" w:type="dxa"/>
          </w:tcPr>
          <w:p>
            <w:pPr>
              <w:outlineLvl w:val="0"/>
              <w:rPr>
                <w:rFonts w:ascii="宋体" w:hAnsi="宋体"/>
                <w:kern w:val="0"/>
                <w:sz w:val="18"/>
                <w:szCs w:val="18"/>
                <w:lang w:val="zh-CN"/>
              </w:rPr>
            </w:pPr>
            <w:bookmarkStart w:id="58" w:name="_Toc523396116"/>
            <w:r>
              <w:rPr>
                <w:rFonts w:ascii="宋体" w:hAnsi="宋体"/>
                <w:bCs/>
                <w:sz w:val="18"/>
                <w:szCs w:val="18"/>
              </w:rPr>
              <w:t>危险化学品</w:t>
            </w:r>
            <w:r>
              <w:rPr>
                <w:rFonts w:hint="eastAsia" w:ascii="宋体" w:hAnsi="宋体"/>
                <w:bCs/>
                <w:sz w:val="18"/>
                <w:szCs w:val="18"/>
              </w:rPr>
              <w:t>储存、出入库、</w:t>
            </w:r>
            <w:r>
              <w:rPr>
                <w:rFonts w:ascii="宋体" w:hAnsi="宋体"/>
                <w:bCs/>
                <w:sz w:val="18"/>
                <w:szCs w:val="18"/>
              </w:rPr>
              <w:t>运输、装卸安全管理制度</w:t>
            </w:r>
            <w:bookmarkEnd w:id="58"/>
          </w:p>
        </w:tc>
        <w:tc>
          <w:tcPr>
            <w:tcW w:w="1747" w:type="dxa"/>
            <w:vAlign w:val="center"/>
          </w:tcPr>
          <w:p>
            <w:pPr>
              <w:adjustRightInd w:val="0"/>
              <w:snapToGrid w:val="0"/>
              <w:jc w:val="center"/>
              <w:rPr>
                <w:rStyle w:val="29"/>
                <w:rFonts w:ascii="宋体" w:hAnsi="宋体"/>
                <w:color w:val="auto"/>
                <w:sz w:val="18"/>
                <w:szCs w:val="18"/>
              </w:rPr>
            </w:pPr>
            <w:r>
              <w:rPr>
                <w:rStyle w:val="29"/>
                <w:rFonts w:hint="eastAsia" w:ascii="宋体" w:hAnsi="宋体"/>
                <w:color w:val="auto"/>
                <w:sz w:val="18"/>
                <w:szCs w:val="18"/>
              </w:rPr>
              <w:t>202</w:t>
            </w:r>
            <w:r>
              <w:rPr>
                <w:rStyle w:val="29"/>
                <w:rFonts w:hint="eastAsia" w:ascii="宋体" w:hAnsi="宋体"/>
                <w:color w:val="auto"/>
                <w:sz w:val="18"/>
                <w:szCs w:val="18"/>
                <w:lang w:val="en-US" w:eastAsia="zh-CN"/>
              </w:rPr>
              <w:t>2</w:t>
            </w:r>
            <w:r>
              <w:rPr>
                <w:rStyle w:val="29"/>
                <w:rFonts w:hint="eastAsia" w:ascii="宋体" w:hAnsi="宋体"/>
                <w:color w:val="auto"/>
                <w:sz w:val="18"/>
                <w:szCs w:val="18"/>
              </w:rPr>
              <w:t>年</w:t>
            </w:r>
            <w:r>
              <w:rPr>
                <w:rStyle w:val="29"/>
                <w:rFonts w:hint="eastAsia" w:ascii="宋体" w:hAnsi="宋体"/>
                <w:color w:val="auto"/>
                <w:sz w:val="18"/>
                <w:szCs w:val="18"/>
                <w:lang w:val="en-US" w:eastAsia="zh-CN"/>
              </w:rPr>
              <w:t>4</w:t>
            </w:r>
            <w:r>
              <w:rPr>
                <w:rStyle w:val="29"/>
                <w:rFonts w:hint="eastAsia" w:ascii="宋体" w:hAnsi="宋体"/>
                <w:color w:val="auto"/>
                <w:sz w:val="18"/>
                <w:szCs w:val="18"/>
              </w:rPr>
              <w:t>月</w:t>
            </w:r>
          </w:p>
        </w:tc>
        <w:tc>
          <w:tcPr>
            <w:tcW w:w="1134" w:type="dxa"/>
            <w:vAlign w:val="center"/>
          </w:tcPr>
          <w:p>
            <w:pPr>
              <w:widowControl/>
              <w:jc w:val="center"/>
              <w:rPr>
                <w:rFonts w:ascii="宋体" w:hAnsi="宋体" w:cs="宋体"/>
                <w:kern w:val="0"/>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12" w:type="dxa"/>
            <w:vAlign w:val="center"/>
          </w:tcPr>
          <w:p>
            <w:pPr>
              <w:widowControl/>
              <w:jc w:val="center"/>
              <w:textAlignment w:val="center"/>
              <w:rPr>
                <w:rFonts w:ascii="宋体" w:hAnsi="宋体" w:cs="宋体"/>
                <w:kern w:val="0"/>
                <w:sz w:val="18"/>
                <w:szCs w:val="18"/>
              </w:rPr>
            </w:pPr>
            <w:r>
              <w:rPr>
                <w:rFonts w:hint="eastAsia" w:ascii="宋体" w:hAnsi="宋体" w:cs="宋体"/>
                <w:kern w:val="0"/>
                <w:sz w:val="18"/>
                <w:szCs w:val="18"/>
              </w:rPr>
              <w:t>39</w:t>
            </w:r>
          </w:p>
        </w:tc>
        <w:tc>
          <w:tcPr>
            <w:tcW w:w="4520" w:type="dxa"/>
          </w:tcPr>
          <w:p>
            <w:pPr>
              <w:outlineLvl w:val="0"/>
              <w:rPr>
                <w:rFonts w:ascii="宋体" w:hAnsi="宋体"/>
                <w:kern w:val="0"/>
                <w:sz w:val="18"/>
                <w:szCs w:val="18"/>
                <w:lang w:val="zh-CN"/>
              </w:rPr>
            </w:pPr>
            <w:bookmarkStart w:id="59" w:name="_Toc523396117"/>
            <w:r>
              <w:rPr>
                <w:rFonts w:hint="eastAsia" w:ascii="宋体" w:hAnsi="宋体"/>
                <w:bCs/>
                <w:sz w:val="18"/>
                <w:szCs w:val="18"/>
              </w:rPr>
              <w:t>生产设施</w:t>
            </w:r>
            <w:r>
              <w:rPr>
                <w:rFonts w:ascii="宋体" w:hAnsi="宋体"/>
                <w:bCs/>
                <w:sz w:val="18"/>
                <w:szCs w:val="18"/>
              </w:rPr>
              <w:t>检</w:t>
            </w:r>
            <w:r>
              <w:rPr>
                <w:rFonts w:hint="eastAsia" w:ascii="宋体" w:hAnsi="宋体"/>
                <w:bCs/>
                <w:sz w:val="18"/>
                <w:szCs w:val="18"/>
              </w:rPr>
              <w:t>维</w:t>
            </w:r>
            <w:r>
              <w:rPr>
                <w:rFonts w:ascii="宋体" w:hAnsi="宋体"/>
                <w:bCs/>
                <w:sz w:val="18"/>
                <w:szCs w:val="18"/>
              </w:rPr>
              <w:t>修安全管理规定</w:t>
            </w:r>
            <w:bookmarkEnd w:id="59"/>
          </w:p>
        </w:tc>
        <w:tc>
          <w:tcPr>
            <w:tcW w:w="1747" w:type="dxa"/>
            <w:vAlign w:val="center"/>
          </w:tcPr>
          <w:p>
            <w:pPr>
              <w:adjustRightInd w:val="0"/>
              <w:snapToGrid w:val="0"/>
              <w:jc w:val="center"/>
              <w:rPr>
                <w:rStyle w:val="29"/>
                <w:rFonts w:ascii="宋体" w:hAnsi="宋体"/>
                <w:color w:val="auto"/>
                <w:sz w:val="18"/>
                <w:szCs w:val="18"/>
              </w:rPr>
            </w:pPr>
            <w:r>
              <w:rPr>
                <w:rStyle w:val="29"/>
                <w:rFonts w:hint="eastAsia" w:ascii="宋体" w:hAnsi="宋体"/>
                <w:color w:val="auto"/>
                <w:sz w:val="18"/>
                <w:szCs w:val="18"/>
              </w:rPr>
              <w:t>202</w:t>
            </w:r>
            <w:r>
              <w:rPr>
                <w:rStyle w:val="29"/>
                <w:rFonts w:hint="eastAsia" w:ascii="宋体" w:hAnsi="宋体"/>
                <w:color w:val="auto"/>
                <w:sz w:val="18"/>
                <w:szCs w:val="18"/>
                <w:lang w:val="en-US" w:eastAsia="zh-CN"/>
              </w:rPr>
              <w:t>2</w:t>
            </w:r>
            <w:r>
              <w:rPr>
                <w:rStyle w:val="29"/>
                <w:rFonts w:hint="eastAsia" w:ascii="宋体" w:hAnsi="宋体"/>
                <w:color w:val="auto"/>
                <w:sz w:val="18"/>
                <w:szCs w:val="18"/>
              </w:rPr>
              <w:t>年</w:t>
            </w:r>
            <w:r>
              <w:rPr>
                <w:rStyle w:val="29"/>
                <w:rFonts w:hint="eastAsia" w:ascii="宋体" w:hAnsi="宋体"/>
                <w:color w:val="auto"/>
                <w:sz w:val="18"/>
                <w:szCs w:val="18"/>
                <w:lang w:val="en-US" w:eastAsia="zh-CN"/>
              </w:rPr>
              <w:t>4</w:t>
            </w:r>
            <w:r>
              <w:rPr>
                <w:rStyle w:val="29"/>
                <w:rFonts w:hint="eastAsia" w:ascii="宋体" w:hAnsi="宋体"/>
                <w:color w:val="auto"/>
                <w:sz w:val="18"/>
                <w:szCs w:val="18"/>
              </w:rPr>
              <w:t>月</w:t>
            </w:r>
          </w:p>
        </w:tc>
        <w:tc>
          <w:tcPr>
            <w:tcW w:w="1134" w:type="dxa"/>
            <w:vAlign w:val="center"/>
          </w:tcPr>
          <w:p>
            <w:pPr>
              <w:widowControl/>
              <w:jc w:val="center"/>
              <w:rPr>
                <w:rFonts w:ascii="宋体" w:hAnsi="宋体" w:cs="宋体"/>
                <w:kern w:val="0"/>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12" w:type="dxa"/>
            <w:vAlign w:val="center"/>
          </w:tcPr>
          <w:p>
            <w:pPr>
              <w:widowControl/>
              <w:jc w:val="center"/>
              <w:textAlignment w:val="center"/>
              <w:rPr>
                <w:rFonts w:ascii="宋体" w:hAnsi="宋体" w:cs="宋体"/>
                <w:kern w:val="0"/>
                <w:sz w:val="18"/>
                <w:szCs w:val="18"/>
              </w:rPr>
            </w:pPr>
            <w:r>
              <w:rPr>
                <w:rFonts w:hint="eastAsia" w:ascii="宋体" w:hAnsi="宋体" w:cs="宋体"/>
                <w:kern w:val="0"/>
                <w:sz w:val="18"/>
                <w:szCs w:val="18"/>
              </w:rPr>
              <w:t>40</w:t>
            </w:r>
          </w:p>
        </w:tc>
        <w:tc>
          <w:tcPr>
            <w:tcW w:w="4520" w:type="dxa"/>
          </w:tcPr>
          <w:p>
            <w:pPr>
              <w:outlineLvl w:val="0"/>
              <w:rPr>
                <w:rFonts w:ascii="宋体" w:hAnsi="宋体"/>
                <w:kern w:val="0"/>
                <w:sz w:val="18"/>
                <w:szCs w:val="18"/>
                <w:lang w:val="zh-CN"/>
              </w:rPr>
            </w:pPr>
            <w:bookmarkStart w:id="60" w:name="_Toc523396118"/>
            <w:r>
              <w:rPr>
                <w:rFonts w:hint="eastAsia" w:ascii="宋体" w:hAnsi="宋体"/>
                <w:bCs/>
                <w:sz w:val="18"/>
                <w:szCs w:val="18"/>
              </w:rPr>
              <w:t>生产设施拆除和报废管理制度</w:t>
            </w:r>
            <w:bookmarkEnd w:id="60"/>
          </w:p>
        </w:tc>
        <w:tc>
          <w:tcPr>
            <w:tcW w:w="1747" w:type="dxa"/>
            <w:vAlign w:val="center"/>
          </w:tcPr>
          <w:p>
            <w:pPr>
              <w:adjustRightInd w:val="0"/>
              <w:snapToGrid w:val="0"/>
              <w:jc w:val="center"/>
              <w:rPr>
                <w:rStyle w:val="29"/>
                <w:rFonts w:ascii="宋体" w:hAnsi="宋体"/>
                <w:color w:val="auto"/>
                <w:sz w:val="18"/>
                <w:szCs w:val="18"/>
              </w:rPr>
            </w:pPr>
            <w:r>
              <w:rPr>
                <w:rStyle w:val="29"/>
                <w:rFonts w:hint="eastAsia" w:ascii="宋体" w:hAnsi="宋体"/>
                <w:color w:val="auto"/>
                <w:sz w:val="18"/>
                <w:szCs w:val="18"/>
              </w:rPr>
              <w:t>202</w:t>
            </w:r>
            <w:r>
              <w:rPr>
                <w:rStyle w:val="29"/>
                <w:rFonts w:hint="eastAsia" w:ascii="宋体" w:hAnsi="宋体"/>
                <w:color w:val="auto"/>
                <w:sz w:val="18"/>
                <w:szCs w:val="18"/>
                <w:lang w:val="en-US" w:eastAsia="zh-CN"/>
              </w:rPr>
              <w:t>2</w:t>
            </w:r>
            <w:r>
              <w:rPr>
                <w:rStyle w:val="29"/>
                <w:rFonts w:hint="eastAsia" w:ascii="宋体" w:hAnsi="宋体"/>
                <w:color w:val="auto"/>
                <w:sz w:val="18"/>
                <w:szCs w:val="18"/>
              </w:rPr>
              <w:t>年</w:t>
            </w:r>
            <w:r>
              <w:rPr>
                <w:rStyle w:val="29"/>
                <w:rFonts w:hint="eastAsia" w:ascii="宋体" w:hAnsi="宋体"/>
                <w:color w:val="auto"/>
                <w:sz w:val="18"/>
                <w:szCs w:val="18"/>
                <w:lang w:val="en-US" w:eastAsia="zh-CN"/>
              </w:rPr>
              <w:t>4</w:t>
            </w:r>
            <w:r>
              <w:rPr>
                <w:rStyle w:val="29"/>
                <w:rFonts w:hint="eastAsia" w:ascii="宋体" w:hAnsi="宋体"/>
                <w:color w:val="auto"/>
                <w:sz w:val="18"/>
                <w:szCs w:val="18"/>
              </w:rPr>
              <w:t>月</w:t>
            </w:r>
          </w:p>
        </w:tc>
        <w:tc>
          <w:tcPr>
            <w:tcW w:w="1134" w:type="dxa"/>
            <w:vAlign w:val="center"/>
          </w:tcPr>
          <w:p>
            <w:pPr>
              <w:widowControl/>
              <w:jc w:val="center"/>
              <w:rPr>
                <w:rFonts w:ascii="宋体" w:hAnsi="宋体" w:cs="宋体"/>
                <w:kern w:val="0"/>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12" w:type="dxa"/>
            <w:vAlign w:val="center"/>
          </w:tcPr>
          <w:p>
            <w:pPr>
              <w:widowControl/>
              <w:jc w:val="center"/>
              <w:textAlignment w:val="center"/>
              <w:rPr>
                <w:rFonts w:ascii="宋体" w:hAnsi="宋体" w:cs="宋体"/>
                <w:kern w:val="0"/>
                <w:sz w:val="18"/>
                <w:szCs w:val="18"/>
              </w:rPr>
            </w:pPr>
            <w:r>
              <w:rPr>
                <w:rFonts w:hint="eastAsia" w:ascii="宋体" w:hAnsi="宋体" w:cs="宋体"/>
                <w:kern w:val="0"/>
                <w:sz w:val="18"/>
                <w:szCs w:val="18"/>
              </w:rPr>
              <w:t>41</w:t>
            </w:r>
          </w:p>
        </w:tc>
        <w:tc>
          <w:tcPr>
            <w:tcW w:w="4520" w:type="dxa"/>
          </w:tcPr>
          <w:p>
            <w:pPr>
              <w:outlineLvl w:val="0"/>
              <w:rPr>
                <w:rFonts w:ascii="宋体" w:hAnsi="宋体"/>
                <w:kern w:val="0"/>
                <w:sz w:val="18"/>
                <w:szCs w:val="18"/>
                <w:lang w:val="zh-CN"/>
              </w:rPr>
            </w:pPr>
            <w:bookmarkStart w:id="61" w:name="_Toc523396119"/>
            <w:r>
              <w:rPr>
                <w:rFonts w:hint="eastAsia" w:ascii="宋体" w:hAnsi="宋体"/>
                <w:sz w:val="18"/>
                <w:szCs w:val="18"/>
              </w:rPr>
              <w:t>开停车安全管理制度</w:t>
            </w:r>
            <w:bookmarkEnd w:id="61"/>
          </w:p>
        </w:tc>
        <w:tc>
          <w:tcPr>
            <w:tcW w:w="1747" w:type="dxa"/>
            <w:vAlign w:val="center"/>
          </w:tcPr>
          <w:p>
            <w:pPr>
              <w:adjustRightInd w:val="0"/>
              <w:snapToGrid w:val="0"/>
              <w:jc w:val="center"/>
              <w:rPr>
                <w:rStyle w:val="29"/>
                <w:rFonts w:ascii="宋体" w:hAnsi="宋体"/>
                <w:color w:val="auto"/>
                <w:sz w:val="18"/>
                <w:szCs w:val="18"/>
              </w:rPr>
            </w:pPr>
            <w:r>
              <w:rPr>
                <w:rStyle w:val="29"/>
                <w:rFonts w:hint="eastAsia" w:ascii="宋体" w:hAnsi="宋体"/>
                <w:color w:val="auto"/>
                <w:sz w:val="18"/>
                <w:szCs w:val="18"/>
              </w:rPr>
              <w:t>202</w:t>
            </w:r>
            <w:r>
              <w:rPr>
                <w:rStyle w:val="29"/>
                <w:rFonts w:hint="eastAsia" w:ascii="宋体" w:hAnsi="宋体"/>
                <w:color w:val="auto"/>
                <w:sz w:val="18"/>
                <w:szCs w:val="18"/>
                <w:lang w:val="en-US" w:eastAsia="zh-CN"/>
              </w:rPr>
              <w:t>2</w:t>
            </w:r>
            <w:r>
              <w:rPr>
                <w:rStyle w:val="29"/>
                <w:rFonts w:hint="eastAsia" w:ascii="宋体" w:hAnsi="宋体"/>
                <w:color w:val="auto"/>
                <w:sz w:val="18"/>
                <w:szCs w:val="18"/>
              </w:rPr>
              <w:t>年</w:t>
            </w:r>
            <w:r>
              <w:rPr>
                <w:rStyle w:val="29"/>
                <w:rFonts w:hint="eastAsia" w:ascii="宋体" w:hAnsi="宋体"/>
                <w:color w:val="auto"/>
                <w:sz w:val="18"/>
                <w:szCs w:val="18"/>
                <w:lang w:val="en-US" w:eastAsia="zh-CN"/>
              </w:rPr>
              <w:t>4</w:t>
            </w:r>
            <w:r>
              <w:rPr>
                <w:rStyle w:val="29"/>
                <w:rFonts w:hint="eastAsia" w:ascii="宋体" w:hAnsi="宋体"/>
                <w:color w:val="auto"/>
                <w:sz w:val="18"/>
                <w:szCs w:val="18"/>
              </w:rPr>
              <w:t>月</w:t>
            </w:r>
          </w:p>
        </w:tc>
        <w:tc>
          <w:tcPr>
            <w:tcW w:w="1134" w:type="dxa"/>
            <w:vAlign w:val="center"/>
          </w:tcPr>
          <w:p>
            <w:pPr>
              <w:widowControl/>
              <w:jc w:val="center"/>
              <w:rPr>
                <w:rFonts w:ascii="宋体" w:hAnsi="宋体" w:cs="宋体"/>
                <w:kern w:val="0"/>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12" w:type="dxa"/>
            <w:vAlign w:val="center"/>
          </w:tcPr>
          <w:p>
            <w:pPr>
              <w:widowControl/>
              <w:jc w:val="center"/>
              <w:textAlignment w:val="center"/>
              <w:rPr>
                <w:rFonts w:ascii="宋体" w:hAnsi="宋体" w:cs="宋体"/>
                <w:kern w:val="0"/>
                <w:sz w:val="18"/>
                <w:szCs w:val="18"/>
              </w:rPr>
            </w:pPr>
            <w:r>
              <w:rPr>
                <w:rFonts w:hint="eastAsia" w:ascii="宋体" w:hAnsi="宋体" w:cs="宋体"/>
                <w:kern w:val="0"/>
                <w:sz w:val="18"/>
                <w:szCs w:val="18"/>
              </w:rPr>
              <w:t>42</w:t>
            </w:r>
          </w:p>
        </w:tc>
        <w:tc>
          <w:tcPr>
            <w:tcW w:w="4520" w:type="dxa"/>
          </w:tcPr>
          <w:p>
            <w:pPr>
              <w:outlineLvl w:val="0"/>
              <w:rPr>
                <w:rFonts w:ascii="宋体" w:hAnsi="宋体"/>
                <w:kern w:val="0"/>
                <w:sz w:val="18"/>
                <w:szCs w:val="18"/>
                <w:lang w:val="zh-CN"/>
              </w:rPr>
            </w:pPr>
            <w:bookmarkStart w:id="62" w:name="_Toc523396120"/>
            <w:r>
              <w:rPr>
                <w:rFonts w:hint="eastAsia" w:ascii="宋体" w:hAnsi="宋体"/>
                <w:sz w:val="18"/>
                <w:szCs w:val="18"/>
              </w:rPr>
              <w:t>供应商管理制度</w:t>
            </w:r>
            <w:bookmarkEnd w:id="62"/>
          </w:p>
        </w:tc>
        <w:tc>
          <w:tcPr>
            <w:tcW w:w="1747" w:type="dxa"/>
            <w:vAlign w:val="center"/>
          </w:tcPr>
          <w:p>
            <w:pPr>
              <w:adjustRightInd w:val="0"/>
              <w:snapToGrid w:val="0"/>
              <w:jc w:val="center"/>
              <w:rPr>
                <w:rStyle w:val="29"/>
                <w:rFonts w:ascii="宋体" w:hAnsi="宋体"/>
                <w:color w:val="auto"/>
                <w:sz w:val="18"/>
                <w:szCs w:val="18"/>
              </w:rPr>
            </w:pPr>
            <w:r>
              <w:rPr>
                <w:rStyle w:val="29"/>
                <w:rFonts w:hint="eastAsia" w:ascii="宋体" w:hAnsi="宋体"/>
                <w:color w:val="auto"/>
                <w:sz w:val="18"/>
                <w:szCs w:val="18"/>
              </w:rPr>
              <w:t>202</w:t>
            </w:r>
            <w:r>
              <w:rPr>
                <w:rStyle w:val="29"/>
                <w:rFonts w:hint="eastAsia" w:ascii="宋体" w:hAnsi="宋体"/>
                <w:color w:val="auto"/>
                <w:sz w:val="18"/>
                <w:szCs w:val="18"/>
                <w:lang w:val="en-US" w:eastAsia="zh-CN"/>
              </w:rPr>
              <w:t>2</w:t>
            </w:r>
            <w:r>
              <w:rPr>
                <w:rStyle w:val="29"/>
                <w:rFonts w:hint="eastAsia" w:ascii="宋体" w:hAnsi="宋体"/>
                <w:color w:val="auto"/>
                <w:sz w:val="18"/>
                <w:szCs w:val="18"/>
              </w:rPr>
              <w:t>年</w:t>
            </w:r>
            <w:r>
              <w:rPr>
                <w:rStyle w:val="29"/>
                <w:rFonts w:hint="eastAsia" w:ascii="宋体" w:hAnsi="宋体"/>
                <w:color w:val="auto"/>
                <w:sz w:val="18"/>
                <w:szCs w:val="18"/>
                <w:lang w:val="en-US" w:eastAsia="zh-CN"/>
              </w:rPr>
              <w:t>4</w:t>
            </w:r>
            <w:r>
              <w:rPr>
                <w:rStyle w:val="29"/>
                <w:rFonts w:hint="eastAsia" w:ascii="宋体" w:hAnsi="宋体"/>
                <w:color w:val="auto"/>
                <w:sz w:val="18"/>
                <w:szCs w:val="18"/>
              </w:rPr>
              <w:t>月</w:t>
            </w:r>
          </w:p>
        </w:tc>
        <w:tc>
          <w:tcPr>
            <w:tcW w:w="1134" w:type="dxa"/>
            <w:vAlign w:val="center"/>
          </w:tcPr>
          <w:p>
            <w:pPr>
              <w:widowControl/>
              <w:jc w:val="center"/>
              <w:rPr>
                <w:rFonts w:ascii="宋体" w:hAnsi="宋体" w:cs="宋体"/>
                <w:kern w:val="0"/>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12" w:type="dxa"/>
            <w:vAlign w:val="center"/>
          </w:tcPr>
          <w:p>
            <w:pPr>
              <w:widowControl/>
              <w:jc w:val="center"/>
              <w:textAlignment w:val="center"/>
              <w:rPr>
                <w:rFonts w:ascii="宋体" w:hAnsi="宋体" w:cs="宋体"/>
                <w:kern w:val="0"/>
                <w:sz w:val="18"/>
                <w:szCs w:val="18"/>
              </w:rPr>
            </w:pPr>
            <w:r>
              <w:rPr>
                <w:rFonts w:hint="eastAsia" w:ascii="宋体" w:hAnsi="宋体" w:cs="宋体"/>
                <w:kern w:val="0"/>
                <w:sz w:val="18"/>
                <w:szCs w:val="18"/>
              </w:rPr>
              <w:t>43</w:t>
            </w:r>
          </w:p>
        </w:tc>
        <w:tc>
          <w:tcPr>
            <w:tcW w:w="4520" w:type="dxa"/>
          </w:tcPr>
          <w:p>
            <w:pPr>
              <w:outlineLvl w:val="0"/>
              <w:rPr>
                <w:rFonts w:ascii="宋体" w:hAnsi="宋体"/>
                <w:kern w:val="0"/>
                <w:sz w:val="18"/>
                <w:szCs w:val="18"/>
                <w:lang w:val="zh-CN"/>
              </w:rPr>
            </w:pPr>
            <w:bookmarkStart w:id="63" w:name="_Toc523396121"/>
            <w:r>
              <w:rPr>
                <w:rFonts w:ascii="宋体" w:hAnsi="宋体"/>
                <w:sz w:val="18"/>
                <w:szCs w:val="18"/>
              </w:rPr>
              <w:t>职业卫生管理制度</w:t>
            </w:r>
            <w:bookmarkEnd w:id="63"/>
          </w:p>
        </w:tc>
        <w:tc>
          <w:tcPr>
            <w:tcW w:w="1747" w:type="dxa"/>
            <w:vAlign w:val="center"/>
          </w:tcPr>
          <w:p>
            <w:pPr>
              <w:adjustRightInd w:val="0"/>
              <w:snapToGrid w:val="0"/>
              <w:jc w:val="center"/>
              <w:rPr>
                <w:rStyle w:val="29"/>
                <w:rFonts w:ascii="宋体" w:hAnsi="宋体"/>
                <w:color w:val="auto"/>
                <w:sz w:val="18"/>
                <w:szCs w:val="18"/>
              </w:rPr>
            </w:pPr>
            <w:r>
              <w:rPr>
                <w:rStyle w:val="29"/>
                <w:rFonts w:hint="eastAsia" w:ascii="宋体" w:hAnsi="宋体"/>
                <w:color w:val="auto"/>
                <w:sz w:val="18"/>
                <w:szCs w:val="18"/>
              </w:rPr>
              <w:t>202</w:t>
            </w:r>
            <w:r>
              <w:rPr>
                <w:rStyle w:val="29"/>
                <w:rFonts w:hint="eastAsia" w:ascii="宋体" w:hAnsi="宋体"/>
                <w:color w:val="auto"/>
                <w:sz w:val="18"/>
                <w:szCs w:val="18"/>
                <w:lang w:val="en-US" w:eastAsia="zh-CN"/>
              </w:rPr>
              <w:t>2</w:t>
            </w:r>
            <w:r>
              <w:rPr>
                <w:rStyle w:val="29"/>
                <w:rFonts w:hint="eastAsia" w:ascii="宋体" w:hAnsi="宋体"/>
                <w:color w:val="auto"/>
                <w:sz w:val="18"/>
                <w:szCs w:val="18"/>
              </w:rPr>
              <w:t>年</w:t>
            </w:r>
            <w:r>
              <w:rPr>
                <w:rStyle w:val="29"/>
                <w:rFonts w:hint="eastAsia" w:ascii="宋体" w:hAnsi="宋体"/>
                <w:color w:val="auto"/>
                <w:sz w:val="18"/>
                <w:szCs w:val="18"/>
                <w:lang w:val="en-US" w:eastAsia="zh-CN"/>
              </w:rPr>
              <w:t>4</w:t>
            </w:r>
            <w:r>
              <w:rPr>
                <w:rStyle w:val="29"/>
                <w:rFonts w:hint="eastAsia" w:ascii="宋体" w:hAnsi="宋体"/>
                <w:color w:val="auto"/>
                <w:sz w:val="18"/>
                <w:szCs w:val="18"/>
              </w:rPr>
              <w:t>月</w:t>
            </w:r>
          </w:p>
        </w:tc>
        <w:tc>
          <w:tcPr>
            <w:tcW w:w="1134" w:type="dxa"/>
            <w:vAlign w:val="center"/>
          </w:tcPr>
          <w:p>
            <w:pPr>
              <w:widowControl/>
              <w:jc w:val="center"/>
              <w:rPr>
                <w:rFonts w:ascii="宋体" w:hAnsi="宋体" w:cs="宋体"/>
                <w:kern w:val="0"/>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12" w:type="dxa"/>
            <w:vAlign w:val="center"/>
          </w:tcPr>
          <w:p>
            <w:pPr>
              <w:widowControl/>
              <w:jc w:val="center"/>
              <w:textAlignment w:val="center"/>
              <w:rPr>
                <w:rFonts w:ascii="宋体" w:hAnsi="宋体" w:cs="宋体"/>
                <w:kern w:val="0"/>
                <w:sz w:val="18"/>
                <w:szCs w:val="18"/>
              </w:rPr>
            </w:pPr>
            <w:r>
              <w:rPr>
                <w:rFonts w:hint="eastAsia" w:ascii="宋体" w:hAnsi="宋体" w:cs="宋体"/>
                <w:kern w:val="0"/>
                <w:sz w:val="18"/>
                <w:szCs w:val="18"/>
              </w:rPr>
              <w:t>44</w:t>
            </w:r>
          </w:p>
        </w:tc>
        <w:tc>
          <w:tcPr>
            <w:tcW w:w="4520" w:type="dxa"/>
          </w:tcPr>
          <w:p>
            <w:pPr>
              <w:outlineLvl w:val="0"/>
              <w:rPr>
                <w:rFonts w:ascii="宋体" w:hAnsi="宋体"/>
                <w:kern w:val="0"/>
                <w:sz w:val="18"/>
                <w:szCs w:val="18"/>
                <w:lang w:val="zh-CN"/>
              </w:rPr>
            </w:pPr>
            <w:bookmarkStart w:id="64" w:name="_Toc523396122"/>
            <w:r>
              <w:rPr>
                <w:rFonts w:ascii="宋体" w:hAnsi="宋体"/>
                <w:sz w:val="18"/>
                <w:szCs w:val="18"/>
              </w:rPr>
              <w:t>防尘、防毒</w:t>
            </w:r>
            <w:r>
              <w:rPr>
                <w:rFonts w:hint="eastAsia" w:ascii="宋体" w:hAnsi="宋体"/>
                <w:sz w:val="18"/>
                <w:szCs w:val="18"/>
              </w:rPr>
              <w:t>安全</w:t>
            </w:r>
            <w:r>
              <w:rPr>
                <w:rFonts w:ascii="宋体" w:hAnsi="宋体"/>
                <w:sz w:val="18"/>
                <w:szCs w:val="18"/>
              </w:rPr>
              <w:t>管理</w:t>
            </w:r>
            <w:r>
              <w:rPr>
                <w:rFonts w:hint="eastAsia" w:ascii="宋体" w:hAnsi="宋体"/>
                <w:sz w:val="18"/>
                <w:szCs w:val="18"/>
              </w:rPr>
              <w:t>规定</w:t>
            </w:r>
            <w:bookmarkEnd w:id="64"/>
          </w:p>
        </w:tc>
        <w:tc>
          <w:tcPr>
            <w:tcW w:w="1747" w:type="dxa"/>
            <w:vAlign w:val="center"/>
          </w:tcPr>
          <w:p>
            <w:pPr>
              <w:adjustRightInd w:val="0"/>
              <w:snapToGrid w:val="0"/>
              <w:jc w:val="center"/>
              <w:rPr>
                <w:rStyle w:val="29"/>
                <w:rFonts w:ascii="宋体" w:hAnsi="宋体"/>
                <w:color w:val="auto"/>
                <w:sz w:val="18"/>
                <w:szCs w:val="18"/>
              </w:rPr>
            </w:pPr>
            <w:r>
              <w:rPr>
                <w:rStyle w:val="29"/>
                <w:rFonts w:hint="eastAsia" w:ascii="宋体" w:hAnsi="宋体"/>
                <w:color w:val="auto"/>
                <w:sz w:val="18"/>
                <w:szCs w:val="18"/>
              </w:rPr>
              <w:t>202</w:t>
            </w:r>
            <w:r>
              <w:rPr>
                <w:rStyle w:val="29"/>
                <w:rFonts w:hint="eastAsia" w:ascii="宋体" w:hAnsi="宋体"/>
                <w:color w:val="auto"/>
                <w:sz w:val="18"/>
                <w:szCs w:val="18"/>
                <w:lang w:val="en-US" w:eastAsia="zh-CN"/>
              </w:rPr>
              <w:t>2</w:t>
            </w:r>
            <w:r>
              <w:rPr>
                <w:rStyle w:val="29"/>
                <w:rFonts w:hint="eastAsia" w:ascii="宋体" w:hAnsi="宋体"/>
                <w:color w:val="auto"/>
                <w:sz w:val="18"/>
                <w:szCs w:val="18"/>
              </w:rPr>
              <w:t>年</w:t>
            </w:r>
            <w:r>
              <w:rPr>
                <w:rStyle w:val="29"/>
                <w:rFonts w:hint="eastAsia" w:ascii="宋体" w:hAnsi="宋体"/>
                <w:color w:val="auto"/>
                <w:sz w:val="18"/>
                <w:szCs w:val="18"/>
                <w:lang w:val="en-US" w:eastAsia="zh-CN"/>
              </w:rPr>
              <w:t>4</w:t>
            </w:r>
            <w:r>
              <w:rPr>
                <w:rStyle w:val="29"/>
                <w:rFonts w:hint="eastAsia" w:ascii="宋体" w:hAnsi="宋体"/>
                <w:color w:val="auto"/>
                <w:sz w:val="18"/>
                <w:szCs w:val="18"/>
              </w:rPr>
              <w:t>月</w:t>
            </w:r>
          </w:p>
        </w:tc>
        <w:tc>
          <w:tcPr>
            <w:tcW w:w="1134" w:type="dxa"/>
            <w:vAlign w:val="center"/>
          </w:tcPr>
          <w:p>
            <w:pPr>
              <w:widowControl/>
              <w:jc w:val="center"/>
              <w:rPr>
                <w:rFonts w:ascii="宋体" w:hAnsi="宋体" w:cs="宋体"/>
                <w:kern w:val="0"/>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12" w:type="dxa"/>
            <w:vAlign w:val="center"/>
          </w:tcPr>
          <w:p>
            <w:pPr>
              <w:widowControl/>
              <w:jc w:val="center"/>
              <w:textAlignment w:val="center"/>
              <w:rPr>
                <w:rFonts w:ascii="宋体" w:hAnsi="宋体" w:cs="宋体"/>
                <w:kern w:val="0"/>
                <w:sz w:val="18"/>
                <w:szCs w:val="18"/>
              </w:rPr>
            </w:pPr>
            <w:r>
              <w:rPr>
                <w:rFonts w:hint="eastAsia" w:ascii="宋体" w:hAnsi="宋体" w:cs="宋体"/>
                <w:kern w:val="0"/>
                <w:sz w:val="18"/>
                <w:szCs w:val="18"/>
              </w:rPr>
              <w:t>45</w:t>
            </w:r>
          </w:p>
        </w:tc>
        <w:tc>
          <w:tcPr>
            <w:tcW w:w="4520" w:type="dxa"/>
          </w:tcPr>
          <w:p>
            <w:pPr>
              <w:outlineLvl w:val="0"/>
              <w:rPr>
                <w:rFonts w:ascii="宋体" w:hAnsi="宋体"/>
                <w:kern w:val="0"/>
                <w:sz w:val="18"/>
                <w:szCs w:val="18"/>
                <w:lang w:val="zh-CN"/>
              </w:rPr>
            </w:pPr>
            <w:bookmarkStart w:id="65" w:name="_Toc523396123"/>
            <w:r>
              <w:rPr>
                <w:rFonts w:hint="eastAsia" w:ascii="宋体" w:hAnsi="宋体"/>
                <w:sz w:val="18"/>
                <w:szCs w:val="18"/>
              </w:rPr>
              <w:t>劳动防护用品管理制度</w:t>
            </w:r>
            <w:bookmarkEnd w:id="65"/>
          </w:p>
        </w:tc>
        <w:tc>
          <w:tcPr>
            <w:tcW w:w="1747" w:type="dxa"/>
            <w:vAlign w:val="center"/>
          </w:tcPr>
          <w:p>
            <w:pPr>
              <w:adjustRightInd w:val="0"/>
              <w:snapToGrid w:val="0"/>
              <w:jc w:val="center"/>
              <w:rPr>
                <w:rStyle w:val="29"/>
                <w:rFonts w:ascii="宋体" w:hAnsi="宋体"/>
                <w:color w:val="auto"/>
                <w:sz w:val="18"/>
                <w:szCs w:val="18"/>
              </w:rPr>
            </w:pPr>
            <w:r>
              <w:rPr>
                <w:rStyle w:val="29"/>
                <w:rFonts w:hint="eastAsia" w:ascii="宋体" w:hAnsi="宋体"/>
                <w:color w:val="auto"/>
                <w:sz w:val="18"/>
                <w:szCs w:val="18"/>
              </w:rPr>
              <w:t>202</w:t>
            </w:r>
            <w:r>
              <w:rPr>
                <w:rStyle w:val="29"/>
                <w:rFonts w:hint="eastAsia" w:ascii="宋体" w:hAnsi="宋体"/>
                <w:color w:val="auto"/>
                <w:sz w:val="18"/>
                <w:szCs w:val="18"/>
                <w:lang w:val="en-US" w:eastAsia="zh-CN"/>
              </w:rPr>
              <w:t>2</w:t>
            </w:r>
            <w:r>
              <w:rPr>
                <w:rStyle w:val="29"/>
                <w:rFonts w:hint="eastAsia" w:ascii="宋体" w:hAnsi="宋体"/>
                <w:color w:val="auto"/>
                <w:sz w:val="18"/>
                <w:szCs w:val="18"/>
              </w:rPr>
              <w:t>年</w:t>
            </w:r>
            <w:r>
              <w:rPr>
                <w:rStyle w:val="29"/>
                <w:rFonts w:hint="eastAsia" w:ascii="宋体" w:hAnsi="宋体"/>
                <w:color w:val="auto"/>
                <w:sz w:val="18"/>
                <w:szCs w:val="18"/>
                <w:lang w:val="en-US" w:eastAsia="zh-CN"/>
              </w:rPr>
              <w:t>4</w:t>
            </w:r>
            <w:r>
              <w:rPr>
                <w:rStyle w:val="29"/>
                <w:rFonts w:hint="eastAsia" w:ascii="宋体" w:hAnsi="宋体"/>
                <w:color w:val="auto"/>
                <w:sz w:val="18"/>
                <w:szCs w:val="18"/>
              </w:rPr>
              <w:t>月</w:t>
            </w:r>
          </w:p>
        </w:tc>
        <w:tc>
          <w:tcPr>
            <w:tcW w:w="1134" w:type="dxa"/>
            <w:vAlign w:val="center"/>
          </w:tcPr>
          <w:p>
            <w:pPr>
              <w:widowControl/>
              <w:jc w:val="center"/>
              <w:rPr>
                <w:rFonts w:ascii="宋体" w:hAnsi="宋体" w:cs="宋体"/>
                <w:kern w:val="0"/>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12" w:type="dxa"/>
            <w:vAlign w:val="center"/>
          </w:tcPr>
          <w:p>
            <w:pPr>
              <w:widowControl/>
              <w:jc w:val="center"/>
              <w:textAlignment w:val="center"/>
              <w:rPr>
                <w:rFonts w:ascii="宋体" w:hAnsi="宋体" w:cs="宋体"/>
                <w:kern w:val="0"/>
                <w:sz w:val="18"/>
                <w:szCs w:val="18"/>
              </w:rPr>
            </w:pPr>
            <w:r>
              <w:rPr>
                <w:rFonts w:hint="eastAsia" w:ascii="宋体" w:hAnsi="宋体" w:cs="宋体"/>
                <w:kern w:val="0"/>
                <w:sz w:val="18"/>
                <w:szCs w:val="18"/>
              </w:rPr>
              <w:t>46</w:t>
            </w:r>
          </w:p>
        </w:tc>
        <w:tc>
          <w:tcPr>
            <w:tcW w:w="4520" w:type="dxa"/>
          </w:tcPr>
          <w:p>
            <w:pPr>
              <w:outlineLvl w:val="0"/>
              <w:rPr>
                <w:rFonts w:ascii="宋体" w:hAnsi="宋体"/>
                <w:kern w:val="0"/>
                <w:sz w:val="18"/>
                <w:szCs w:val="18"/>
                <w:lang w:val="zh-CN"/>
              </w:rPr>
            </w:pPr>
            <w:bookmarkStart w:id="66" w:name="_Toc523396124"/>
            <w:r>
              <w:rPr>
                <w:rFonts w:ascii="宋体" w:hAnsi="宋体"/>
                <w:sz w:val="18"/>
                <w:szCs w:val="18"/>
              </w:rPr>
              <w:t>应急救援管理制度</w:t>
            </w:r>
            <w:bookmarkEnd w:id="66"/>
          </w:p>
        </w:tc>
        <w:tc>
          <w:tcPr>
            <w:tcW w:w="1747" w:type="dxa"/>
            <w:vAlign w:val="center"/>
          </w:tcPr>
          <w:p>
            <w:pPr>
              <w:adjustRightInd w:val="0"/>
              <w:snapToGrid w:val="0"/>
              <w:jc w:val="center"/>
              <w:rPr>
                <w:rStyle w:val="29"/>
                <w:rFonts w:ascii="宋体" w:hAnsi="宋体"/>
                <w:color w:val="auto"/>
                <w:sz w:val="18"/>
                <w:szCs w:val="18"/>
              </w:rPr>
            </w:pPr>
            <w:r>
              <w:rPr>
                <w:rStyle w:val="29"/>
                <w:rFonts w:hint="eastAsia" w:ascii="宋体" w:hAnsi="宋体"/>
                <w:color w:val="auto"/>
                <w:sz w:val="18"/>
                <w:szCs w:val="18"/>
              </w:rPr>
              <w:t>202</w:t>
            </w:r>
            <w:r>
              <w:rPr>
                <w:rStyle w:val="29"/>
                <w:rFonts w:hint="eastAsia" w:ascii="宋体" w:hAnsi="宋体"/>
                <w:color w:val="auto"/>
                <w:sz w:val="18"/>
                <w:szCs w:val="18"/>
                <w:lang w:val="en-US" w:eastAsia="zh-CN"/>
              </w:rPr>
              <w:t>2</w:t>
            </w:r>
            <w:r>
              <w:rPr>
                <w:rStyle w:val="29"/>
                <w:rFonts w:hint="eastAsia" w:ascii="宋体" w:hAnsi="宋体"/>
                <w:color w:val="auto"/>
                <w:sz w:val="18"/>
                <w:szCs w:val="18"/>
              </w:rPr>
              <w:t>年</w:t>
            </w:r>
            <w:r>
              <w:rPr>
                <w:rStyle w:val="29"/>
                <w:rFonts w:hint="eastAsia" w:ascii="宋体" w:hAnsi="宋体"/>
                <w:color w:val="auto"/>
                <w:sz w:val="18"/>
                <w:szCs w:val="18"/>
                <w:lang w:val="en-US" w:eastAsia="zh-CN"/>
              </w:rPr>
              <w:t>4</w:t>
            </w:r>
            <w:r>
              <w:rPr>
                <w:rStyle w:val="29"/>
                <w:rFonts w:hint="eastAsia" w:ascii="宋体" w:hAnsi="宋体"/>
                <w:color w:val="auto"/>
                <w:sz w:val="18"/>
                <w:szCs w:val="18"/>
              </w:rPr>
              <w:t>月</w:t>
            </w:r>
          </w:p>
        </w:tc>
        <w:tc>
          <w:tcPr>
            <w:tcW w:w="1134" w:type="dxa"/>
            <w:vAlign w:val="center"/>
          </w:tcPr>
          <w:p>
            <w:pPr>
              <w:widowControl/>
              <w:jc w:val="center"/>
              <w:rPr>
                <w:rFonts w:ascii="宋体" w:hAnsi="宋体" w:cs="宋体"/>
                <w:kern w:val="0"/>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12" w:type="dxa"/>
            <w:vAlign w:val="center"/>
          </w:tcPr>
          <w:p>
            <w:pPr>
              <w:widowControl/>
              <w:jc w:val="center"/>
              <w:textAlignment w:val="center"/>
              <w:rPr>
                <w:rFonts w:ascii="宋体" w:hAnsi="宋体" w:cs="宋体"/>
                <w:kern w:val="0"/>
                <w:sz w:val="18"/>
                <w:szCs w:val="18"/>
              </w:rPr>
            </w:pPr>
            <w:r>
              <w:rPr>
                <w:rFonts w:hint="eastAsia" w:ascii="宋体" w:hAnsi="宋体" w:cs="宋体"/>
                <w:kern w:val="0"/>
                <w:sz w:val="18"/>
                <w:szCs w:val="18"/>
              </w:rPr>
              <w:t>47</w:t>
            </w:r>
          </w:p>
        </w:tc>
        <w:tc>
          <w:tcPr>
            <w:tcW w:w="4520" w:type="dxa"/>
          </w:tcPr>
          <w:p>
            <w:pPr>
              <w:outlineLvl w:val="0"/>
              <w:rPr>
                <w:rFonts w:ascii="宋体" w:hAnsi="宋体"/>
                <w:kern w:val="0"/>
                <w:sz w:val="18"/>
                <w:szCs w:val="18"/>
                <w:lang w:val="zh-CN"/>
              </w:rPr>
            </w:pPr>
            <w:bookmarkStart w:id="67" w:name="_Toc523396125"/>
            <w:r>
              <w:rPr>
                <w:rFonts w:hint="eastAsia" w:ascii="宋体" w:hAnsi="宋体"/>
                <w:sz w:val="18"/>
                <w:szCs w:val="18"/>
              </w:rPr>
              <w:t>安全检查和隐患整改制度</w:t>
            </w:r>
            <w:bookmarkEnd w:id="67"/>
          </w:p>
        </w:tc>
        <w:tc>
          <w:tcPr>
            <w:tcW w:w="1747" w:type="dxa"/>
            <w:vAlign w:val="center"/>
          </w:tcPr>
          <w:p>
            <w:pPr>
              <w:adjustRightInd w:val="0"/>
              <w:snapToGrid w:val="0"/>
              <w:jc w:val="center"/>
              <w:rPr>
                <w:rStyle w:val="29"/>
                <w:rFonts w:ascii="宋体" w:hAnsi="宋体"/>
                <w:color w:val="auto"/>
                <w:sz w:val="18"/>
                <w:szCs w:val="18"/>
              </w:rPr>
            </w:pPr>
            <w:r>
              <w:rPr>
                <w:rStyle w:val="29"/>
                <w:rFonts w:hint="eastAsia" w:ascii="宋体" w:hAnsi="宋体"/>
                <w:color w:val="auto"/>
                <w:sz w:val="18"/>
                <w:szCs w:val="18"/>
              </w:rPr>
              <w:t>202</w:t>
            </w:r>
            <w:r>
              <w:rPr>
                <w:rStyle w:val="29"/>
                <w:rFonts w:hint="eastAsia" w:ascii="宋体" w:hAnsi="宋体"/>
                <w:color w:val="auto"/>
                <w:sz w:val="18"/>
                <w:szCs w:val="18"/>
                <w:lang w:val="en-US" w:eastAsia="zh-CN"/>
              </w:rPr>
              <w:t>2</w:t>
            </w:r>
            <w:r>
              <w:rPr>
                <w:rStyle w:val="29"/>
                <w:rFonts w:hint="eastAsia" w:ascii="宋体" w:hAnsi="宋体"/>
                <w:color w:val="auto"/>
                <w:sz w:val="18"/>
                <w:szCs w:val="18"/>
              </w:rPr>
              <w:t>年</w:t>
            </w:r>
            <w:r>
              <w:rPr>
                <w:rStyle w:val="29"/>
                <w:rFonts w:hint="eastAsia" w:ascii="宋体" w:hAnsi="宋体"/>
                <w:color w:val="auto"/>
                <w:sz w:val="18"/>
                <w:szCs w:val="18"/>
                <w:lang w:val="en-US" w:eastAsia="zh-CN"/>
              </w:rPr>
              <w:t>4</w:t>
            </w:r>
            <w:r>
              <w:rPr>
                <w:rStyle w:val="29"/>
                <w:rFonts w:hint="eastAsia" w:ascii="宋体" w:hAnsi="宋体"/>
                <w:color w:val="auto"/>
                <w:sz w:val="18"/>
                <w:szCs w:val="18"/>
              </w:rPr>
              <w:t>月</w:t>
            </w:r>
          </w:p>
        </w:tc>
        <w:tc>
          <w:tcPr>
            <w:tcW w:w="1134" w:type="dxa"/>
            <w:vAlign w:val="center"/>
          </w:tcPr>
          <w:p>
            <w:pPr>
              <w:widowControl/>
              <w:jc w:val="center"/>
              <w:rPr>
                <w:rFonts w:ascii="宋体" w:hAnsi="宋体" w:cs="宋体"/>
                <w:kern w:val="0"/>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12" w:type="dxa"/>
            <w:vAlign w:val="center"/>
          </w:tcPr>
          <w:p>
            <w:pPr>
              <w:widowControl/>
              <w:jc w:val="center"/>
              <w:textAlignment w:val="center"/>
              <w:rPr>
                <w:rFonts w:ascii="宋体" w:hAnsi="宋体" w:cs="宋体"/>
                <w:kern w:val="0"/>
                <w:sz w:val="18"/>
                <w:szCs w:val="18"/>
              </w:rPr>
            </w:pPr>
            <w:r>
              <w:rPr>
                <w:rFonts w:hint="eastAsia" w:ascii="宋体" w:hAnsi="宋体" w:cs="宋体"/>
                <w:kern w:val="0"/>
                <w:sz w:val="18"/>
                <w:szCs w:val="18"/>
              </w:rPr>
              <w:t>48</w:t>
            </w:r>
          </w:p>
        </w:tc>
        <w:tc>
          <w:tcPr>
            <w:tcW w:w="4520" w:type="dxa"/>
          </w:tcPr>
          <w:p>
            <w:pPr>
              <w:outlineLvl w:val="0"/>
              <w:rPr>
                <w:rFonts w:ascii="宋体" w:hAnsi="宋体"/>
                <w:kern w:val="0"/>
                <w:sz w:val="18"/>
                <w:szCs w:val="18"/>
                <w:lang w:val="zh-CN"/>
              </w:rPr>
            </w:pPr>
            <w:bookmarkStart w:id="68" w:name="_Toc523396126"/>
            <w:r>
              <w:rPr>
                <w:rFonts w:hint="eastAsia" w:ascii="宋体" w:hAnsi="宋体"/>
                <w:bCs/>
                <w:sz w:val="18"/>
                <w:szCs w:val="18"/>
              </w:rPr>
              <w:t>安全生产事故报告及调查处理制度</w:t>
            </w:r>
            <w:bookmarkEnd w:id="68"/>
          </w:p>
        </w:tc>
        <w:tc>
          <w:tcPr>
            <w:tcW w:w="1747" w:type="dxa"/>
            <w:vAlign w:val="center"/>
          </w:tcPr>
          <w:p>
            <w:pPr>
              <w:adjustRightInd w:val="0"/>
              <w:snapToGrid w:val="0"/>
              <w:jc w:val="center"/>
              <w:rPr>
                <w:rStyle w:val="29"/>
                <w:rFonts w:ascii="宋体" w:hAnsi="宋体"/>
                <w:color w:val="auto"/>
                <w:sz w:val="18"/>
                <w:szCs w:val="18"/>
              </w:rPr>
            </w:pPr>
            <w:r>
              <w:rPr>
                <w:rStyle w:val="29"/>
                <w:rFonts w:hint="eastAsia" w:ascii="宋体" w:hAnsi="宋体"/>
                <w:color w:val="auto"/>
                <w:sz w:val="18"/>
                <w:szCs w:val="18"/>
              </w:rPr>
              <w:t>202</w:t>
            </w:r>
            <w:r>
              <w:rPr>
                <w:rStyle w:val="29"/>
                <w:rFonts w:hint="eastAsia" w:ascii="宋体" w:hAnsi="宋体"/>
                <w:color w:val="auto"/>
                <w:sz w:val="18"/>
                <w:szCs w:val="18"/>
                <w:lang w:val="en-US" w:eastAsia="zh-CN"/>
              </w:rPr>
              <w:t>2</w:t>
            </w:r>
            <w:r>
              <w:rPr>
                <w:rStyle w:val="29"/>
                <w:rFonts w:hint="eastAsia" w:ascii="宋体" w:hAnsi="宋体"/>
                <w:color w:val="auto"/>
                <w:sz w:val="18"/>
                <w:szCs w:val="18"/>
              </w:rPr>
              <w:t>年</w:t>
            </w:r>
            <w:r>
              <w:rPr>
                <w:rStyle w:val="29"/>
                <w:rFonts w:hint="eastAsia" w:ascii="宋体" w:hAnsi="宋体"/>
                <w:color w:val="auto"/>
                <w:sz w:val="18"/>
                <w:szCs w:val="18"/>
                <w:lang w:val="en-US" w:eastAsia="zh-CN"/>
              </w:rPr>
              <w:t>4</w:t>
            </w:r>
            <w:r>
              <w:rPr>
                <w:rStyle w:val="29"/>
                <w:rFonts w:hint="eastAsia" w:ascii="宋体" w:hAnsi="宋体"/>
                <w:color w:val="auto"/>
                <w:sz w:val="18"/>
                <w:szCs w:val="18"/>
              </w:rPr>
              <w:t>月</w:t>
            </w:r>
          </w:p>
        </w:tc>
        <w:tc>
          <w:tcPr>
            <w:tcW w:w="1134" w:type="dxa"/>
            <w:vAlign w:val="center"/>
          </w:tcPr>
          <w:p>
            <w:pPr>
              <w:widowControl/>
              <w:jc w:val="center"/>
              <w:rPr>
                <w:rFonts w:ascii="宋体" w:hAnsi="宋体" w:cs="宋体"/>
                <w:kern w:val="0"/>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12" w:type="dxa"/>
            <w:vAlign w:val="center"/>
          </w:tcPr>
          <w:p>
            <w:pPr>
              <w:widowControl/>
              <w:jc w:val="center"/>
              <w:textAlignment w:val="center"/>
              <w:rPr>
                <w:rFonts w:ascii="宋体" w:hAnsi="宋体" w:cs="宋体"/>
                <w:kern w:val="0"/>
                <w:sz w:val="18"/>
                <w:szCs w:val="18"/>
              </w:rPr>
            </w:pPr>
            <w:r>
              <w:rPr>
                <w:rFonts w:hint="eastAsia" w:ascii="宋体" w:hAnsi="宋体" w:cs="宋体"/>
                <w:kern w:val="0"/>
                <w:sz w:val="18"/>
                <w:szCs w:val="18"/>
              </w:rPr>
              <w:t>49</w:t>
            </w:r>
          </w:p>
        </w:tc>
        <w:tc>
          <w:tcPr>
            <w:tcW w:w="4520" w:type="dxa"/>
          </w:tcPr>
          <w:p>
            <w:pPr>
              <w:outlineLvl w:val="0"/>
              <w:rPr>
                <w:rFonts w:ascii="宋体" w:hAnsi="宋体"/>
                <w:kern w:val="0"/>
                <w:sz w:val="18"/>
                <w:szCs w:val="18"/>
                <w:lang w:val="zh-CN"/>
              </w:rPr>
            </w:pPr>
            <w:bookmarkStart w:id="69" w:name="_Toc523396127"/>
            <w:r>
              <w:rPr>
                <w:rFonts w:hint="eastAsia" w:ascii="宋体" w:hAnsi="宋体"/>
                <w:sz w:val="18"/>
                <w:szCs w:val="18"/>
              </w:rPr>
              <w:t>事故隐患排查治理和监控制度</w:t>
            </w:r>
            <w:bookmarkEnd w:id="69"/>
          </w:p>
        </w:tc>
        <w:tc>
          <w:tcPr>
            <w:tcW w:w="1747" w:type="dxa"/>
            <w:vAlign w:val="center"/>
          </w:tcPr>
          <w:p>
            <w:pPr>
              <w:adjustRightInd w:val="0"/>
              <w:snapToGrid w:val="0"/>
              <w:jc w:val="center"/>
              <w:rPr>
                <w:rStyle w:val="29"/>
                <w:rFonts w:ascii="宋体" w:hAnsi="宋体"/>
                <w:color w:val="auto"/>
                <w:sz w:val="18"/>
                <w:szCs w:val="18"/>
              </w:rPr>
            </w:pPr>
            <w:r>
              <w:rPr>
                <w:rStyle w:val="29"/>
                <w:rFonts w:hint="eastAsia" w:ascii="宋体" w:hAnsi="宋体"/>
                <w:color w:val="auto"/>
                <w:sz w:val="18"/>
                <w:szCs w:val="18"/>
              </w:rPr>
              <w:t>202</w:t>
            </w:r>
            <w:r>
              <w:rPr>
                <w:rStyle w:val="29"/>
                <w:rFonts w:hint="eastAsia" w:ascii="宋体" w:hAnsi="宋体"/>
                <w:color w:val="auto"/>
                <w:sz w:val="18"/>
                <w:szCs w:val="18"/>
                <w:lang w:val="en-US" w:eastAsia="zh-CN"/>
              </w:rPr>
              <w:t>2</w:t>
            </w:r>
            <w:r>
              <w:rPr>
                <w:rStyle w:val="29"/>
                <w:rFonts w:hint="eastAsia" w:ascii="宋体" w:hAnsi="宋体"/>
                <w:color w:val="auto"/>
                <w:sz w:val="18"/>
                <w:szCs w:val="18"/>
              </w:rPr>
              <w:t>年</w:t>
            </w:r>
            <w:r>
              <w:rPr>
                <w:rStyle w:val="29"/>
                <w:rFonts w:hint="eastAsia" w:ascii="宋体" w:hAnsi="宋体"/>
                <w:color w:val="auto"/>
                <w:sz w:val="18"/>
                <w:szCs w:val="18"/>
                <w:lang w:val="en-US" w:eastAsia="zh-CN"/>
              </w:rPr>
              <w:t>4</w:t>
            </w:r>
            <w:r>
              <w:rPr>
                <w:rStyle w:val="29"/>
                <w:rFonts w:hint="eastAsia" w:ascii="宋体" w:hAnsi="宋体"/>
                <w:color w:val="auto"/>
                <w:sz w:val="18"/>
                <w:szCs w:val="18"/>
              </w:rPr>
              <w:t>月</w:t>
            </w:r>
          </w:p>
        </w:tc>
        <w:tc>
          <w:tcPr>
            <w:tcW w:w="1134" w:type="dxa"/>
            <w:vAlign w:val="center"/>
          </w:tcPr>
          <w:p>
            <w:pPr>
              <w:widowControl/>
              <w:jc w:val="center"/>
              <w:rPr>
                <w:rFonts w:ascii="宋体" w:hAnsi="宋体" w:cs="宋体"/>
                <w:kern w:val="0"/>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12" w:type="dxa"/>
            <w:vAlign w:val="center"/>
          </w:tcPr>
          <w:p>
            <w:pPr>
              <w:widowControl/>
              <w:jc w:val="center"/>
              <w:textAlignment w:val="center"/>
              <w:rPr>
                <w:rFonts w:ascii="宋体" w:hAnsi="宋体" w:cs="宋体"/>
                <w:kern w:val="0"/>
                <w:sz w:val="18"/>
                <w:szCs w:val="18"/>
              </w:rPr>
            </w:pPr>
            <w:r>
              <w:rPr>
                <w:rFonts w:hint="eastAsia" w:ascii="宋体" w:hAnsi="宋体" w:cs="宋体"/>
                <w:kern w:val="0"/>
                <w:sz w:val="18"/>
                <w:szCs w:val="18"/>
              </w:rPr>
              <w:t>50</w:t>
            </w:r>
          </w:p>
        </w:tc>
        <w:tc>
          <w:tcPr>
            <w:tcW w:w="4520" w:type="dxa"/>
          </w:tcPr>
          <w:p>
            <w:pPr>
              <w:outlineLvl w:val="0"/>
              <w:rPr>
                <w:rFonts w:ascii="宋体" w:hAnsi="宋体"/>
                <w:kern w:val="0"/>
                <w:sz w:val="18"/>
                <w:szCs w:val="18"/>
                <w:lang w:val="zh-CN"/>
              </w:rPr>
            </w:pPr>
            <w:bookmarkStart w:id="70" w:name="_Toc523396128"/>
            <w:r>
              <w:rPr>
                <w:rFonts w:hint="eastAsia" w:ascii="宋体" w:hAnsi="宋体"/>
                <w:sz w:val="18"/>
                <w:szCs w:val="18"/>
              </w:rPr>
              <w:t>隐患排查治理资金使用专项制度</w:t>
            </w:r>
            <w:bookmarkEnd w:id="70"/>
          </w:p>
        </w:tc>
        <w:tc>
          <w:tcPr>
            <w:tcW w:w="1747" w:type="dxa"/>
            <w:vAlign w:val="center"/>
          </w:tcPr>
          <w:p>
            <w:pPr>
              <w:adjustRightInd w:val="0"/>
              <w:snapToGrid w:val="0"/>
              <w:jc w:val="center"/>
              <w:rPr>
                <w:rStyle w:val="29"/>
                <w:rFonts w:ascii="宋体" w:hAnsi="宋体"/>
                <w:color w:val="auto"/>
                <w:sz w:val="18"/>
                <w:szCs w:val="18"/>
              </w:rPr>
            </w:pPr>
            <w:r>
              <w:rPr>
                <w:rStyle w:val="29"/>
                <w:rFonts w:hint="eastAsia" w:ascii="宋体" w:hAnsi="宋体"/>
                <w:color w:val="auto"/>
                <w:sz w:val="18"/>
                <w:szCs w:val="18"/>
              </w:rPr>
              <w:t>202</w:t>
            </w:r>
            <w:r>
              <w:rPr>
                <w:rStyle w:val="29"/>
                <w:rFonts w:hint="eastAsia" w:ascii="宋体" w:hAnsi="宋体"/>
                <w:color w:val="auto"/>
                <w:sz w:val="18"/>
                <w:szCs w:val="18"/>
                <w:lang w:val="en-US" w:eastAsia="zh-CN"/>
              </w:rPr>
              <w:t>2</w:t>
            </w:r>
            <w:r>
              <w:rPr>
                <w:rStyle w:val="29"/>
                <w:rFonts w:hint="eastAsia" w:ascii="宋体" w:hAnsi="宋体"/>
                <w:color w:val="auto"/>
                <w:sz w:val="18"/>
                <w:szCs w:val="18"/>
              </w:rPr>
              <w:t>年</w:t>
            </w:r>
            <w:r>
              <w:rPr>
                <w:rStyle w:val="29"/>
                <w:rFonts w:hint="eastAsia" w:ascii="宋体" w:hAnsi="宋体"/>
                <w:color w:val="auto"/>
                <w:sz w:val="18"/>
                <w:szCs w:val="18"/>
                <w:lang w:val="en-US" w:eastAsia="zh-CN"/>
              </w:rPr>
              <w:t>4</w:t>
            </w:r>
            <w:r>
              <w:rPr>
                <w:rStyle w:val="29"/>
                <w:rFonts w:hint="eastAsia" w:ascii="宋体" w:hAnsi="宋体"/>
                <w:color w:val="auto"/>
                <w:sz w:val="18"/>
                <w:szCs w:val="18"/>
              </w:rPr>
              <w:t>月</w:t>
            </w:r>
          </w:p>
        </w:tc>
        <w:tc>
          <w:tcPr>
            <w:tcW w:w="1134" w:type="dxa"/>
            <w:vAlign w:val="center"/>
          </w:tcPr>
          <w:p>
            <w:pPr>
              <w:widowControl/>
              <w:jc w:val="center"/>
              <w:rPr>
                <w:rFonts w:ascii="宋体" w:hAnsi="宋体" w:cs="宋体"/>
                <w:kern w:val="0"/>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12" w:type="dxa"/>
            <w:vAlign w:val="center"/>
          </w:tcPr>
          <w:p>
            <w:pPr>
              <w:widowControl/>
              <w:jc w:val="center"/>
              <w:textAlignment w:val="center"/>
              <w:rPr>
                <w:rFonts w:ascii="宋体" w:hAnsi="宋体" w:cs="宋体"/>
                <w:kern w:val="0"/>
                <w:sz w:val="18"/>
                <w:szCs w:val="18"/>
              </w:rPr>
            </w:pPr>
            <w:r>
              <w:rPr>
                <w:rFonts w:hint="eastAsia" w:ascii="宋体" w:hAnsi="宋体" w:cs="宋体"/>
                <w:kern w:val="0"/>
                <w:sz w:val="18"/>
                <w:szCs w:val="18"/>
              </w:rPr>
              <w:t>51</w:t>
            </w:r>
          </w:p>
        </w:tc>
        <w:tc>
          <w:tcPr>
            <w:tcW w:w="4520" w:type="dxa"/>
          </w:tcPr>
          <w:p>
            <w:pPr>
              <w:outlineLvl w:val="0"/>
              <w:rPr>
                <w:rFonts w:ascii="宋体" w:hAnsi="宋体"/>
                <w:kern w:val="0"/>
                <w:sz w:val="18"/>
                <w:szCs w:val="18"/>
                <w:lang w:val="zh-CN"/>
              </w:rPr>
            </w:pPr>
            <w:bookmarkStart w:id="71" w:name="_Toc523396129"/>
            <w:r>
              <w:rPr>
                <w:rFonts w:hint="eastAsia" w:ascii="宋体" w:hAnsi="宋体"/>
                <w:sz w:val="18"/>
                <w:szCs w:val="18"/>
              </w:rPr>
              <w:t>事故隐患举报奖励制度</w:t>
            </w:r>
            <w:bookmarkEnd w:id="71"/>
          </w:p>
        </w:tc>
        <w:tc>
          <w:tcPr>
            <w:tcW w:w="1747" w:type="dxa"/>
            <w:vAlign w:val="center"/>
          </w:tcPr>
          <w:p>
            <w:pPr>
              <w:adjustRightInd w:val="0"/>
              <w:snapToGrid w:val="0"/>
              <w:jc w:val="center"/>
              <w:rPr>
                <w:rStyle w:val="29"/>
                <w:rFonts w:ascii="宋体" w:hAnsi="宋体"/>
                <w:color w:val="auto"/>
                <w:sz w:val="18"/>
                <w:szCs w:val="18"/>
              </w:rPr>
            </w:pPr>
            <w:r>
              <w:rPr>
                <w:rStyle w:val="29"/>
                <w:rFonts w:hint="eastAsia" w:ascii="宋体" w:hAnsi="宋体"/>
                <w:color w:val="auto"/>
                <w:sz w:val="18"/>
                <w:szCs w:val="18"/>
              </w:rPr>
              <w:t>202</w:t>
            </w:r>
            <w:r>
              <w:rPr>
                <w:rStyle w:val="29"/>
                <w:rFonts w:hint="eastAsia" w:ascii="宋体" w:hAnsi="宋体"/>
                <w:color w:val="auto"/>
                <w:sz w:val="18"/>
                <w:szCs w:val="18"/>
                <w:lang w:val="en-US" w:eastAsia="zh-CN"/>
              </w:rPr>
              <w:t>2</w:t>
            </w:r>
            <w:r>
              <w:rPr>
                <w:rStyle w:val="29"/>
                <w:rFonts w:hint="eastAsia" w:ascii="宋体" w:hAnsi="宋体"/>
                <w:color w:val="auto"/>
                <w:sz w:val="18"/>
                <w:szCs w:val="18"/>
              </w:rPr>
              <w:t>年</w:t>
            </w:r>
            <w:r>
              <w:rPr>
                <w:rStyle w:val="29"/>
                <w:rFonts w:hint="eastAsia" w:ascii="宋体" w:hAnsi="宋体"/>
                <w:color w:val="auto"/>
                <w:sz w:val="18"/>
                <w:szCs w:val="18"/>
                <w:lang w:val="en-US" w:eastAsia="zh-CN"/>
              </w:rPr>
              <w:t>4</w:t>
            </w:r>
            <w:r>
              <w:rPr>
                <w:rStyle w:val="29"/>
                <w:rFonts w:hint="eastAsia" w:ascii="宋体" w:hAnsi="宋体"/>
                <w:color w:val="auto"/>
                <w:sz w:val="18"/>
                <w:szCs w:val="18"/>
              </w:rPr>
              <w:t>月</w:t>
            </w:r>
          </w:p>
        </w:tc>
        <w:tc>
          <w:tcPr>
            <w:tcW w:w="1134" w:type="dxa"/>
            <w:vAlign w:val="center"/>
          </w:tcPr>
          <w:p>
            <w:pPr>
              <w:widowControl/>
              <w:jc w:val="center"/>
              <w:rPr>
                <w:rFonts w:ascii="宋体" w:hAnsi="宋体" w:cs="宋体"/>
                <w:kern w:val="0"/>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12" w:type="dxa"/>
            <w:vAlign w:val="center"/>
          </w:tcPr>
          <w:p>
            <w:pPr>
              <w:widowControl/>
              <w:jc w:val="center"/>
              <w:textAlignment w:val="center"/>
              <w:rPr>
                <w:rFonts w:ascii="宋体" w:hAnsi="宋体" w:cs="宋体"/>
                <w:kern w:val="0"/>
                <w:sz w:val="18"/>
                <w:szCs w:val="18"/>
              </w:rPr>
            </w:pPr>
            <w:r>
              <w:rPr>
                <w:rFonts w:hint="eastAsia" w:ascii="宋体" w:hAnsi="宋体" w:cs="宋体"/>
                <w:kern w:val="0"/>
                <w:sz w:val="18"/>
                <w:szCs w:val="18"/>
              </w:rPr>
              <w:t>52</w:t>
            </w:r>
          </w:p>
        </w:tc>
        <w:tc>
          <w:tcPr>
            <w:tcW w:w="4520" w:type="dxa"/>
          </w:tcPr>
          <w:p>
            <w:pPr>
              <w:outlineLvl w:val="0"/>
              <w:rPr>
                <w:rFonts w:ascii="宋体" w:hAnsi="宋体"/>
                <w:kern w:val="0"/>
                <w:sz w:val="18"/>
                <w:szCs w:val="18"/>
                <w:lang w:val="zh-CN"/>
              </w:rPr>
            </w:pPr>
            <w:bookmarkStart w:id="72" w:name="_Toc523396130"/>
            <w:r>
              <w:rPr>
                <w:rFonts w:hint="eastAsia" w:ascii="宋体" w:hAnsi="宋体"/>
                <w:sz w:val="18"/>
                <w:szCs w:val="18"/>
              </w:rPr>
              <w:t>事故隐患治理制度</w:t>
            </w:r>
            <w:bookmarkEnd w:id="72"/>
          </w:p>
        </w:tc>
        <w:tc>
          <w:tcPr>
            <w:tcW w:w="1747" w:type="dxa"/>
            <w:vAlign w:val="center"/>
          </w:tcPr>
          <w:p>
            <w:pPr>
              <w:adjustRightInd w:val="0"/>
              <w:snapToGrid w:val="0"/>
              <w:jc w:val="center"/>
              <w:rPr>
                <w:rStyle w:val="29"/>
                <w:rFonts w:ascii="宋体" w:hAnsi="宋体"/>
                <w:color w:val="auto"/>
                <w:sz w:val="18"/>
                <w:szCs w:val="18"/>
              </w:rPr>
            </w:pPr>
            <w:r>
              <w:rPr>
                <w:rStyle w:val="29"/>
                <w:rFonts w:hint="eastAsia" w:ascii="宋体" w:hAnsi="宋体"/>
                <w:color w:val="auto"/>
                <w:sz w:val="18"/>
                <w:szCs w:val="18"/>
              </w:rPr>
              <w:t>202</w:t>
            </w:r>
            <w:r>
              <w:rPr>
                <w:rStyle w:val="29"/>
                <w:rFonts w:hint="eastAsia" w:ascii="宋体" w:hAnsi="宋体"/>
                <w:color w:val="auto"/>
                <w:sz w:val="18"/>
                <w:szCs w:val="18"/>
                <w:lang w:val="en-US" w:eastAsia="zh-CN"/>
              </w:rPr>
              <w:t>2</w:t>
            </w:r>
            <w:r>
              <w:rPr>
                <w:rStyle w:val="29"/>
                <w:rFonts w:hint="eastAsia" w:ascii="宋体" w:hAnsi="宋体"/>
                <w:color w:val="auto"/>
                <w:sz w:val="18"/>
                <w:szCs w:val="18"/>
              </w:rPr>
              <w:t>年</w:t>
            </w:r>
            <w:r>
              <w:rPr>
                <w:rStyle w:val="29"/>
                <w:rFonts w:hint="eastAsia" w:ascii="宋体" w:hAnsi="宋体"/>
                <w:color w:val="auto"/>
                <w:sz w:val="18"/>
                <w:szCs w:val="18"/>
                <w:lang w:val="en-US" w:eastAsia="zh-CN"/>
              </w:rPr>
              <w:t>4</w:t>
            </w:r>
            <w:r>
              <w:rPr>
                <w:rStyle w:val="29"/>
                <w:rFonts w:hint="eastAsia" w:ascii="宋体" w:hAnsi="宋体"/>
                <w:color w:val="auto"/>
                <w:sz w:val="18"/>
                <w:szCs w:val="18"/>
              </w:rPr>
              <w:t>月</w:t>
            </w:r>
          </w:p>
        </w:tc>
        <w:tc>
          <w:tcPr>
            <w:tcW w:w="1134" w:type="dxa"/>
            <w:vAlign w:val="center"/>
          </w:tcPr>
          <w:p>
            <w:pPr>
              <w:widowControl/>
              <w:jc w:val="center"/>
              <w:rPr>
                <w:rFonts w:ascii="宋体" w:hAnsi="宋体" w:cs="宋体"/>
                <w:kern w:val="0"/>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12" w:type="dxa"/>
            <w:vAlign w:val="center"/>
          </w:tcPr>
          <w:p>
            <w:pPr>
              <w:widowControl/>
              <w:jc w:val="center"/>
              <w:textAlignment w:val="center"/>
              <w:rPr>
                <w:rFonts w:ascii="宋体" w:hAnsi="宋体" w:cs="宋体"/>
                <w:kern w:val="0"/>
                <w:sz w:val="18"/>
                <w:szCs w:val="18"/>
              </w:rPr>
            </w:pPr>
            <w:r>
              <w:rPr>
                <w:rFonts w:hint="eastAsia" w:ascii="宋体" w:hAnsi="宋体" w:cs="宋体"/>
                <w:kern w:val="0"/>
                <w:sz w:val="18"/>
                <w:szCs w:val="18"/>
              </w:rPr>
              <w:t>53</w:t>
            </w:r>
          </w:p>
        </w:tc>
        <w:tc>
          <w:tcPr>
            <w:tcW w:w="4520" w:type="dxa"/>
          </w:tcPr>
          <w:p>
            <w:pPr>
              <w:outlineLvl w:val="0"/>
              <w:rPr>
                <w:rFonts w:ascii="宋体" w:hAnsi="宋体"/>
                <w:kern w:val="0"/>
                <w:sz w:val="18"/>
                <w:szCs w:val="18"/>
                <w:lang w:val="zh-CN"/>
              </w:rPr>
            </w:pPr>
            <w:bookmarkStart w:id="73" w:name="_Toc523396131"/>
            <w:r>
              <w:rPr>
                <w:rFonts w:hint="eastAsia" w:ascii="宋体" w:hAnsi="宋体"/>
                <w:sz w:val="18"/>
                <w:szCs w:val="18"/>
              </w:rPr>
              <w:t>事故档案管理制度</w:t>
            </w:r>
            <w:bookmarkEnd w:id="73"/>
          </w:p>
        </w:tc>
        <w:tc>
          <w:tcPr>
            <w:tcW w:w="1747" w:type="dxa"/>
            <w:vAlign w:val="center"/>
          </w:tcPr>
          <w:p>
            <w:pPr>
              <w:adjustRightInd w:val="0"/>
              <w:snapToGrid w:val="0"/>
              <w:jc w:val="center"/>
              <w:rPr>
                <w:rStyle w:val="29"/>
                <w:rFonts w:ascii="宋体" w:hAnsi="宋体"/>
                <w:color w:val="auto"/>
                <w:sz w:val="18"/>
                <w:szCs w:val="18"/>
              </w:rPr>
            </w:pPr>
            <w:r>
              <w:rPr>
                <w:rStyle w:val="29"/>
                <w:rFonts w:hint="eastAsia" w:ascii="宋体" w:hAnsi="宋体"/>
                <w:color w:val="auto"/>
                <w:sz w:val="18"/>
                <w:szCs w:val="18"/>
              </w:rPr>
              <w:t>202</w:t>
            </w:r>
            <w:r>
              <w:rPr>
                <w:rStyle w:val="29"/>
                <w:rFonts w:hint="eastAsia" w:ascii="宋体" w:hAnsi="宋体"/>
                <w:color w:val="auto"/>
                <w:sz w:val="18"/>
                <w:szCs w:val="18"/>
                <w:lang w:val="en-US" w:eastAsia="zh-CN"/>
              </w:rPr>
              <w:t>2</w:t>
            </w:r>
            <w:r>
              <w:rPr>
                <w:rStyle w:val="29"/>
                <w:rFonts w:hint="eastAsia" w:ascii="宋体" w:hAnsi="宋体"/>
                <w:color w:val="auto"/>
                <w:sz w:val="18"/>
                <w:szCs w:val="18"/>
              </w:rPr>
              <w:t>年</w:t>
            </w:r>
            <w:r>
              <w:rPr>
                <w:rStyle w:val="29"/>
                <w:rFonts w:hint="eastAsia" w:ascii="宋体" w:hAnsi="宋体"/>
                <w:color w:val="auto"/>
                <w:sz w:val="18"/>
                <w:szCs w:val="18"/>
                <w:lang w:val="en-US" w:eastAsia="zh-CN"/>
              </w:rPr>
              <w:t>4</w:t>
            </w:r>
            <w:r>
              <w:rPr>
                <w:rStyle w:val="29"/>
                <w:rFonts w:hint="eastAsia" w:ascii="宋体" w:hAnsi="宋体"/>
                <w:color w:val="auto"/>
                <w:sz w:val="18"/>
                <w:szCs w:val="18"/>
              </w:rPr>
              <w:t>月</w:t>
            </w:r>
          </w:p>
        </w:tc>
        <w:tc>
          <w:tcPr>
            <w:tcW w:w="1134" w:type="dxa"/>
            <w:vAlign w:val="center"/>
          </w:tcPr>
          <w:p>
            <w:pPr>
              <w:widowControl/>
              <w:jc w:val="center"/>
              <w:rPr>
                <w:rFonts w:ascii="宋体" w:hAnsi="宋体" w:cs="宋体"/>
                <w:kern w:val="0"/>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12" w:type="dxa"/>
            <w:vAlign w:val="center"/>
          </w:tcPr>
          <w:p>
            <w:pPr>
              <w:widowControl/>
              <w:jc w:val="center"/>
              <w:textAlignment w:val="center"/>
              <w:rPr>
                <w:rFonts w:ascii="宋体" w:hAnsi="宋体" w:cs="宋体"/>
                <w:kern w:val="0"/>
                <w:sz w:val="18"/>
                <w:szCs w:val="18"/>
              </w:rPr>
            </w:pPr>
            <w:r>
              <w:rPr>
                <w:rFonts w:hint="eastAsia" w:ascii="宋体" w:hAnsi="宋体" w:cs="宋体"/>
                <w:kern w:val="0"/>
                <w:sz w:val="18"/>
                <w:szCs w:val="18"/>
              </w:rPr>
              <w:t>54</w:t>
            </w:r>
          </w:p>
        </w:tc>
        <w:tc>
          <w:tcPr>
            <w:tcW w:w="4520" w:type="dxa"/>
          </w:tcPr>
          <w:p>
            <w:pPr>
              <w:outlineLvl w:val="0"/>
              <w:rPr>
                <w:rFonts w:ascii="宋体" w:hAnsi="宋体"/>
                <w:kern w:val="0"/>
                <w:sz w:val="18"/>
                <w:szCs w:val="18"/>
                <w:lang w:val="zh-CN"/>
              </w:rPr>
            </w:pPr>
            <w:bookmarkStart w:id="74" w:name="_Toc523396132"/>
            <w:r>
              <w:rPr>
                <w:rFonts w:hint="eastAsia" w:ascii="宋体" w:hAnsi="宋体"/>
                <w:sz w:val="18"/>
                <w:szCs w:val="18"/>
              </w:rPr>
              <w:t>自评管理制度</w:t>
            </w:r>
            <w:bookmarkEnd w:id="74"/>
          </w:p>
        </w:tc>
        <w:tc>
          <w:tcPr>
            <w:tcW w:w="1747" w:type="dxa"/>
            <w:vAlign w:val="center"/>
          </w:tcPr>
          <w:p>
            <w:pPr>
              <w:adjustRightInd w:val="0"/>
              <w:snapToGrid w:val="0"/>
              <w:jc w:val="center"/>
              <w:rPr>
                <w:rStyle w:val="29"/>
                <w:rFonts w:ascii="宋体" w:hAnsi="宋体"/>
                <w:color w:val="auto"/>
                <w:sz w:val="18"/>
                <w:szCs w:val="18"/>
              </w:rPr>
            </w:pPr>
            <w:r>
              <w:rPr>
                <w:rStyle w:val="29"/>
                <w:rFonts w:hint="eastAsia" w:ascii="宋体" w:hAnsi="宋体"/>
                <w:color w:val="auto"/>
                <w:sz w:val="18"/>
                <w:szCs w:val="18"/>
              </w:rPr>
              <w:t>202</w:t>
            </w:r>
            <w:r>
              <w:rPr>
                <w:rStyle w:val="29"/>
                <w:rFonts w:hint="eastAsia" w:ascii="宋体" w:hAnsi="宋体"/>
                <w:color w:val="auto"/>
                <w:sz w:val="18"/>
                <w:szCs w:val="18"/>
                <w:lang w:val="en-US" w:eastAsia="zh-CN"/>
              </w:rPr>
              <w:t>2</w:t>
            </w:r>
            <w:r>
              <w:rPr>
                <w:rStyle w:val="29"/>
                <w:rFonts w:hint="eastAsia" w:ascii="宋体" w:hAnsi="宋体"/>
                <w:color w:val="auto"/>
                <w:sz w:val="18"/>
                <w:szCs w:val="18"/>
              </w:rPr>
              <w:t>年</w:t>
            </w:r>
            <w:r>
              <w:rPr>
                <w:rStyle w:val="29"/>
                <w:rFonts w:hint="eastAsia" w:ascii="宋体" w:hAnsi="宋体"/>
                <w:color w:val="auto"/>
                <w:sz w:val="18"/>
                <w:szCs w:val="18"/>
                <w:lang w:val="en-US" w:eastAsia="zh-CN"/>
              </w:rPr>
              <w:t>4</w:t>
            </w:r>
            <w:r>
              <w:rPr>
                <w:rStyle w:val="29"/>
                <w:rFonts w:hint="eastAsia" w:ascii="宋体" w:hAnsi="宋体"/>
                <w:color w:val="auto"/>
                <w:sz w:val="18"/>
                <w:szCs w:val="18"/>
              </w:rPr>
              <w:t>月</w:t>
            </w:r>
          </w:p>
        </w:tc>
        <w:tc>
          <w:tcPr>
            <w:tcW w:w="1134" w:type="dxa"/>
            <w:vAlign w:val="center"/>
          </w:tcPr>
          <w:p>
            <w:pPr>
              <w:widowControl/>
              <w:jc w:val="center"/>
              <w:rPr>
                <w:rFonts w:ascii="宋体" w:hAnsi="宋体" w:cs="宋体"/>
                <w:kern w:val="0"/>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12" w:type="dxa"/>
            <w:vAlign w:val="center"/>
          </w:tcPr>
          <w:p>
            <w:pPr>
              <w:widowControl/>
              <w:jc w:val="center"/>
              <w:textAlignment w:val="center"/>
              <w:rPr>
                <w:rFonts w:ascii="宋体" w:hAnsi="宋体" w:cs="宋体"/>
                <w:kern w:val="0"/>
                <w:sz w:val="18"/>
                <w:szCs w:val="18"/>
              </w:rPr>
            </w:pPr>
            <w:r>
              <w:rPr>
                <w:rFonts w:hint="eastAsia" w:ascii="宋体" w:hAnsi="宋体" w:cs="宋体"/>
                <w:kern w:val="0"/>
                <w:sz w:val="18"/>
                <w:szCs w:val="18"/>
              </w:rPr>
              <w:t>55</w:t>
            </w:r>
          </w:p>
        </w:tc>
        <w:tc>
          <w:tcPr>
            <w:tcW w:w="4520" w:type="dxa"/>
          </w:tcPr>
          <w:p>
            <w:pPr>
              <w:outlineLvl w:val="0"/>
              <w:rPr>
                <w:rFonts w:ascii="宋体" w:hAnsi="宋体"/>
                <w:kern w:val="0"/>
                <w:sz w:val="18"/>
                <w:szCs w:val="18"/>
                <w:lang w:val="zh-CN"/>
              </w:rPr>
            </w:pPr>
            <w:bookmarkStart w:id="75" w:name="_Toc523396133"/>
            <w:r>
              <w:rPr>
                <w:rFonts w:hint="eastAsia" w:ascii="宋体" w:hAnsi="宋体"/>
                <w:sz w:val="18"/>
                <w:szCs w:val="18"/>
              </w:rPr>
              <w:t>安全检查管理制度</w:t>
            </w:r>
            <w:bookmarkEnd w:id="75"/>
          </w:p>
        </w:tc>
        <w:tc>
          <w:tcPr>
            <w:tcW w:w="1747" w:type="dxa"/>
            <w:vAlign w:val="center"/>
          </w:tcPr>
          <w:p>
            <w:pPr>
              <w:adjustRightInd w:val="0"/>
              <w:snapToGrid w:val="0"/>
              <w:jc w:val="center"/>
              <w:rPr>
                <w:rStyle w:val="29"/>
                <w:rFonts w:ascii="宋体" w:hAnsi="宋体"/>
                <w:color w:val="auto"/>
                <w:sz w:val="18"/>
                <w:szCs w:val="18"/>
              </w:rPr>
            </w:pPr>
            <w:r>
              <w:rPr>
                <w:rStyle w:val="29"/>
                <w:rFonts w:hint="eastAsia" w:ascii="宋体" w:hAnsi="宋体"/>
                <w:color w:val="auto"/>
                <w:sz w:val="18"/>
                <w:szCs w:val="18"/>
              </w:rPr>
              <w:t>202</w:t>
            </w:r>
            <w:r>
              <w:rPr>
                <w:rStyle w:val="29"/>
                <w:rFonts w:hint="eastAsia" w:ascii="宋体" w:hAnsi="宋体"/>
                <w:color w:val="auto"/>
                <w:sz w:val="18"/>
                <w:szCs w:val="18"/>
                <w:lang w:val="en-US" w:eastAsia="zh-CN"/>
              </w:rPr>
              <w:t>2</w:t>
            </w:r>
            <w:r>
              <w:rPr>
                <w:rStyle w:val="29"/>
                <w:rFonts w:hint="eastAsia" w:ascii="宋体" w:hAnsi="宋体"/>
                <w:color w:val="auto"/>
                <w:sz w:val="18"/>
                <w:szCs w:val="18"/>
              </w:rPr>
              <w:t>年</w:t>
            </w:r>
            <w:r>
              <w:rPr>
                <w:rStyle w:val="29"/>
                <w:rFonts w:hint="eastAsia" w:ascii="宋体" w:hAnsi="宋体"/>
                <w:color w:val="auto"/>
                <w:sz w:val="18"/>
                <w:szCs w:val="18"/>
                <w:lang w:val="en-US" w:eastAsia="zh-CN"/>
              </w:rPr>
              <w:t>4</w:t>
            </w:r>
            <w:r>
              <w:rPr>
                <w:rStyle w:val="29"/>
                <w:rFonts w:hint="eastAsia" w:ascii="宋体" w:hAnsi="宋体"/>
                <w:color w:val="auto"/>
                <w:sz w:val="18"/>
                <w:szCs w:val="18"/>
              </w:rPr>
              <w:t>月</w:t>
            </w:r>
          </w:p>
        </w:tc>
        <w:tc>
          <w:tcPr>
            <w:tcW w:w="1134" w:type="dxa"/>
            <w:vAlign w:val="center"/>
          </w:tcPr>
          <w:p>
            <w:pPr>
              <w:widowControl/>
              <w:jc w:val="center"/>
              <w:rPr>
                <w:rFonts w:ascii="宋体" w:hAnsi="宋体" w:cs="宋体"/>
                <w:kern w:val="0"/>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12" w:type="dxa"/>
            <w:vAlign w:val="center"/>
          </w:tcPr>
          <w:p>
            <w:pPr>
              <w:widowControl/>
              <w:jc w:val="center"/>
              <w:textAlignment w:val="center"/>
              <w:rPr>
                <w:rFonts w:ascii="宋体" w:hAnsi="宋体" w:cs="宋体"/>
                <w:kern w:val="0"/>
                <w:sz w:val="18"/>
                <w:szCs w:val="18"/>
              </w:rPr>
            </w:pPr>
            <w:r>
              <w:rPr>
                <w:rFonts w:hint="eastAsia" w:ascii="宋体" w:hAnsi="宋体" w:cs="宋体"/>
                <w:kern w:val="0"/>
                <w:sz w:val="18"/>
                <w:szCs w:val="18"/>
              </w:rPr>
              <w:t>56</w:t>
            </w:r>
          </w:p>
        </w:tc>
        <w:tc>
          <w:tcPr>
            <w:tcW w:w="4520" w:type="dxa"/>
          </w:tcPr>
          <w:p>
            <w:pPr>
              <w:outlineLvl w:val="0"/>
              <w:rPr>
                <w:rFonts w:ascii="宋体" w:hAnsi="宋体"/>
                <w:kern w:val="0"/>
                <w:sz w:val="18"/>
                <w:szCs w:val="18"/>
                <w:lang w:val="zh-CN"/>
              </w:rPr>
            </w:pPr>
            <w:bookmarkStart w:id="76" w:name="_Toc523396134"/>
            <w:r>
              <w:rPr>
                <w:rFonts w:hint="eastAsia" w:ascii="宋体" w:hAnsi="宋体"/>
                <w:sz w:val="18"/>
                <w:szCs w:val="18"/>
              </w:rPr>
              <w:t>氯气钢瓶安全储存及使用管理制度</w:t>
            </w:r>
            <w:bookmarkEnd w:id="76"/>
          </w:p>
        </w:tc>
        <w:tc>
          <w:tcPr>
            <w:tcW w:w="1747" w:type="dxa"/>
            <w:vAlign w:val="center"/>
          </w:tcPr>
          <w:p>
            <w:pPr>
              <w:adjustRightInd w:val="0"/>
              <w:snapToGrid w:val="0"/>
              <w:jc w:val="center"/>
              <w:rPr>
                <w:rStyle w:val="29"/>
                <w:rFonts w:ascii="宋体" w:hAnsi="宋体"/>
                <w:color w:val="auto"/>
                <w:sz w:val="18"/>
                <w:szCs w:val="18"/>
              </w:rPr>
            </w:pPr>
            <w:r>
              <w:rPr>
                <w:rStyle w:val="29"/>
                <w:rFonts w:hint="eastAsia" w:ascii="宋体" w:hAnsi="宋体"/>
                <w:color w:val="auto"/>
                <w:sz w:val="18"/>
                <w:szCs w:val="18"/>
              </w:rPr>
              <w:t>202</w:t>
            </w:r>
            <w:r>
              <w:rPr>
                <w:rStyle w:val="29"/>
                <w:rFonts w:hint="eastAsia" w:ascii="宋体" w:hAnsi="宋体"/>
                <w:color w:val="auto"/>
                <w:sz w:val="18"/>
                <w:szCs w:val="18"/>
                <w:lang w:val="en-US" w:eastAsia="zh-CN"/>
              </w:rPr>
              <w:t>2</w:t>
            </w:r>
            <w:r>
              <w:rPr>
                <w:rStyle w:val="29"/>
                <w:rFonts w:hint="eastAsia" w:ascii="宋体" w:hAnsi="宋体"/>
                <w:color w:val="auto"/>
                <w:sz w:val="18"/>
                <w:szCs w:val="18"/>
              </w:rPr>
              <w:t>年</w:t>
            </w:r>
            <w:r>
              <w:rPr>
                <w:rStyle w:val="29"/>
                <w:rFonts w:hint="eastAsia" w:ascii="宋体" w:hAnsi="宋体"/>
                <w:color w:val="auto"/>
                <w:sz w:val="18"/>
                <w:szCs w:val="18"/>
                <w:lang w:val="en-US" w:eastAsia="zh-CN"/>
              </w:rPr>
              <w:t>4</w:t>
            </w:r>
            <w:r>
              <w:rPr>
                <w:rStyle w:val="29"/>
                <w:rFonts w:hint="eastAsia" w:ascii="宋体" w:hAnsi="宋体"/>
                <w:color w:val="auto"/>
                <w:sz w:val="18"/>
                <w:szCs w:val="18"/>
              </w:rPr>
              <w:t>月</w:t>
            </w:r>
          </w:p>
        </w:tc>
        <w:tc>
          <w:tcPr>
            <w:tcW w:w="1134" w:type="dxa"/>
            <w:vAlign w:val="center"/>
          </w:tcPr>
          <w:p>
            <w:pPr>
              <w:widowControl/>
              <w:jc w:val="center"/>
              <w:rPr>
                <w:rFonts w:ascii="宋体" w:hAnsi="宋体" w:cs="宋体"/>
                <w:kern w:val="0"/>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12" w:type="dxa"/>
            <w:vAlign w:val="center"/>
          </w:tcPr>
          <w:p>
            <w:pPr>
              <w:widowControl/>
              <w:jc w:val="center"/>
              <w:textAlignment w:val="center"/>
              <w:rPr>
                <w:rFonts w:ascii="宋体" w:hAnsi="宋体" w:cs="宋体"/>
                <w:color w:val="FF0000"/>
                <w:kern w:val="0"/>
                <w:sz w:val="18"/>
                <w:szCs w:val="18"/>
              </w:rPr>
            </w:pPr>
            <w:r>
              <w:rPr>
                <w:rFonts w:hint="eastAsia" w:ascii="宋体" w:hAnsi="宋体" w:cs="宋体"/>
                <w:color w:val="auto"/>
                <w:kern w:val="0"/>
                <w:sz w:val="18"/>
                <w:szCs w:val="18"/>
              </w:rPr>
              <w:t>57</w:t>
            </w:r>
          </w:p>
        </w:tc>
        <w:tc>
          <w:tcPr>
            <w:tcW w:w="4520" w:type="dxa"/>
          </w:tcPr>
          <w:p>
            <w:pPr>
              <w:outlineLvl w:val="0"/>
              <w:rPr>
                <w:rFonts w:ascii="宋体" w:hAnsi="宋体"/>
                <w:color w:val="FF0000"/>
                <w:kern w:val="0"/>
                <w:sz w:val="18"/>
                <w:szCs w:val="18"/>
                <w:lang w:val="zh-CN"/>
              </w:rPr>
            </w:pPr>
            <w:bookmarkStart w:id="77" w:name="_Toc523396136"/>
            <w:r>
              <w:rPr>
                <w:rFonts w:hint="eastAsia" w:ascii="宋体" w:hAnsi="宋体"/>
                <w:sz w:val="18"/>
                <w:szCs w:val="18"/>
              </w:rPr>
              <w:t>危险废物管理制度</w:t>
            </w:r>
            <w:bookmarkEnd w:id="77"/>
          </w:p>
        </w:tc>
        <w:tc>
          <w:tcPr>
            <w:tcW w:w="1747" w:type="dxa"/>
            <w:vAlign w:val="center"/>
          </w:tcPr>
          <w:p>
            <w:pPr>
              <w:adjustRightInd w:val="0"/>
              <w:snapToGrid w:val="0"/>
              <w:jc w:val="center"/>
              <w:rPr>
                <w:rStyle w:val="29"/>
                <w:rFonts w:ascii="宋体" w:hAnsi="宋体"/>
                <w:color w:val="FF0000"/>
                <w:sz w:val="18"/>
                <w:szCs w:val="18"/>
              </w:rPr>
            </w:pPr>
            <w:r>
              <w:rPr>
                <w:rStyle w:val="29"/>
                <w:rFonts w:hint="eastAsia" w:ascii="宋体" w:hAnsi="宋体"/>
                <w:color w:val="auto"/>
                <w:sz w:val="18"/>
                <w:szCs w:val="18"/>
              </w:rPr>
              <w:t>202</w:t>
            </w:r>
            <w:r>
              <w:rPr>
                <w:rStyle w:val="29"/>
                <w:rFonts w:hint="eastAsia" w:ascii="宋体" w:hAnsi="宋体"/>
                <w:color w:val="auto"/>
                <w:sz w:val="18"/>
                <w:szCs w:val="18"/>
                <w:lang w:val="en-US" w:eastAsia="zh-CN"/>
              </w:rPr>
              <w:t>2</w:t>
            </w:r>
            <w:r>
              <w:rPr>
                <w:rStyle w:val="29"/>
                <w:rFonts w:hint="eastAsia" w:ascii="宋体" w:hAnsi="宋体"/>
                <w:color w:val="auto"/>
                <w:sz w:val="18"/>
                <w:szCs w:val="18"/>
              </w:rPr>
              <w:t>年</w:t>
            </w:r>
            <w:r>
              <w:rPr>
                <w:rStyle w:val="29"/>
                <w:rFonts w:hint="eastAsia" w:ascii="宋体" w:hAnsi="宋体"/>
                <w:color w:val="auto"/>
                <w:sz w:val="18"/>
                <w:szCs w:val="18"/>
                <w:lang w:val="en-US" w:eastAsia="zh-CN"/>
              </w:rPr>
              <w:t>4</w:t>
            </w:r>
            <w:r>
              <w:rPr>
                <w:rStyle w:val="29"/>
                <w:rFonts w:hint="eastAsia" w:ascii="宋体" w:hAnsi="宋体"/>
                <w:color w:val="auto"/>
                <w:sz w:val="18"/>
                <w:szCs w:val="18"/>
              </w:rPr>
              <w:t>月</w:t>
            </w:r>
          </w:p>
        </w:tc>
        <w:tc>
          <w:tcPr>
            <w:tcW w:w="1134" w:type="dxa"/>
            <w:vAlign w:val="center"/>
          </w:tcPr>
          <w:p>
            <w:pPr>
              <w:widowControl/>
              <w:jc w:val="center"/>
              <w:rPr>
                <w:rFonts w:ascii="宋体" w:hAnsi="宋体" w:cs="宋体"/>
                <w:color w:val="FF0000"/>
                <w:kern w:val="0"/>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12" w:type="dxa"/>
            <w:vAlign w:val="center"/>
          </w:tcPr>
          <w:p>
            <w:pPr>
              <w:widowControl/>
              <w:jc w:val="center"/>
              <w:textAlignment w:val="center"/>
              <w:rPr>
                <w:rFonts w:ascii="宋体" w:hAnsi="宋体" w:cs="宋体"/>
                <w:kern w:val="0"/>
                <w:sz w:val="18"/>
                <w:szCs w:val="18"/>
              </w:rPr>
            </w:pPr>
            <w:r>
              <w:rPr>
                <w:rFonts w:hint="eastAsia" w:ascii="宋体" w:hAnsi="宋体" w:cs="宋体"/>
                <w:kern w:val="0"/>
                <w:sz w:val="18"/>
                <w:szCs w:val="18"/>
              </w:rPr>
              <w:t>58</w:t>
            </w:r>
          </w:p>
        </w:tc>
        <w:tc>
          <w:tcPr>
            <w:tcW w:w="4520" w:type="dxa"/>
          </w:tcPr>
          <w:p>
            <w:pPr>
              <w:outlineLvl w:val="0"/>
              <w:rPr>
                <w:rFonts w:ascii="宋体" w:hAnsi="宋体"/>
                <w:kern w:val="0"/>
                <w:sz w:val="18"/>
                <w:szCs w:val="18"/>
                <w:lang w:val="zh-CN"/>
              </w:rPr>
            </w:pPr>
          </w:p>
        </w:tc>
        <w:tc>
          <w:tcPr>
            <w:tcW w:w="1747" w:type="dxa"/>
            <w:vAlign w:val="center"/>
          </w:tcPr>
          <w:p>
            <w:pPr>
              <w:adjustRightInd w:val="0"/>
              <w:snapToGrid w:val="0"/>
              <w:jc w:val="center"/>
              <w:rPr>
                <w:rStyle w:val="29"/>
                <w:rFonts w:ascii="宋体" w:hAnsi="宋体"/>
                <w:color w:val="auto"/>
                <w:sz w:val="18"/>
                <w:szCs w:val="18"/>
              </w:rPr>
            </w:pPr>
          </w:p>
        </w:tc>
        <w:tc>
          <w:tcPr>
            <w:tcW w:w="1134" w:type="dxa"/>
            <w:vAlign w:val="center"/>
          </w:tcPr>
          <w:p>
            <w:pPr>
              <w:widowControl/>
              <w:jc w:val="center"/>
              <w:rPr>
                <w:rFonts w:ascii="宋体" w:hAnsi="宋体" w:cs="宋体"/>
                <w:kern w:val="0"/>
                <w:sz w:val="18"/>
                <w:szCs w:val="18"/>
              </w:rPr>
            </w:pPr>
          </w:p>
        </w:tc>
      </w:tr>
    </w:tbl>
    <w:p>
      <w:pPr>
        <w:tabs>
          <w:tab w:val="left" w:pos="9555"/>
        </w:tabs>
        <w:ind w:left="420" w:leftChars="200" w:firstLine="393" w:firstLineChars="164"/>
        <w:jc w:val="center"/>
        <w:rPr>
          <w:sz w:val="24"/>
        </w:rPr>
      </w:pPr>
      <w:bookmarkStart w:id="78" w:name="_Toc29500"/>
      <w:bookmarkStart w:id="79" w:name="_Toc432195099"/>
    </w:p>
    <w:p>
      <w:pPr>
        <w:adjustRightInd w:val="0"/>
        <w:snapToGrid w:val="0"/>
        <w:spacing w:line="360" w:lineRule="auto"/>
        <w:ind w:firstLine="480" w:firstLineChars="200"/>
        <w:rPr>
          <w:rFonts w:ascii="宋体" w:hAnsi="宋体"/>
          <w:kern w:val="0"/>
          <w:sz w:val="24"/>
        </w:rPr>
      </w:pPr>
      <w:r>
        <w:rPr>
          <w:rFonts w:hint="eastAsia" w:ascii="宋体" w:hAnsi="宋体"/>
          <w:kern w:val="0"/>
          <w:sz w:val="24"/>
        </w:rPr>
        <w:t>岗位操作规程清单：</w:t>
      </w:r>
    </w:p>
    <w:tbl>
      <w:tblPr>
        <w:tblStyle w:val="24"/>
        <w:tblW w:w="8642" w:type="dxa"/>
        <w:jc w:val="center"/>
        <w:tblLayout w:type="fixed"/>
        <w:tblCellMar>
          <w:top w:w="0" w:type="dxa"/>
          <w:left w:w="108" w:type="dxa"/>
          <w:bottom w:w="0" w:type="dxa"/>
          <w:right w:w="108" w:type="dxa"/>
        </w:tblCellMar>
      </w:tblPr>
      <w:tblGrid>
        <w:gridCol w:w="1248"/>
        <w:gridCol w:w="4276"/>
        <w:gridCol w:w="1701"/>
        <w:gridCol w:w="1417"/>
      </w:tblGrid>
      <w:tr>
        <w:tblPrEx>
          <w:tblCellMar>
            <w:top w:w="0" w:type="dxa"/>
            <w:left w:w="108" w:type="dxa"/>
            <w:bottom w:w="0" w:type="dxa"/>
            <w:right w:w="108" w:type="dxa"/>
          </w:tblCellMar>
        </w:tblPrEx>
        <w:trPr>
          <w:trHeight w:val="397" w:hRule="atLeast"/>
          <w:jc w:val="center"/>
        </w:trPr>
        <w:tc>
          <w:tcPr>
            <w:tcW w:w="1248"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heme="minorEastAsia" w:hAnsiTheme="minorEastAsia" w:eastAsiaTheme="minorEastAsia" w:cstheme="minorEastAsia"/>
                <w:b/>
                <w:bCs/>
                <w:kern w:val="0"/>
                <w:sz w:val="18"/>
                <w:szCs w:val="18"/>
              </w:rPr>
            </w:pPr>
            <w:r>
              <w:rPr>
                <w:rFonts w:hint="eastAsia" w:asciiTheme="minorEastAsia" w:hAnsiTheme="minorEastAsia" w:eastAsiaTheme="minorEastAsia" w:cstheme="minorEastAsia"/>
                <w:kern w:val="0"/>
                <w:sz w:val="18"/>
                <w:szCs w:val="18"/>
              </w:rPr>
              <w:t>序号</w:t>
            </w:r>
          </w:p>
        </w:tc>
        <w:tc>
          <w:tcPr>
            <w:tcW w:w="4276" w:type="dxa"/>
            <w:tcBorders>
              <w:top w:val="single" w:color="auto" w:sz="4" w:space="0"/>
              <w:left w:val="nil"/>
              <w:bottom w:val="single" w:color="auto" w:sz="4" w:space="0"/>
              <w:right w:val="single" w:color="auto" w:sz="4" w:space="0"/>
            </w:tcBorders>
            <w:vAlign w:val="center"/>
          </w:tcPr>
          <w:p>
            <w:pPr>
              <w:adjustRightInd w:val="0"/>
              <w:snapToGrid w:val="0"/>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岗位操作规程</w:t>
            </w:r>
          </w:p>
        </w:tc>
        <w:tc>
          <w:tcPr>
            <w:tcW w:w="1701" w:type="dxa"/>
            <w:tcBorders>
              <w:top w:val="single" w:color="auto" w:sz="4" w:space="0"/>
              <w:left w:val="nil"/>
              <w:bottom w:val="single" w:color="auto" w:sz="4" w:space="0"/>
              <w:right w:val="single" w:color="auto" w:sz="4" w:space="0"/>
            </w:tcBorders>
            <w:vAlign w:val="center"/>
          </w:tcPr>
          <w:p>
            <w:pPr>
              <w:adjustRightInd w:val="0"/>
              <w:snapToGrid w:val="0"/>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日期</w:t>
            </w:r>
          </w:p>
        </w:tc>
        <w:tc>
          <w:tcPr>
            <w:tcW w:w="1417" w:type="dxa"/>
            <w:tcBorders>
              <w:top w:val="single" w:color="auto" w:sz="4" w:space="0"/>
              <w:left w:val="nil"/>
              <w:bottom w:val="single" w:color="auto" w:sz="4" w:space="0"/>
              <w:right w:val="single" w:color="auto" w:sz="4" w:space="0"/>
            </w:tcBorders>
            <w:vAlign w:val="center"/>
          </w:tcPr>
          <w:p>
            <w:pPr>
              <w:adjustRightInd w:val="0"/>
              <w:snapToGrid w:val="0"/>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备注</w:t>
            </w:r>
          </w:p>
        </w:tc>
      </w:tr>
      <w:tr>
        <w:tblPrEx>
          <w:tblCellMar>
            <w:top w:w="0" w:type="dxa"/>
            <w:left w:w="108" w:type="dxa"/>
            <w:bottom w:w="0" w:type="dxa"/>
            <w:right w:w="108" w:type="dxa"/>
          </w:tblCellMar>
        </w:tblPrEx>
        <w:trPr>
          <w:trHeight w:val="397" w:hRule="atLeast"/>
          <w:jc w:val="center"/>
        </w:trPr>
        <w:tc>
          <w:tcPr>
            <w:tcW w:w="1248" w:type="dxa"/>
            <w:tcBorders>
              <w:top w:val="single" w:color="auto" w:sz="4" w:space="0"/>
              <w:left w:val="single" w:color="auto" w:sz="4" w:space="0"/>
              <w:bottom w:val="single" w:color="auto" w:sz="4" w:space="0"/>
              <w:right w:val="single" w:color="auto" w:sz="4" w:space="0"/>
            </w:tcBorders>
            <w:vAlign w:val="center"/>
          </w:tcPr>
          <w:p>
            <w:pPr>
              <w:widowControl/>
              <w:numPr>
                <w:ilvl w:val="0"/>
                <w:numId w:val="1"/>
              </w:numPr>
              <w:jc w:val="center"/>
              <w:rPr>
                <w:rFonts w:asciiTheme="minorEastAsia" w:hAnsiTheme="minorEastAsia" w:eastAsiaTheme="minorEastAsia" w:cstheme="minorEastAsia"/>
                <w:kern w:val="0"/>
                <w:sz w:val="18"/>
                <w:szCs w:val="18"/>
              </w:rPr>
            </w:pPr>
          </w:p>
        </w:tc>
        <w:tc>
          <w:tcPr>
            <w:tcW w:w="4276" w:type="dxa"/>
            <w:tcBorders>
              <w:top w:val="single" w:color="auto" w:sz="4" w:space="0"/>
              <w:left w:val="single" w:color="auto" w:sz="4" w:space="0"/>
              <w:bottom w:val="single" w:color="auto" w:sz="4" w:space="0"/>
              <w:right w:val="nil"/>
            </w:tcBorders>
          </w:tcPr>
          <w:p>
            <w:pP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color w:val="000000"/>
                <w:sz w:val="18"/>
                <w:szCs w:val="18"/>
              </w:rPr>
              <w:t>氯化岗位操作规程</w:t>
            </w:r>
          </w:p>
        </w:tc>
        <w:tc>
          <w:tcPr>
            <w:tcW w:w="1701" w:type="dxa"/>
            <w:tcBorders>
              <w:top w:val="single" w:color="auto" w:sz="4" w:space="0"/>
              <w:left w:val="single" w:color="auto" w:sz="4" w:space="0"/>
              <w:bottom w:val="single" w:color="auto" w:sz="4" w:space="0"/>
              <w:right w:val="nil"/>
            </w:tcBorders>
            <w:vAlign w:val="center"/>
          </w:tcPr>
          <w:p>
            <w:pPr>
              <w:adjustRightInd w:val="0"/>
              <w:snapToGrid w:val="0"/>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2021年10月</w:t>
            </w:r>
          </w:p>
        </w:tc>
        <w:tc>
          <w:tcPr>
            <w:tcW w:w="1417"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heme="minorEastAsia" w:hAnsiTheme="minorEastAsia" w:eastAsiaTheme="minorEastAsia" w:cstheme="minorEastAsia"/>
                <w:kern w:val="0"/>
                <w:sz w:val="18"/>
                <w:szCs w:val="18"/>
              </w:rPr>
            </w:pPr>
          </w:p>
        </w:tc>
      </w:tr>
      <w:tr>
        <w:tblPrEx>
          <w:tblCellMar>
            <w:top w:w="0" w:type="dxa"/>
            <w:left w:w="108" w:type="dxa"/>
            <w:bottom w:w="0" w:type="dxa"/>
            <w:right w:w="108" w:type="dxa"/>
          </w:tblCellMar>
        </w:tblPrEx>
        <w:trPr>
          <w:trHeight w:val="397" w:hRule="atLeast"/>
          <w:jc w:val="center"/>
        </w:trPr>
        <w:tc>
          <w:tcPr>
            <w:tcW w:w="1248" w:type="dxa"/>
            <w:tcBorders>
              <w:top w:val="single" w:color="auto" w:sz="4" w:space="0"/>
              <w:left w:val="single" w:color="auto" w:sz="4" w:space="0"/>
              <w:bottom w:val="single" w:color="auto" w:sz="4" w:space="0"/>
              <w:right w:val="single" w:color="auto" w:sz="4" w:space="0"/>
            </w:tcBorders>
            <w:vAlign w:val="center"/>
          </w:tcPr>
          <w:p>
            <w:pPr>
              <w:widowControl/>
              <w:numPr>
                <w:ilvl w:val="0"/>
                <w:numId w:val="1"/>
              </w:numPr>
              <w:jc w:val="center"/>
              <w:rPr>
                <w:rFonts w:asciiTheme="minorEastAsia" w:hAnsiTheme="minorEastAsia" w:eastAsiaTheme="minorEastAsia" w:cstheme="minorEastAsia"/>
                <w:kern w:val="0"/>
                <w:sz w:val="18"/>
                <w:szCs w:val="18"/>
              </w:rPr>
            </w:pPr>
          </w:p>
        </w:tc>
        <w:tc>
          <w:tcPr>
            <w:tcW w:w="4276" w:type="dxa"/>
            <w:tcBorders>
              <w:top w:val="single" w:color="auto" w:sz="4" w:space="0"/>
              <w:left w:val="single" w:color="auto" w:sz="4" w:space="0"/>
              <w:bottom w:val="single" w:color="auto" w:sz="4" w:space="0"/>
              <w:right w:val="nil"/>
            </w:tcBorders>
          </w:tcPr>
          <w:p>
            <w:pP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sz w:val="18"/>
                <w:szCs w:val="18"/>
              </w:rPr>
              <w:t>精馏岗位操作规程</w:t>
            </w:r>
          </w:p>
        </w:tc>
        <w:tc>
          <w:tcPr>
            <w:tcW w:w="1701" w:type="dxa"/>
            <w:tcBorders>
              <w:top w:val="single" w:color="auto" w:sz="4" w:space="0"/>
              <w:left w:val="single" w:color="auto" w:sz="4" w:space="0"/>
              <w:bottom w:val="single" w:color="auto" w:sz="4" w:space="0"/>
              <w:right w:val="nil"/>
            </w:tcBorders>
            <w:vAlign w:val="center"/>
          </w:tcPr>
          <w:p>
            <w:pPr>
              <w:adjustRightInd w:val="0"/>
              <w:snapToGrid w:val="0"/>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2021年10月</w:t>
            </w:r>
          </w:p>
        </w:tc>
        <w:tc>
          <w:tcPr>
            <w:tcW w:w="1417"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heme="minorEastAsia" w:hAnsiTheme="minorEastAsia" w:eastAsiaTheme="minorEastAsia" w:cstheme="minorEastAsia"/>
                <w:kern w:val="0"/>
                <w:sz w:val="18"/>
                <w:szCs w:val="18"/>
              </w:rPr>
            </w:pPr>
          </w:p>
        </w:tc>
      </w:tr>
      <w:tr>
        <w:tblPrEx>
          <w:tblCellMar>
            <w:top w:w="0" w:type="dxa"/>
            <w:left w:w="108" w:type="dxa"/>
            <w:bottom w:w="0" w:type="dxa"/>
            <w:right w:w="108" w:type="dxa"/>
          </w:tblCellMar>
        </w:tblPrEx>
        <w:trPr>
          <w:trHeight w:val="397" w:hRule="atLeast"/>
          <w:jc w:val="center"/>
        </w:trPr>
        <w:tc>
          <w:tcPr>
            <w:tcW w:w="1248" w:type="dxa"/>
            <w:tcBorders>
              <w:top w:val="single" w:color="auto" w:sz="4" w:space="0"/>
              <w:left w:val="single" w:color="auto" w:sz="4" w:space="0"/>
              <w:bottom w:val="single" w:color="auto" w:sz="4" w:space="0"/>
              <w:right w:val="single" w:color="auto" w:sz="4" w:space="0"/>
            </w:tcBorders>
            <w:vAlign w:val="center"/>
          </w:tcPr>
          <w:p>
            <w:pPr>
              <w:widowControl/>
              <w:numPr>
                <w:ilvl w:val="0"/>
                <w:numId w:val="1"/>
              </w:numPr>
              <w:jc w:val="center"/>
              <w:rPr>
                <w:rFonts w:asciiTheme="minorEastAsia" w:hAnsiTheme="minorEastAsia" w:eastAsiaTheme="minorEastAsia" w:cstheme="minorEastAsia"/>
                <w:kern w:val="0"/>
                <w:sz w:val="18"/>
                <w:szCs w:val="18"/>
              </w:rPr>
            </w:pPr>
          </w:p>
        </w:tc>
        <w:tc>
          <w:tcPr>
            <w:tcW w:w="4276" w:type="dxa"/>
            <w:tcBorders>
              <w:top w:val="single" w:color="auto" w:sz="4" w:space="0"/>
              <w:left w:val="single" w:color="auto" w:sz="4" w:space="0"/>
              <w:bottom w:val="single" w:color="auto" w:sz="4" w:space="0"/>
              <w:right w:val="nil"/>
            </w:tcBorders>
          </w:tcPr>
          <w:p>
            <w:pP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sz w:val="18"/>
                <w:szCs w:val="18"/>
              </w:rPr>
              <w:t>水解岗位操作规程</w:t>
            </w:r>
          </w:p>
        </w:tc>
        <w:tc>
          <w:tcPr>
            <w:tcW w:w="1701" w:type="dxa"/>
            <w:tcBorders>
              <w:top w:val="single" w:color="auto" w:sz="4" w:space="0"/>
              <w:left w:val="single" w:color="auto" w:sz="4" w:space="0"/>
              <w:bottom w:val="single" w:color="auto" w:sz="4" w:space="0"/>
              <w:right w:val="nil"/>
            </w:tcBorders>
            <w:vAlign w:val="center"/>
          </w:tcPr>
          <w:p>
            <w:pPr>
              <w:adjustRightInd w:val="0"/>
              <w:snapToGrid w:val="0"/>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2021年10月</w:t>
            </w:r>
          </w:p>
        </w:tc>
        <w:tc>
          <w:tcPr>
            <w:tcW w:w="1417"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heme="minorEastAsia" w:hAnsiTheme="minorEastAsia" w:eastAsiaTheme="minorEastAsia" w:cstheme="minorEastAsia"/>
                <w:kern w:val="0"/>
                <w:sz w:val="18"/>
                <w:szCs w:val="18"/>
              </w:rPr>
            </w:pPr>
          </w:p>
        </w:tc>
      </w:tr>
      <w:tr>
        <w:tblPrEx>
          <w:tblCellMar>
            <w:top w:w="0" w:type="dxa"/>
            <w:left w:w="108" w:type="dxa"/>
            <w:bottom w:w="0" w:type="dxa"/>
            <w:right w:w="108" w:type="dxa"/>
          </w:tblCellMar>
        </w:tblPrEx>
        <w:trPr>
          <w:trHeight w:val="397" w:hRule="atLeast"/>
          <w:jc w:val="center"/>
        </w:trPr>
        <w:tc>
          <w:tcPr>
            <w:tcW w:w="1248" w:type="dxa"/>
            <w:tcBorders>
              <w:top w:val="single" w:color="auto" w:sz="4" w:space="0"/>
              <w:left w:val="single" w:color="auto" w:sz="4" w:space="0"/>
              <w:bottom w:val="single" w:color="auto" w:sz="4" w:space="0"/>
              <w:right w:val="single" w:color="auto" w:sz="4" w:space="0"/>
            </w:tcBorders>
            <w:vAlign w:val="center"/>
          </w:tcPr>
          <w:p>
            <w:pPr>
              <w:widowControl/>
              <w:numPr>
                <w:ilvl w:val="0"/>
                <w:numId w:val="1"/>
              </w:numPr>
              <w:jc w:val="center"/>
              <w:rPr>
                <w:rFonts w:asciiTheme="minorEastAsia" w:hAnsiTheme="minorEastAsia" w:eastAsiaTheme="minorEastAsia" w:cstheme="minorEastAsia"/>
                <w:kern w:val="0"/>
                <w:sz w:val="18"/>
                <w:szCs w:val="18"/>
              </w:rPr>
            </w:pPr>
            <w:bookmarkStart w:id="80" w:name="_Toc523396137"/>
          </w:p>
        </w:tc>
        <w:tc>
          <w:tcPr>
            <w:tcW w:w="4276" w:type="dxa"/>
            <w:tcBorders>
              <w:top w:val="single" w:color="auto" w:sz="4" w:space="0"/>
              <w:left w:val="single" w:color="auto" w:sz="4" w:space="0"/>
              <w:bottom w:val="single" w:color="auto" w:sz="4" w:space="0"/>
              <w:right w:val="nil"/>
            </w:tcBorders>
          </w:tcPr>
          <w:p>
            <w:pPr>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盐酸吸收岗位操作规程</w:t>
            </w:r>
          </w:p>
        </w:tc>
        <w:tc>
          <w:tcPr>
            <w:tcW w:w="1701" w:type="dxa"/>
            <w:tcBorders>
              <w:top w:val="single" w:color="auto" w:sz="4" w:space="0"/>
              <w:left w:val="single" w:color="auto" w:sz="4" w:space="0"/>
              <w:bottom w:val="single" w:color="auto" w:sz="4" w:space="0"/>
              <w:right w:val="nil"/>
            </w:tcBorders>
            <w:vAlign w:val="center"/>
          </w:tcPr>
          <w:p>
            <w:pPr>
              <w:adjustRightInd w:val="0"/>
              <w:snapToGrid w:val="0"/>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2021年10月</w:t>
            </w:r>
          </w:p>
        </w:tc>
        <w:tc>
          <w:tcPr>
            <w:tcW w:w="1417"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heme="minorEastAsia" w:hAnsiTheme="minorEastAsia" w:eastAsiaTheme="minorEastAsia" w:cstheme="minorEastAsia"/>
                <w:kern w:val="0"/>
                <w:sz w:val="18"/>
                <w:szCs w:val="18"/>
              </w:rPr>
            </w:pPr>
          </w:p>
        </w:tc>
      </w:tr>
      <w:tr>
        <w:tblPrEx>
          <w:tblCellMar>
            <w:top w:w="0" w:type="dxa"/>
            <w:left w:w="108" w:type="dxa"/>
            <w:bottom w:w="0" w:type="dxa"/>
            <w:right w:w="108" w:type="dxa"/>
          </w:tblCellMar>
        </w:tblPrEx>
        <w:trPr>
          <w:trHeight w:val="397" w:hRule="atLeast"/>
          <w:jc w:val="center"/>
        </w:trPr>
        <w:tc>
          <w:tcPr>
            <w:tcW w:w="1248" w:type="dxa"/>
            <w:tcBorders>
              <w:top w:val="single" w:color="auto" w:sz="4" w:space="0"/>
              <w:left w:val="single" w:color="auto" w:sz="4" w:space="0"/>
              <w:bottom w:val="single" w:color="auto" w:sz="4" w:space="0"/>
              <w:right w:val="single" w:color="auto" w:sz="4" w:space="0"/>
            </w:tcBorders>
            <w:vAlign w:val="center"/>
          </w:tcPr>
          <w:p>
            <w:pPr>
              <w:widowControl/>
              <w:numPr>
                <w:ilvl w:val="0"/>
                <w:numId w:val="1"/>
              </w:numPr>
              <w:jc w:val="center"/>
              <w:rPr>
                <w:rFonts w:asciiTheme="minorEastAsia" w:hAnsiTheme="minorEastAsia" w:eastAsiaTheme="minorEastAsia" w:cstheme="minorEastAsia"/>
                <w:kern w:val="0"/>
                <w:sz w:val="18"/>
                <w:szCs w:val="18"/>
              </w:rPr>
            </w:pPr>
          </w:p>
        </w:tc>
        <w:tc>
          <w:tcPr>
            <w:tcW w:w="4276" w:type="dxa"/>
            <w:tcBorders>
              <w:top w:val="single" w:color="auto" w:sz="4" w:space="0"/>
              <w:left w:val="single" w:color="auto" w:sz="4" w:space="0"/>
              <w:bottom w:val="single" w:color="auto" w:sz="4" w:space="0"/>
              <w:right w:val="nil"/>
            </w:tcBorders>
          </w:tcPr>
          <w:p>
            <w:pPr>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离心泵检修岗位操作规程</w:t>
            </w:r>
          </w:p>
        </w:tc>
        <w:tc>
          <w:tcPr>
            <w:tcW w:w="1701" w:type="dxa"/>
            <w:tcBorders>
              <w:top w:val="single" w:color="auto" w:sz="4" w:space="0"/>
              <w:left w:val="single" w:color="auto" w:sz="4" w:space="0"/>
              <w:bottom w:val="single" w:color="auto" w:sz="4" w:space="0"/>
              <w:right w:val="nil"/>
            </w:tcBorders>
            <w:vAlign w:val="center"/>
          </w:tcPr>
          <w:p>
            <w:pPr>
              <w:adjustRightInd w:val="0"/>
              <w:snapToGrid w:val="0"/>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2021年10月</w:t>
            </w:r>
          </w:p>
        </w:tc>
        <w:tc>
          <w:tcPr>
            <w:tcW w:w="1417"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heme="minorEastAsia" w:hAnsiTheme="minorEastAsia" w:eastAsiaTheme="minorEastAsia" w:cstheme="minorEastAsia"/>
                <w:kern w:val="0"/>
                <w:sz w:val="18"/>
                <w:szCs w:val="18"/>
              </w:rPr>
            </w:pPr>
          </w:p>
        </w:tc>
      </w:tr>
      <w:tr>
        <w:tblPrEx>
          <w:tblCellMar>
            <w:top w:w="0" w:type="dxa"/>
            <w:left w:w="108" w:type="dxa"/>
            <w:bottom w:w="0" w:type="dxa"/>
            <w:right w:w="108" w:type="dxa"/>
          </w:tblCellMar>
        </w:tblPrEx>
        <w:trPr>
          <w:trHeight w:val="397" w:hRule="atLeast"/>
          <w:jc w:val="center"/>
        </w:trPr>
        <w:tc>
          <w:tcPr>
            <w:tcW w:w="1248" w:type="dxa"/>
            <w:tcBorders>
              <w:top w:val="single" w:color="auto" w:sz="4" w:space="0"/>
              <w:left w:val="single" w:color="auto" w:sz="4" w:space="0"/>
              <w:bottom w:val="single" w:color="auto" w:sz="4" w:space="0"/>
              <w:right w:val="single" w:color="auto" w:sz="4" w:space="0"/>
            </w:tcBorders>
            <w:vAlign w:val="center"/>
          </w:tcPr>
          <w:p>
            <w:pPr>
              <w:widowControl/>
              <w:numPr>
                <w:ilvl w:val="0"/>
                <w:numId w:val="1"/>
              </w:numPr>
              <w:jc w:val="center"/>
              <w:rPr>
                <w:rFonts w:asciiTheme="minorEastAsia" w:hAnsiTheme="minorEastAsia" w:eastAsiaTheme="minorEastAsia" w:cstheme="minorEastAsia"/>
                <w:kern w:val="0"/>
                <w:sz w:val="18"/>
                <w:szCs w:val="18"/>
              </w:rPr>
            </w:pPr>
          </w:p>
        </w:tc>
        <w:tc>
          <w:tcPr>
            <w:tcW w:w="4276" w:type="dxa"/>
            <w:tcBorders>
              <w:top w:val="single" w:color="auto" w:sz="4" w:space="0"/>
              <w:left w:val="single" w:color="auto" w:sz="4" w:space="0"/>
              <w:bottom w:val="single" w:color="auto" w:sz="4" w:space="0"/>
              <w:right w:val="nil"/>
            </w:tcBorders>
          </w:tcPr>
          <w:p>
            <w:pPr>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化验室岗位分析规程</w:t>
            </w:r>
          </w:p>
        </w:tc>
        <w:tc>
          <w:tcPr>
            <w:tcW w:w="1701" w:type="dxa"/>
            <w:tcBorders>
              <w:top w:val="single" w:color="auto" w:sz="4" w:space="0"/>
              <w:left w:val="single" w:color="auto" w:sz="4" w:space="0"/>
              <w:bottom w:val="single" w:color="auto" w:sz="4" w:space="0"/>
              <w:right w:val="nil"/>
            </w:tcBorders>
            <w:vAlign w:val="center"/>
          </w:tcPr>
          <w:p>
            <w:pPr>
              <w:adjustRightInd w:val="0"/>
              <w:snapToGrid w:val="0"/>
              <w:jc w:val="center"/>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2021年10月</w:t>
            </w:r>
          </w:p>
        </w:tc>
        <w:tc>
          <w:tcPr>
            <w:tcW w:w="1417"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heme="minorEastAsia" w:hAnsiTheme="minorEastAsia" w:eastAsiaTheme="minorEastAsia" w:cstheme="minorEastAsia"/>
                <w:kern w:val="0"/>
                <w:sz w:val="18"/>
                <w:szCs w:val="18"/>
              </w:rPr>
            </w:pPr>
          </w:p>
        </w:tc>
      </w:tr>
    </w:tbl>
    <w:p>
      <w:pPr>
        <w:pStyle w:val="3"/>
        <w:spacing w:before="0" w:after="0" w:line="25" w:lineRule="atLeast"/>
        <w:rPr>
          <w:rFonts w:ascii="宋体" w:hAnsi="宋体"/>
          <w:sz w:val="28"/>
          <w:szCs w:val="28"/>
        </w:rPr>
      </w:pPr>
      <w:r>
        <w:rPr>
          <w:rFonts w:hint="eastAsia" w:ascii="宋体" w:hAnsi="宋体"/>
          <w:sz w:val="28"/>
          <w:szCs w:val="28"/>
        </w:rPr>
        <w:t>（二）安全生产责任制落实及考核、奖惩情况</w:t>
      </w:r>
      <w:bookmarkEnd w:id="78"/>
      <w:bookmarkEnd w:id="79"/>
      <w:bookmarkEnd w:id="80"/>
    </w:p>
    <w:p>
      <w:pPr>
        <w:spacing w:line="300" w:lineRule="auto"/>
        <w:ind w:firstLine="480" w:firstLineChars="200"/>
        <w:rPr>
          <w:rFonts w:ascii="宋体" w:hAnsi="宋体"/>
          <w:kern w:val="0"/>
          <w:sz w:val="24"/>
        </w:rPr>
      </w:pPr>
      <w:r>
        <w:rPr>
          <w:rFonts w:hint="eastAsia" w:ascii="宋体" w:hAnsi="宋体"/>
          <w:kern w:val="0"/>
          <w:sz w:val="24"/>
        </w:rPr>
        <w:t>1、</w:t>
      </w:r>
      <w:r>
        <w:rPr>
          <w:rFonts w:hint="eastAsia" w:ascii="宋体" w:hAnsi="宋体"/>
          <w:kern w:val="0"/>
          <w:sz w:val="24"/>
          <w:lang w:eastAsia="zh-CN"/>
        </w:rPr>
        <w:t>全员</w:t>
      </w:r>
      <w:r>
        <w:rPr>
          <w:rFonts w:hint="eastAsia" w:ascii="宋体" w:hAnsi="宋体"/>
          <w:kern w:val="0"/>
          <w:sz w:val="24"/>
        </w:rPr>
        <w:t>安全生产责任制修订</w:t>
      </w:r>
    </w:p>
    <w:p>
      <w:pPr>
        <w:spacing w:line="300" w:lineRule="auto"/>
        <w:ind w:firstLine="480" w:firstLineChars="200"/>
        <w:rPr>
          <w:rFonts w:ascii="宋体" w:hAnsi="宋体"/>
          <w:kern w:val="0"/>
          <w:sz w:val="24"/>
        </w:rPr>
      </w:pPr>
      <w:r>
        <w:rPr>
          <w:rFonts w:hint="eastAsia" w:ascii="宋体" w:hAnsi="宋体"/>
          <w:kern w:val="0"/>
          <w:sz w:val="24"/>
        </w:rPr>
        <w:t>公司建立健全了从总经理到员工、从安全生产领导小组到班组、岗位的安全生产责任制。</w:t>
      </w:r>
    </w:p>
    <w:p>
      <w:pPr>
        <w:spacing w:line="300" w:lineRule="auto"/>
        <w:ind w:firstLine="480" w:firstLineChars="200"/>
        <w:rPr>
          <w:rFonts w:ascii="宋体" w:hAnsi="宋体"/>
          <w:kern w:val="0"/>
          <w:sz w:val="24"/>
        </w:rPr>
      </w:pPr>
      <w:r>
        <w:rPr>
          <w:rFonts w:hint="eastAsia" w:ascii="宋体" w:hAnsi="宋体"/>
          <w:kern w:val="0"/>
          <w:sz w:val="24"/>
        </w:rPr>
        <w:t>2、</w:t>
      </w:r>
      <w:r>
        <w:rPr>
          <w:rFonts w:hint="eastAsia" w:ascii="宋体" w:hAnsi="宋体"/>
          <w:kern w:val="0"/>
          <w:sz w:val="24"/>
          <w:lang w:eastAsia="zh-CN"/>
        </w:rPr>
        <w:t>全员</w:t>
      </w:r>
      <w:r>
        <w:rPr>
          <w:rFonts w:hint="eastAsia" w:ascii="宋体" w:hAnsi="宋体"/>
          <w:kern w:val="0"/>
          <w:sz w:val="24"/>
        </w:rPr>
        <w:t>安全生产责任制的落实</w:t>
      </w:r>
    </w:p>
    <w:p>
      <w:pPr>
        <w:spacing w:line="300" w:lineRule="auto"/>
        <w:ind w:firstLine="480" w:firstLineChars="200"/>
        <w:rPr>
          <w:rFonts w:ascii="宋体" w:hAnsi="宋体"/>
          <w:kern w:val="0"/>
          <w:sz w:val="24"/>
        </w:rPr>
      </w:pPr>
      <w:r>
        <w:rPr>
          <w:rFonts w:hint="eastAsia" w:ascii="宋体" w:hAnsi="宋体"/>
          <w:kern w:val="0"/>
          <w:sz w:val="24"/>
        </w:rPr>
        <w:t>每年年初，总经理与各个部门签订安全生产责任书、各个部门与员工签订安全生产书，形成了横向到边、纵向到底的安全责任体系，千斤重担大家挑，人人肩上有指标；全体总动员，人人参与，齐抓共管，确保了安全零事故的发生，为全年安全工作奠定了坚实基础。</w:t>
      </w:r>
    </w:p>
    <w:p>
      <w:pPr>
        <w:spacing w:line="300" w:lineRule="auto"/>
        <w:ind w:firstLine="480" w:firstLineChars="200"/>
        <w:rPr>
          <w:rFonts w:ascii="宋体" w:hAnsi="宋体"/>
          <w:kern w:val="0"/>
          <w:sz w:val="24"/>
        </w:rPr>
      </w:pPr>
      <w:r>
        <w:rPr>
          <w:rFonts w:hint="eastAsia" w:ascii="宋体" w:hAnsi="宋体"/>
          <w:kern w:val="0"/>
          <w:sz w:val="24"/>
        </w:rPr>
        <w:t>3、</w:t>
      </w:r>
      <w:r>
        <w:rPr>
          <w:rFonts w:hint="eastAsia" w:ascii="宋体" w:hAnsi="宋体"/>
          <w:kern w:val="0"/>
          <w:sz w:val="24"/>
          <w:lang w:eastAsia="zh-CN"/>
        </w:rPr>
        <w:t>全员</w:t>
      </w:r>
      <w:r>
        <w:rPr>
          <w:rFonts w:hint="eastAsia" w:ascii="宋体" w:hAnsi="宋体"/>
          <w:kern w:val="0"/>
          <w:sz w:val="24"/>
        </w:rPr>
        <w:t>安全生产责任制考核及奖惩</w:t>
      </w:r>
    </w:p>
    <w:p>
      <w:pPr>
        <w:pStyle w:val="3"/>
        <w:spacing w:before="0" w:after="0" w:line="300" w:lineRule="auto"/>
        <w:ind w:firstLine="480" w:firstLineChars="200"/>
        <w:rPr>
          <w:rFonts w:ascii="宋体" w:hAnsi="宋体"/>
          <w:b w:val="0"/>
          <w:bCs w:val="0"/>
          <w:kern w:val="0"/>
          <w:sz w:val="24"/>
          <w:szCs w:val="24"/>
        </w:rPr>
      </w:pPr>
      <w:bookmarkStart w:id="81" w:name="_Toc523396138"/>
      <w:r>
        <w:rPr>
          <w:rFonts w:hint="eastAsia" w:ascii="宋体" w:hAnsi="宋体"/>
          <w:b w:val="0"/>
          <w:bCs w:val="0"/>
          <w:kern w:val="0"/>
          <w:sz w:val="24"/>
          <w:szCs w:val="24"/>
        </w:rPr>
        <w:t>公司安全生产领导小组、安全生产管理部按照责任状条款对各部门逐月进行考核，考核情况进行公示，并在安全生产领导小组会议上进行通报，年底根据对安全责任制落实情况兑现奖惩；各单位根据岗位的不同，对员工逐月考核，年底兑现。</w:t>
      </w:r>
      <w:bookmarkEnd w:id="81"/>
    </w:p>
    <w:p>
      <w:pPr>
        <w:pStyle w:val="3"/>
        <w:spacing w:before="0" w:after="0" w:line="360" w:lineRule="auto"/>
        <w:rPr>
          <w:rFonts w:ascii="宋体" w:hAnsi="宋体"/>
          <w:sz w:val="28"/>
          <w:szCs w:val="28"/>
        </w:rPr>
      </w:pPr>
      <w:bookmarkStart w:id="82" w:name="_Toc523396139"/>
      <w:bookmarkStart w:id="83" w:name="_Toc15655"/>
      <w:bookmarkStart w:id="84" w:name="_Toc432195100"/>
      <w:r>
        <w:rPr>
          <w:rFonts w:hint="eastAsia" w:ascii="宋体" w:hAnsi="宋体"/>
          <w:sz w:val="28"/>
          <w:szCs w:val="28"/>
        </w:rPr>
        <w:t>（三）安全生产教育培训的组织及效果评估情况</w:t>
      </w:r>
      <w:bookmarkEnd w:id="82"/>
      <w:bookmarkEnd w:id="83"/>
      <w:bookmarkEnd w:id="84"/>
    </w:p>
    <w:p>
      <w:pPr>
        <w:spacing w:line="300" w:lineRule="auto"/>
        <w:ind w:firstLine="480" w:firstLineChars="200"/>
        <w:rPr>
          <w:rFonts w:ascii="宋体" w:hAnsi="宋体"/>
          <w:kern w:val="0"/>
          <w:sz w:val="24"/>
        </w:rPr>
      </w:pPr>
      <w:bookmarkStart w:id="85" w:name="_Toc432195101"/>
      <w:bookmarkStart w:id="86" w:name="_Toc15457"/>
      <w:r>
        <w:rPr>
          <w:rFonts w:hint="eastAsia" w:ascii="宋体" w:hAnsi="宋体"/>
          <w:kern w:val="0"/>
          <w:sz w:val="24"/>
        </w:rPr>
        <w:t>1、公司建立了安全教育培训制度，由安全生产管理部管安全教育培训，年初制度安全培训计划，根据安全培训计划进行安全培训教育、生产岗位职工的安全培训教育。</w:t>
      </w:r>
    </w:p>
    <w:p>
      <w:pPr>
        <w:spacing w:line="300" w:lineRule="auto"/>
        <w:ind w:firstLine="480" w:firstLineChars="200"/>
        <w:rPr>
          <w:rFonts w:ascii="宋体" w:hAnsi="宋体"/>
          <w:kern w:val="0"/>
          <w:sz w:val="24"/>
        </w:rPr>
      </w:pPr>
      <w:r>
        <w:rPr>
          <w:rFonts w:hint="eastAsia" w:ascii="宋体" w:hAnsi="宋体"/>
          <w:kern w:val="0"/>
          <w:sz w:val="24"/>
        </w:rPr>
        <w:t>2、公司安全生产管理部年初在制定培训计划前，对员工进行培训需求调查，根据员工需求制定切合实际的培训计划，经主要负责人签发生效，公司相关部门根据培训计划进行相关培训，培训后进行考核，考核不合格必须重新进行考核，只到合格为止。培训内容、签到，培训成绩保存归档。培训结束后，针对培训师资、培训质量、培训效果进行评价，根据评价，通知相关部门和人员在下一轮培训中加以改进，完善培训档案。安全生产管理部根据各部门培训计划，对培训实施过程进行监督检查。</w:t>
      </w:r>
    </w:p>
    <w:p>
      <w:pPr>
        <w:spacing w:line="300" w:lineRule="auto"/>
        <w:ind w:firstLine="480" w:firstLineChars="200"/>
        <w:rPr>
          <w:rFonts w:ascii="宋体" w:hAnsi="宋体"/>
          <w:kern w:val="0"/>
          <w:sz w:val="24"/>
        </w:rPr>
      </w:pPr>
      <w:r>
        <w:rPr>
          <w:rFonts w:hint="eastAsia" w:ascii="宋体" w:hAnsi="宋体"/>
          <w:kern w:val="0"/>
          <w:sz w:val="24"/>
        </w:rPr>
        <w:t>3、公司主要负责人、安全生产管理人员及特种作业人员(</w:t>
      </w:r>
      <w:r>
        <w:rPr>
          <w:rFonts w:ascii="宋体" w:hAnsi="宋体"/>
          <w:kern w:val="0"/>
          <w:sz w:val="24"/>
        </w:rPr>
        <w:t>“</w:t>
      </w:r>
      <w:r>
        <w:rPr>
          <w:rFonts w:hint="eastAsia" w:ascii="宋体" w:hAnsi="宋体"/>
          <w:kern w:val="0"/>
          <w:sz w:val="24"/>
        </w:rPr>
        <w:t>三项人员</w:t>
      </w:r>
      <w:r>
        <w:rPr>
          <w:rFonts w:ascii="宋体" w:hAnsi="宋体"/>
          <w:kern w:val="0"/>
          <w:sz w:val="24"/>
        </w:rPr>
        <w:t>”</w:t>
      </w:r>
      <w:r>
        <w:rPr>
          <w:rFonts w:hint="eastAsia" w:ascii="宋体" w:hAnsi="宋体"/>
          <w:kern w:val="0"/>
          <w:sz w:val="24"/>
        </w:rPr>
        <w:t>)安全教育培训由安科中心、质监局负责，培训经考核合格发证。除”三项人员“以外的从业人员的安全教育培训，严格按照《生产经营单位安全培训规定》（国家安监总局3号令 ）的要求，落实“初次安全培训时间不得少于</w:t>
      </w:r>
      <w:r>
        <w:rPr>
          <w:rFonts w:hint="eastAsia" w:ascii="宋体" w:hAnsi="宋体"/>
          <w:kern w:val="0"/>
          <w:sz w:val="24"/>
          <w:lang w:val="en-US" w:eastAsia="zh-CN"/>
        </w:rPr>
        <w:t>32</w:t>
      </w:r>
      <w:r>
        <w:rPr>
          <w:rFonts w:hint="eastAsia" w:ascii="宋体" w:hAnsi="宋体"/>
          <w:kern w:val="0"/>
          <w:sz w:val="24"/>
        </w:rPr>
        <w:t>学时，每年再培训时间不得少于12学时”的三级安全教育培训安排；转岗、复岗人员根据实际情况必须经过部门（车间）、班组的安全教育培训，并考核合格才能重新上岗。同时公司也采取”请进来“的方式邀请专家对公司“三项人员”和班组长以上的干部进行培训。</w:t>
      </w:r>
    </w:p>
    <w:p>
      <w:pPr>
        <w:spacing w:line="300" w:lineRule="auto"/>
        <w:ind w:firstLine="480" w:firstLineChars="200"/>
        <w:rPr>
          <w:rFonts w:ascii="宋体" w:hAnsi="宋体"/>
          <w:kern w:val="0"/>
          <w:sz w:val="24"/>
        </w:rPr>
      </w:pPr>
      <w:r>
        <w:rPr>
          <w:rFonts w:hint="eastAsia" w:ascii="宋体" w:hAnsi="宋体"/>
          <w:kern w:val="0"/>
          <w:sz w:val="24"/>
        </w:rPr>
        <w:t>4、企业新员工入厂必须进行三级安全教育，</w:t>
      </w:r>
      <w:r>
        <w:rPr>
          <w:rFonts w:hint="eastAsia" w:ascii="宋体" w:hAnsi="宋体"/>
          <w:kern w:val="0"/>
          <w:sz w:val="24"/>
          <w:lang w:eastAsia="zh-CN"/>
        </w:rPr>
        <w:t>安全培训时间不得少于</w:t>
      </w:r>
      <w:r>
        <w:rPr>
          <w:rFonts w:hint="eastAsia" w:ascii="宋体" w:hAnsi="宋体"/>
          <w:kern w:val="0"/>
          <w:sz w:val="24"/>
          <w:lang w:val="en-US" w:eastAsia="zh-CN"/>
        </w:rPr>
        <w:t>72学时，每年在培训的时间不得少于20学时。</w:t>
      </w:r>
      <w:r>
        <w:rPr>
          <w:rFonts w:hint="eastAsia" w:ascii="宋体" w:hAnsi="宋体"/>
          <w:kern w:val="0"/>
          <w:sz w:val="24"/>
        </w:rPr>
        <w:t>员工转岗都要进行车间级和班组级安全教育，公司级安全教育由安全生产管理部负责，介绍公司安全生产情况及安全生产基本知识，公司安全生产规章制度和劳动纪律，从业人员安全生产权利和义务，有关事故案例、事故应急救援、事故应急预案演练及防范措施等内容等。经考试合格后分配到车间。车间级安全教育由各车间负责，介绍车间的概况、生产工艺流程、主要设备的特点、本车间的危险区域，粉尘噪音的安全预防等。车间教育考试合格的员工分配到班组，由班组长负责，介绍本班组的安全生产情况，遵章守纪和岗位安全操作规程，岗位设备的危险点、安全操作技能，安全防护，劳动防护用品的使用，消防知识及应急措施等，安排专人带领进行实际操作。</w:t>
      </w:r>
    </w:p>
    <w:p>
      <w:pPr>
        <w:spacing w:line="300" w:lineRule="auto"/>
        <w:ind w:firstLine="480" w:firstLineChars="200"/>
        <w:rPr>
          <w:rFonts w:ascii="宋体" w:hAnsi="宋体"/>
          <w:kern w:val="0"/>
          <w:sz w:val="24"/>
        </w:rPr>
      </w:pPr>
      <w:r>
        <w:rPr>
          <w:rFonts w:hint="eastAsia" w:ascii="宋体" w:hAnsi="宋体"/>
          <w:kern w:val="0"/>
          <w:sz w:val="24"/>
        </w:rPr>
        <w:t>5、安全教育培训、安全检查、安全会议有记录、有计划，提高了全员的安全生产意识，保持历年来无重大安全事故发生，达到了安全生产的目标。每次培训结束后对培训的效果进行了评估，提出改进措施，制定培训效果评估报告，防止走过场，确保培训质量。</w:t>
      </w:r>
    </w:p>
    <w:p>
      <w:pPr>
        <w:pStyle w:val="3"/>
        <w:spacing w:before="0" w:after="0" w:line="360" w:lineRule="auto"/>
        <w:rPr>
          <w:rFonts w:ascii="宋体" w:hAnsi="宋体"/>
          <w:sz w:val="28"/>
          <w:szCs w:val="28"/>
        </w:rPr>
      </w:pPr>
      <w:bookmarkStart w:id="87" w:name="_Toc523396140"/>
      <w:r>
        <w:rPr>
          <w:rFonts w:hint="eastAsia" w:ascii="宋体" w:hAnsi="宋体"/>
          <w:sz w:val="28"/>
          <w:szCs w:val="28"/>
        </w:rPr>
        <w:t>（四）安全生产费用提取与使用情况</w:t>
      </w:r>
      <w:bookmarkEnd w:id="87"/>
    </w:p>
    <w:p>
      <w:pPr>
        <w:spacing w:line="300" w:lineRule="auto"/>
        <w:ind w:firstLine="480" w:firstLineChars="200"/>
        <w:rPr>
          <w:rFonts w:ascii="宋体" w:hAnsi="宋体"/>
          <w:sz w:val="24"/>
        </w:rPr>
      </w:pPr>
      <w:r>
        <w:rPr>
          <w:rFonts w:hint="eastAsia" w:ascii="宋体" w:hAnsi="宋体"/>
          <w:sz w:val="24"/>
        </w:rPr>
        <w:t>公司</w:t>
      </w:r>
      <w:r>
        <w:rPr>
          <w:rFonts w:hint="eastAsia" w:ascii="宋体" w:hAnsi="宋体"/>
          <w:kern w:val="0"/>
          <w:sz w:val="24"/>
        </w:rPr>
        <w:t>安全生产管理部</w:t>
      </w:r>
      <w:r>
        <w:rPr>
          <w:rFonts w:hint="eastAsia" w:ascii="宋体" w:hAnsi="宋体"/>
          <w:sz w:val="24"/>
        </w:rPr>
        <w:t>每年年底制定下一年度的安全生产费用使用计划，按照计划进行实施，严格遵照《企业安全生产费用提取和使用管理办法》（财企</w:t>
      </w:r>
      <w:r>
        <w:rPr>
          <w:rFonts w:hint="eastAsia" w:ascii="宋体" w:hAnsi="宋体"/>
          <w:sz w:val="24"/>
          <w:lang w:eastAsia="zh-CN"/>
        </w:rPr>
        <w:t>【</w:t>
      </w:r>
      <w:r>
        <w:rPr>
          <w:rFonts w:hint="eastAsia" w:ascii="宋体" w:hAnsi="宋体"/>
          <w:color w:val="auto"/>
          <w:sz w:val="24"/>
        </w:rPr>
        <w:t>20</w:t>
      </w:r>
      <w:r>
        <w:rPr>
          <w:rFonts w:hint="eastAsia" w:ascii="宋体" w:hAnsi="宋体"/>
          <w:color w:val="auto"/>
          <w:sz w:val="24"/>
          <w:lang w:val="en-US" w:eastAsia="zh-CN"/>
        </w:rPr>
        <w:t>22</w:t>
      </w:r>
      <w:r>
        <w:rPr>
          <w:rFonts w:hint="eastAsia" w:ascii="宋体" w:hAnsi="宋体"/>
          <w:sz w:val="24"/>
          <w:lang w:eastAsia="zh-CN"/>
        </w:rPr>
        <w:t>】</w:t>
      </w:r>
      <w:r>
        <w:rPr>
          <w:rFonts w:hint="eastAsia" w:ascii="宋体" w:hAnsi="宋体"/>
          <w:color w:val="auto"/>
          <w:sz w:val="24"/>
          <w:lang w:val="en-US" w:eastAsia="zh-CN"/>
        </w:rPr>
        <w:t>136</w:t>
      </w:r>
      <w:r>
        <w:rPr>
          <w:rFonts w:hint="eastAsia" w:ascii="宋体" w:hAnsi="宋体"/>
          <w:color w:val="auto"/>
          <w:sz w:val="24"/>
        </w:rPr>
        <w:t>号</w:t>
      </w:r>
      <w:r>
        <w:rPr>
          <w:rFonts w:hint="eastAsia" w:ascii="宋体" w:hAnsi="宋体"/>
          <w:sz w:val="24"/>
        </w:rPr>
        <w:t>）文件条款，参照危化行业提取标准进行实施，财务部建立安全生产费用的使用台账。</w:t>
      </w:r>
    </w:p>
    <w:p>
      <w:pPr>
        <w:spacing w:line="300" w:lineRule="auto"/>
        <w:ind w:firstLine="480" w:firstLineChars="200"/>
        <w:rPr>
          <w:rFonts w:ascii="宋体" w:hAnsi="宋体"/>
          <w:color w:val="auto"/>
          <w:sz w:val="24"/>
        </w:rPr>
      </w:pPr>
      <w:r>
        <w:rPr>
          <w:rFonts w:hint="eastAsia" w:ascii="宋体" w:hAnsi="宋体"/>
          <w:color w:val="auto"/>
          <w:sz w:val="24"/>
        </w:rPr>
        <w:t>上年公司营业收入1500</w:t>
      </w:r>
      <w:r>
        <w:rPr>
          <w:rFonts w:hint="eastAsia" w:ascii="宋体" w:hAnsi="宋体"/>
          <w:color w:val="auto"/>
          <w:kern w:val="0"/>
          <w:sz w:val="24"/>
        </w:rPr>
        <w:t>万元，根据</w:t>
      </w:r>
      <w:r>
        <w:rPr>
          <w:rFonts w:hint="eastAsia" w:ascii="宋体" w:hAnsi="宋体"/>
          <w:color w:val="auto"/>
          <w:sz w:val="24"/>
        </w:rPr>
        <w:t>《企业安全生产费用提取和使用管理办法》（财企</w:t>
      </w:r>
      <w:r>
        <w:rPr>
          <w:rFonts w:hint="eastAsia" w:ascii="宋体" w:hAnsi="宋体"/>
          <w:color w:val="auto"/>
          <w:sz w:val="24"/>
          <w:lang w:val="en-US" w:eastAsia="zh-CN"/>
        </w:rPr>
        <w:t>【</w:t>
      </w:r>
      <w:r>
        <w:rPr>
          <w:rFonts w:hint="eastAsia" w:ascii="宋体" w:hAnsi="宋体"/>
          <w:color w:val="auto"/>
          <w:sz w:val="24"/>
        </w:rPr>
        <w:t>20</w:t>
      </w:r>
      <w:r>
        <w:rPr>
          <w:rFonts w:hint="eastAsia" w:ascii="宋体" w:hAnsi="宋体"/>
          <w:color w:val="auto"/>
          <w:sz w:val="24"/>
          <w:lang w:val="en-US" w:eastAsia="zh-CN"/>
        </w:rPr>
        <w:t>22】136</w:t>
      </w:r>
      <w:r>
        <w:rPr>
          <w:rFonts w:hint="eastAsia" w:ascii="宋体" w:hAnsi="宋体"/>
          <w:color w:val="auto"/>
          <w:sz w:val="24"/>
        </w:rPr>
        <w:t>号）文件要求，全年安全费用提取额度为（10000000*4</w:t>
      </w:r>
      <w:r>
        <w:rPr>
          <w:rFonts w:hint="eastAsia" w:ascii="宋体" w:hAnsi="宋体"/>
          <w:color w:val="auto"/>
          <w:sz w:val="24"/>
          <w:lang w:val="en-US" w:eastAsia="zh-CN"/>
        </w:rPr>
        <w:t>.5</w:t>
      </w:r>
      <w:r>
        <w:rPr>
          <w:rFonts w:hint="eastAsia" w:ascii="宋体" w:hAnsi="宋体"/>
          <w:color w:val="auto"/>
          <w:sz w:val="24"/>
        </w:rPr>
        <w:t>%）=</w:t>
      </w:r>
      <w:r>
        <w:rPr>
          <w:rFonts w:hint="eastAsia" w:ascii="宋体" w:hAnsi="宋体"/>
          <w:color w:val="auto"/>
          <w:sz w:val="24"/>
          <w:lang w:val="en-US" w:eastAsia="zh-CN"/>
        </w:rPr>
        <w:t>45</w:t>
      </w:r>
      <w:r>
        <w:rPr>
          <w:rFonts w:hint="eastAsia" w:ascii="宋体" w:hAnsi="宋体"/>
          <w:color w:val="auto"/>
          <w:sz w:val="24"/>
        </w:rPr>
        <w:t>0000元，截止202</w:t>
      </w:r>
      <w:r>
        <w:rPr>
          <w:rFonts w:hint="eastAsia" w:ascii="宋体" w:hAnsi="宋体"/>
          <w:color w:val="auto"/>
          <w:sz w:val="24"/>
          <w:lang w:val="en-US" w:eastAsia="zh-CN"/>
        </w:rPr>
        <w:t>3</w:t>
      </w:r>
      <w:r>
        <w:rPr>
          <w:rFonts w:hint="eastAsia" w:ascii="宋体" w:hAnsi="宋体"/>
          <w:color w:val="auto"/>
          <w:sz w:val="24"/>
        </w:rPr>
        <w:t>年10月累计计提41.47万元，使用40万元。具体使用情况如下：</w:t>
      </w:r>
    </w:p>
    <w:p>
      <w:pPr>
        <w:spacing w:line="300" w:lineRule="auto"/>
        <w:ind w:firstLine="480" w:firstLineChars="200"/>
        <w:rPr>
          <w:rFonts w:ascii="宋体" w:hAnsi="宋体"/>
          <w:sz w:val="24"/>
        </w:rPr>
      </w:pPr>
      <w:r>
        <w:rPr>
          <w:rFonts w:hint="eastAsia" w:ascii="宋体" w:hAnsi="宋体"/>
          <w:sz w:val="24"/>
        </w:rPr>
        <w:t>1、完善、改造和维护安全防护设施设备支出(不含“三同时”要求初期投入的安全设施)，包括车间、库房等作业场所的监控、监测、通风、防晒、调温、防火、灭火、防爆、泄压、消毒、中和、防潮、防雷、防静电、防腐、防渗漏、套管等支出：12                                                                                                                                                                                                                                                                                                                                                                                                                                                                                                               万元；</w:t>
      </w:r>
    </w:p>
    <w:p>
      <w:pPr>
        <w:spacing w:line="300" w:lineRule="auto"/>
        <w:ind w:firstLine="480" w:firstLineChars="200"/>
        <w:rPr>
          <w:rFonts w:ascii="宋体" w:hAnsi="宋体"/>
          <w:sz w:val="24"/>
        </w:rPr>
      </w:pPr>
      <w:r>
        <w:rPr>
          <w:rFonts w:hint="eastAsia" w:ascii="宋体" w:hAnsi="宋体"/>
          <w:sz w:val="24"/>
        </w:rPr>
        <w:t>2、配备、维护、保养应急救援器材、设备支出和应急演练支出：1.5万元；</w:t>
      </w:r>
    </w:p>
    <w:p>
      <w:pPr>
        <w:spacing w:line="300" w:lineRule="auto"/>
        <w:ind w:firstLine="480" w:firstLineChars="200"/>
        <w:rPr>
          <w:rFonts w:ascii="宋体" w:hAnsi="宋体"/>
          <w:sz w:val="24"/>
        </w:rPr>
      </w:pPr>
      <w:r>
        <w:rPr>
          <w:rFonts w:hint="eastAsia" w:ascii="宋体" w:hAnsi="宋体"/>
          <w:sz w:val="24"/>
        </w:rPr>
        <w:t>3、开展重大危险源和事故隐患评估、监控和整改支出：2.5万元；</w:t>
      </w:r>
    </w:p>
    <w:p>
      <w:pPr>
        <w:spacing w:line="300" w:lineRule="auto"/>
        <w:ind w:firstLine="480" w:firstLineChars="200"/>
        <w:rPr>
          <w:rFonts w:ascii="宋体" w:hAnsi="宋体"/>
          <w:sz w:val="24"/>
        </w:rPr>
      </w:pPr>
      <w:r>
        <w:rPr>
          <w:rFonts w:hint="eastAsia" w:ascii="宋体" w:hAnsi="宋体"/>
          <w:sz w:val="24"/>
        </w:rPr>
        <w:t>4、安全生产检查、评价(不包括新建、改建、扩建项目安全评价)、咨询和标准化建设支出：8万元；</w:t>
      </w:r>
    </w:p>
    <w:p>
      <w:pPr>
        <w:spacing w:line="300" w:lineRule="auto"/>
        <w:ind w:firstLine="480" w:firstLineChars="200"/>
        <w:rPr>
          <w:rFonts w:ascii="宋体" w:hAnsi="宋体"/>
          <w:sz w:val="24"/>
        </w:rPr>
      </w:pPr>
      <w:r>
        <w:rPr>
          <w:rFonts w:hint="eastAsia" w:ascii="宋体" w:hAnsi="宋体"/>
          <w:sz w:val="24"/>
        </w:rPr>
        <w:t>5、配备和更新现场作业人员安全防护用品支出：1万元；</w:t>
      </w:r>
    </w:p>
    <w:p>
      <w:pPr>
        <w:spacing w:line="300" w:lineRule="auto"/>
        <w:ind w:firstLine="480" w:firstLineChars="200"/>
        <w:rPr>
          <w:rFonts w:ascii="宋体" w:hAnsi="宋体"/>
          <w:sz w:val="24"/>
        </w:rPr>
      </w:pPr>
      <w:r>
        <w:rPr>
          <w:rFonts w:hint="eastAsia" w:ascii="宋体" w:hAnsi="宋体"/>
          <w:sz w:val="24"/>
        </w:rPr>
        <w:t>6、安全生产宣传、教育、培训支出：2.5万元；</w:t>
      </w:r>
    </w:p>
    <w:p>
      <w:pPr>
        <w:spacing w:line="300" w:lineRule="auto"/>
        <w:ind w:firstLine="480" w:firstLineChars="200"/>
        <w:rPr>
          <w:rFonts w:ascii="宋体" w:hAnsi="宋体"/>
          <w:sz w:val="24"/>
        </w:rPr>
      </w:pPr>
      <w:r>
        <w:rPr>
          <w:rFonts w:hint="eastAsia" w:ascii="宋体" w:hAnsi="宋体"/>
          <w:sz w:val="24"/>
        </w:rPr>
        <w:t>7、安全生产适用的新技术、新标准、新工艺、新装备的推广应用支出：4万元；</w:t>
      </w:r>
    </w:p>
    <w:p>
      <w:pPr>
        <w:spacing w:line="300" w:lineRule="auto"/>
        <w:ind w:firstLine="480" w:firstLineChars="200"/>
        <w:rPr>
          <w:rFonts w:ascii="宋体" w:hAnsi="宋体"/>
          <w:sz w:val="24"/>
        </w:rPr>
      </w:pPr>
      <w:r>
        <w:rPr>
          <w:rFonts w:hint="eastAsia" w:ascii="宋体" w:hAnsi="宋体"/>
          <w:sz w:val="24"/>
        </w:rPr>
        <w:t>8、安全设施及特种设备检测检验，主要为压力容器及安全阀检测等支出：1.5万元；</w:t>
      </w:r>
    </w:p>
    <w:p>
      <w:pPr>
        <w:spacing w:line="300" w:lineRule="auto"/>
        <w:ind w:firstLine="480" w:firstLineChars="200"/>
        <w:rPr>
          <w:rFonts w:ascii="宋体" w:hAnsi="宋体"/>
          <w:sz w:val="24"/>
        </w:rPr>
      </w:pPr>
      <w:r>
        <w:rPr>
          <w:rFonts w:hint="eastAsia" w:ascii="宋体" w:hAnsi="宋体"/>
          <w:sz w:val="24"/>
        </w:rPr>
        <w:t>9、其他与安全生产直接相关的支出：7万元。</w:t>
      </w:r>
    </w:p>
    <w:p>
      <w:pPr>
        <w:spacing w:line="300" w:lineRule="auto"/>
        <w:ind w:firstLine="480" w:firstLineChars="200"/>
        <w:rPr>
          <w:rFonts w:ascii="宋体" w:hAnsi="宋体"/>
          <w:kern w:val="0"/>
          <w:sz w:val="24"/>
        </w:rPr>
      </w:pPr>
      <w:r>
        <w:rPr>
          <w:rFonts w:hint="eastAsia" w:ascii="宋体" w:hAnsi="宋体"/>
          <w:sz w:val="24"/>
        </w:rPr>
        <w:t>公司的安全生产费用根据“确保需要、规范管理”的原则进行提取和使用，确保每一分钱都用在刀刃上，用在实际的整改上，根据近几年的投入情况来看，公司隐患少了，设备新了，员工的安全意识提高了。总之，公司的安全生产费用投入确保公司安全生产顺利进行。</w:t>
      </w:r>
    </w:p>
    <w:bookmarkEnd w:id="85"/>
    <w:bookmarkEnd w:id="86"/>
    <w:p>
      <w:pPr>
        <w:pStyle w:val="3"/>
        <w:spacing w:before="0" w:after="0" w:line="25" w:lineRule="atLeast"/>
        <w:rPr>
          <w:rFonts w:ascii="宋体" w:hAnsi="宋体"/>
          <w:sz w:val="28"/>
          <w:szCs w:val="28"/>
        </w:rPr>
      </w:pPr>
      <w:bookmarkStart w:id="88" w:name="_Toc523396141"/>
      <w:bookmarkStart w:id="89" w:name="_Toc11381"/>
      <w:bookmarkStart w:id="90" w:name="_Toc432195102"/>
      <w:r>
        <w:rPr>
          <w:rFonts w:hint="eastAsia" w:ascii="宋体" w:hAnsi="宋体"/>
          <w:sz w:val="28"/>
          <w:szCs w:val="28"/>
        </w:rPr>
        <w:t>（五）重点部位或重要危险源、重大危险源、职业危害辨识和控制情况</w:t>
      </w:r>
      <w:bookmarkEnd w:id="88"/>
      <w:bookmarkEnd w:id="89"/>
      <w:bookmarkEnd w:id="90"/>
    </w:p>
    <w:p>
      <w:pPr>
        <w:widowControl/>
        <w:spacing w:line="360" w:lineRule="auto"/>
        <w:ind w:firstLine="480" w:firstLineChars="200"/>
        <w:textAlignment w:val="baseline"/>
        <w:rPr>
          <w:rFonts w:ascii="宋体" w:hAnsi="宋体"/>
          <w:sz w:val="24"/>
        </w:rPr>
      </w:pPr>
      <w:r>
        <w:rPr>
          <w:rFonts w:hint="eastAsia" w:ascii="宋体" w:hAnsi="宋体"/>
          <w:sz w:val="24"/>
        </w:rPr>
        <w:t>1、公司参照《生产过程危险和有害因素分类与代码》(GB/T13861-2009）（按导致事故和职业危害的直接原因分类），本该企业可能存在的主要危险、有害因素有4大类，15中类;</w:t>
      </w:r>
    </w:p>
    <w:p>
      <w:pPr>
        <w:widowControl/>
        <w:spacing w:line="360" w:lineRule="auto"/>
        <w:textAlignment w:val="baseline"/>
        <w:rPr>
          <w:rFonts w:ascii="宋体" w:hAnsi="宋体"/>
          <w:sz w:val="24"/>
        </w:rPr>
      </w:pPr>
      <w:r>
        <w:rPr>
          <w:rFonts w:hint="eastAsia" w:ascii="宋体" w:hAnsi="宋体"/>
          <w:sz w:val="24"/>
        </w:rPr>
        <w:t xml:space="preserve">    （1）第一大类：人的因素——心理、生理性；行为性；</w:t>
      </w:r>
    </w:p>
    <w:p>
      <w:pPr>
        <w:widowControl/>
        <w:spacing w:line="360" w:lineRule="auto"/>
        <w:textAlignment w:val="baseline"/>
        <w:rPr>
          <w:rFonts w:ascii="宋体" w:hAnsi="宋体"/>
          <w:sz w:val="24"/>
        </w:rPr>
      </w:pPr>
      <w:r>
        <w:rPr>
          <w:rFonts w:hint="eastAsia" w:ascii="宋体" w:hAnsi="宋体"/>
          <w:sz w:val="24"/>
        </w:rPr>
        <w:t xml:space="preserve">    （2）第二大类：物的因素——物理性；化学性；生物性；</w:t>
      </w:r>
    </w:p>
    <w:p>
      <w:pPr>
        <w:widowControl/>
        <w:spacing w:line="360" w:lineRule="auto"/>
        <w:textAlignment w:val="baseline"/>
        <w:rPr>
          <w:rFonts w:ascii="宋体" w:hAnsi="宋体"/>
          <w:sz w:val="24"/>
        </w:rPr>
      </w:pPr>
      <w:r>
        <w:rPr>
          <w:rFonts w:hint="eastAsia" w:ascii="宋体" w:hAnsi="宋体"/>
          <w:sz w:val="24"/>
        </w:rPr>
        <w:t xml:space="preserve">    （3）第三大类：环境因素——室内作业场所环境不良；室外作业场所环境不良；其他作业环境不良；</w:t>
      </w:r>
    </w:p>
    <w:p>
      <w:pPr>
        <w:widowControl/>
        <w:spacing w:line="360" w:lineRule="auto"/>
        <w:textAlignment w:val="baseline"/>
        <w:rPr>
          <w:rFonts w:ascii="宋体" w:hAnsi="宋体"/>
          <w:sz w:val="24"/>
        </w:rPr>
      </w:pPr>
      <w:r>
        <w:rPr>
          <w:rFonts w:hint="eastAsia" w:ascii="宋体" w:hAnsi="宋体"/>
          <w:sz w:val="24"/>
        </w:rPr>
        <w:t xml:space="preserve">    （4）第四大类：管理因素——职业安全卫生组织机构不健全；职业安全卫生责任制未落实；职业安全卫生管理规章制度不完善；职业安全卫生投入不足；职业健康管理不完善；其它管理因素缺陷。</w:t>
      </w:r>
    </w:p>
    <w:p>
      <w:pPr>
        <w:widowControl/>
        <w:spacing w:line="360" w:lineRule="auto"/>
        <w:textAlignment w:val="baseline"/>
        <w:rPr>
          <w:rFonts w:ascii="宋体" w:hAnsi="宋体"/>
          <w:sz w:val="24"/>
        </w:rPr>
      </w:pPr>
      <w:r>
        <w:rPr>
          <w:rFonts w:hint="eastAsia" w:ascii="宋体" w:hAnsi="宋体"/>
          <w:sz w:val="24"/>
        </w:rPr>
        <w:t xml:space="preserve">     2、根据《企业职工伤亡事故分类》（GB6441-1986）（按事故类型[20类]），本该企业可能存在的主要危险、有害因素可能有：</w:t>
      </w:r>
    </w:p>
    <w:p>
      <w:pPr>
        <w:widowControl/>
        <w:numPr>
          <w:ilvl w:val="0"/>
          <w:numId w:val="2"/>
        </w:numPr>
        <w:spacing w:line="360" w:lineRule="auto"/>
        <w:ind w:firstLine="480" w:firstLineChars="200"/>
        <w:textAlignment w:val="baseline"/>
        <w:rPr>
          <w:rFonts w:ascii="宋体" w:hAnsi="宋体"/>
          <w:sz w:val="24"/>
        </w:rPr>
      </w:pPr>
      <w:r>
        <w:rPr>
          <w:rFonts w:hint="eastAsia" w:ascii="宋体" w:hAnsi="宋体"/>
          <w:sz w:val="24"/>
        </w:rPr>
        <w:t>物体打击，指失控物体的惯性力造成的人身伤害事故。</w:t>
      </w:r>
    </w:p>
    <w:p>
      <w:pPr>
        <w:widowControl/>
        <w:numPr>
          <w:ilvl w:val="0"/>
          <w:numId w:val="2"/>
        </w:numPr>
        <w:spacing w:line="360" w:lineRule="auto"/>
        <w:ind w:firstLine="480" w:firstLineChars="200"/>
        <w:textAlignment w:val="baseline"/>
        <w:rPr>
          <w:rFonts w:ascii="宋体" w:hAnsi="宋体"/>
          <w:sz w:val="24"/>
        </w:rPr>
      </w:pPr>
      <w:r>
        <w:rPr>
          <w:rFonts w:hint="eastAsia" w:ascii="宋体" w:hAnsi="宋体"/>
          <w:sz w:val="24"/>
        </w:rPr>
        <w:t>车辆伤害，指本企业机动车辆引起的机械伤害事故。</w:t>
      </w:r>
    </w:p>
    <w:p>
      <w:pPr>
        <w:widowControl/>
        <w:numPr>
          <w:ilvl w:val="0"/>
          <w:numId w:val="2"/>
        </w:numPr>
        <w:spacing w:line="360" w:lineRule="auto"/>
        <w:ind w:firstLine="480" w:firstLineChars="200"/>
        <w:textAlignment w:val="baseline"/>
        <w:rPr>
          <w:rFonts w:ascii="宋体" w:hAnsi="宋体"/>
          <w:sz w:val="24"/>
        </w:rPr>
      </w:pPr>
      <w:r>
        <w:rPr>
          <w:rFonts w:hint="eastAsia" w:ascii="宋体" w:hAnsi="宋体"/>
          <w:sz w:val="24"/>
        </w:rPr>
        <w:t>机械伤害，指机械设备与工具引起的绞、辗、碰、割戳、切等伤害。各生产线各种机床、旋转、传动设备、起重设备等都有可能因安全防护装置失灵或误操作造成伤害。工艺设备暴露运转部分也有发生机械伤害的可能。高台、悬空部位易发生坠落事故。或者由于现场管理不严，制度不健全，违章作业等导致机械伤害。</w:t>
      </w:r>
    </w:p>
    <w:p>
      <w:pPr>
        <w:widowControl/>
        <w:numPr>
          <w:ilvl w:val="0"/>
          <w:numId w:val="2"/>
        </w:numPr>
        <w:spacing w:line="360" w:lineRule="auto"/>
        <w:ind w:firstLine="480" w:firstLineChars="200"/>
        <w:textAlignment w:val="baseline"/>
        <w:rPr>
          <w:rFonts w:ascii="宋体" w:hAnsi="宋体"/>
          <w:sz w:val="24"/>
        </w:rPr>
      </w:pPr>
      <w:r>
        <w:rPr>
          <w:rFonts w:hint="eastAsia" w:ascii="宋体" w:hAnsi="宋体"/>
          <w:sz w:val="24"/>
        </w:rPr>
        <w:t>灼烫，指高温物体烫伤，化学灼伤、物理灼伤。</w:t>
      </w:r>
    </w:p>
    <w:p>
      <w:pPr>
        <w:widowControl/>
        <w:numPr>
          <w:ilvl w:val="0"/>
          <w:numId w:val="2"/>
        </w:numPr>
        <w:spacing w:line="300" w:lineRule="auto"/>
        <w:ind w:firstLine="480" w:firstLineChars="200"/>
        <w:textAlignment w:val="baseline"/>
        <w:rPr>
          <w:rFonts w:ascii="宋体" w:hAnsi="宋体"/>
          <w:sz w:val="24"/>
        </w:rPr>
      </w:pPr>
      <w:r>
        <w:rPr>
          <w:rFonts w:hint="eastAsia" w:ascii="宋体" w:hAnsi="宋体"/>
          <w:sz w:val="24"/>
        </w:rPr>
        <w:t>锅炉爆炸，指锅炉发生的物理性爆炸事故。</w:t>
      </w:r>
    </w:p>
    <w:p>
      <w:pPr>
        <w:widowControl/>
        <w:numPr>
          <w:ilvl w:val="0"/>
          <w:numId w:val="2"/>
        </w:numPr>
        <w:spacing w:line="360" w:lineRule="auto"/>
        <w:ind w:firstLine="480" w:firstLineChars="200"/>
        <w:textAlignment w:val="baseline"/>
        <w:rPr>
          <w:rFonts w:ascii="宋体" w:hAnsi="宋体"/>
          <w:sz w:val="24"/>
        </w:rPr>
      </w:pPr>
      <w:r>
        <w:rPr>
          <w:rFonts w:hint="eastAsia" w:ascii="宋体" w:hAnsi="宋体"/>
          <w:sz w:val="24"/>
        </w:rPr>
        <w:t>起重伤害，指从事起重作业时引起的机械伤害事故。</w:t>
      </w:r>
    </w:p>
    <w:p>
      <w:pPr>
        <w:widowControl/>
        <w:numPr>
          <w:ilvl w:val="0"/>
          <w:numId w:val="2"/>
        </w:numPr>
        <w:spacing w:line="360" w:lineRule="auto"/>
        <w:ind w:firstLine="480" w:firstLineChars="200"/>
        <w:textAlignment w:val="baseline"/>
        <w:rPr>
          <w:rFonts w:ascii="宋体" w:hAnsi="宋体"/>
          <w:sz w:val="24"/>
        </w:rPr>
      </w:pPr>
      <w:r>
        <w:rPr>
          <w:rFonts w:hint="eastAsia" w:ascii="宋体" w:hAnsi="宋体"/>
          <w:sz w:val="24"/>
        </w:rPr>
        <w:t>触电（含雷击），指电流流经人体，造成生理伤害的事故。在生产过程中，各类大小电动机、电气设备、控制设备、检修设备、起重设备、照明、风扇等。电气设备有漏电、触电、短路、过电流、过电压、雷击、电磁场、电极效应、接触不良、摩擦等多种电危害。都有可能造成人员伤亡，设备损坏，或者引发火灾。</w:t>
      </w:r>
    </w:p>
    <w:p>
      <w:pPr>
        <w:widowControl/>
        <w:numPr>
          <w:ilvl w:val="0"/>
          <w:numId w:val="2"/>
        </w:numPr>
        <w:spacing w:line="360" w:lineRule="auto"/>
        <w:ind w:firstLine="480" w:firstLineChars="200"/>
        <w:textAlignment w:val="baseline"/>
        <w:rPr>
          <w:rFonts w:ascii="宋体" w:hAnsi="宋体"/>
          <w:sz w:val="24"/>
        </w:rPr>
      </w:pPr>
      <w:r>
        <w:rPr>
          <w:rFonts w:hint="eastAsia" w:ascii="宋体" w:hAnsi="宋体"/>
          <w:sz w:val="24"/>
        </w:rPr>
        <w:t>火灾，指造成人身伤亡的企业火灾事故。</w:t>
      </w:r>
    </w:p>
    <w:p>
      <w:pPr>
        <w:widowControl/>
        <w:numPr>
          <w:ilvl w:val="0"/>
          <w:numId w:val="2"/>
        </w:numPr>
        <w:spacing w:line="360" w:lineRule="auto"/>
        <w:ind w:firstLine="480" w:firstLineChars="200"/>
        <w:textAlignment w:val="baseline"/>
        <w:rPr>
          <w:rFonts w:ascii="宋体" w:hAnsi="宋体"/>
          <w:sz w:val="24"/>
        </w:rPr>
      </w:pPr>
      <w:r>
        <w:rPr>
          <w:rFonts w:hint="eastAsia" w:ascii="宋体" w:hAnsi="宋体"/>
          <w:sz w:val="24"/>
        </w:rPr>
        <w:t>高处坠落，指出于危险重力势能差引起的伤害事故。</w:t>
      </w:r>
    </w:p>
    <w:p>
      <w:pPr>
        <w:widowControl/>
        <w:numPr>
          <w:ilvl w:val="0"/>
          <w:numId w:val="2"/>
        </w:numPr>
        <w:spacing w:line="360" w:lineRule="auto"/>
        <w:ind w:firstLine="480" w:firstLineChars="200"/>
        <w:textAlignment w:val="baseline"/>
        <w:rPr>
          <w:rFonts w:ascii="宋体" w:hAnsi="宋体"/>
          <w:sz w:val="24"/>
        </w:rPr>
      </w:pPr>
      <w:r>
        <w:rPr>
          <w:rFonts w:hint="eastAsia" w:ascii="宋体" w:hAnsi="宋体"/>
          <w:sz w:val="24"/>
        </w:rPr>
        <w:t>其他伤害。包括扭伤、跌伤等。</w:t>
      </w:r>
    </w:p>
    <w:p>
      <w:pPr>
        <w:widowControl/>
        <w:spacing w:line="360" w:lineRule="auto"/>
        <w:textAlignment w:val="baseline"/>
        <w:rPr>
          <w:rFonts w:ascii="宋体" w:hAnsi="宋体"/>
          <w:sz w:val="24"/>
        </w:rPr>
      </w:pPr>
      <w:r>
        <w:rPr>
          <w:rFonts w:hint="eastAsia" w:ascii="宋体" w:hAnsi="宋体"/>
          <w:sz w:val="24"/>
        </w:rPr>
        <w:t xml:space="preserve">    3、根据《职业病危害因素分类目录》，本企业可能存在如下职业病危害因素：</w:t>
      </w:r>
    </w:p>
    <w:p>
      <w:pPr>
        <w:widowControl/>
        <w:spacing w:line="360" w:lineRule="auto"/>
        <w:ind w:firstLine="480" w:firstLineChars="200"/>
        <w:textAlignment w:val="baseline"/>
        <w:rPr>
          <w:rFonts w:ascii="宋体" w:hAnsi="宋体"/>
          <w:sz w:val="24"/>
        </w:rPr>
      </w:pPr>
      <w:r>
        <w:rPr>
          <w:rFonts w:hint="eastAsia" w:ascii="宋体" w:hAnsi="宋体"/>
          <w:sz w:val="24"/>
        </w:rPr>
        <w:t>（1）粉尘类职业危害（包含以下种类的粉尘）：粉尘。</w:t>
      </w:r>
    </w:p>
    <w:p>
      <w:pPr>
        <w:widowControl/>
        <w:numPr>
          <w:ilvl w:val="0"/>
          <w:numId w:val="3"/>
        </w:numPr>
        <w:spacing w:line="360" w:lineRule="auto"/>
        <w:ind w:firstLine="480" w:firstLineChars="200"/>
        <w:textAlignment w:val="baseline"/>
        <w:rPr>
          <w:rFonts w:ascii="宋体" w:hAnsi="宋体"/>
          <w:sz w:val="24"/>
        </w:rPr>
      </w:pPr>
      <w:r>
        <w:rPr>
          <w:rFonts w:hint="eastAsia" w:ascii="宋体" w:hAnsi="宋体"/>
          <w:sz w:val="24"/>
        </w:rPr>
        <w:t>物理类职业危害：噪声、高温</w:t>
      </w:r>
    </w:p>
    <w:p>
      <w:pPr>
        <w:widowControl/>
        <w:spacing w:line="360" w:lineRule="auto"/>
        <w:textAlignment w:val="baseline"/>
        <w:rPr>
          <w:rFonts w:ascii="宋体" w:hAnsi="宋体"/>
          <w:sz w:val="24"/>
        </w:rPr>
      </w:pPr>
      <w:r>
        <w:rPr>
          <w:rFonts w:hint="eastAsia" w:ascii="宋体" w:hAnsi="宋体"/>
          <w:sz w:val="24"/>
        </w:rPr>
        <w:t xml:space="preserve">  4、公司根据《危险化学品重大危险源辨识》（</w:t>
      </w:r>
      <w:r>
        <w:rPr>
          <w:rFonts w:ascii="宋体" w:hAnsi="宋体"/>
          <w:sz w:val="24"/>
        </w:rPr>
        <w:t>GB18218-20</w:t>
      </w:r>
      <w:r>
        <w:rPr>
          <w:rFonts w:hint="eastAsia" w:ascii="宋体" w:hAnsi="宋体"/>
          <w:sz w:val="24"/>
        </w:rPr>
        <w:t>18）对危险源进行了辨识，经计算，</w:t>
      </w:r>
      <w:r>
        <w:rPr>
          <w:rFonts w:hint="eastAsia" w:ascii="宋体" w:hAnsi="宋体" w:cs="宋体"/>
          <w:sz w:val="24"/>
        </w:rPr>
        <w:t>本</w:t>
      </w:r>
      <w:r>
        <w:rPr>
          <w:rFonts w:ascii="宋体" w:hAnsi="宋体" w:cs="宋体"/>
          <w:sz w:val="24"/>
        </w:rPr>
        <w:t>公司生产车间、氯气库构成危险化学品重大危险 源，其他生产、储存单元未构成危险化学品重大危险源</w:t>
      </w:r>
      <w:r>
        <w:rPr>
          <w:rFonts w:hint="eastAsia" w:ascii="宋体" w:hAnsi="宋体"/>
          <w:sz w:val="24"/>
        </w:rPr>
        <w:t>。详情见附件10。</w:t>
      </w:r>
    </w:p>
    <w:p>
      <w:pPr>
        <w:widowControl/>
        <w:spacing w:line="360" w:lineRule="auto"/>
        <w:textAlignment w:val="baseline"/>
        <w:rPr>
          <w:rFonts w:ascii="宋体" w:hAnsi="宋体"/>
          <w:sz w:val="24"/>
        </w:rPr>
      </w:pPr>
      <w:r>
        <w:rPr>
          <w:rFonts w:hint="eastAsia" w:ascii="宋体" w:hAnsi="宋体"/>
          <w:sz w:val="24"/>
        </w:rPr>
        <w:t xml:space="preserve">     综上所述，本公司</w:t>
      </w:r>
      <w:r>
        <w:rPr>
          <w:rFonts w:ascii="宋体" w:hAnsi="宋体" w:cs="宋体"/>
          <w:sz w:val="24"/>
        </w:rPr>
        <w:t>公司生产过程中存在的危险有害因素主要为：火灾爆炸、中毒、灼烫、起重伤害、触电、机械伤害、高处坠落、物体打击、车辆伤害、坍塌、淹溺 和职业危害。</w:t>
      </w:r>
      <w:r>
        <w:rPr>
          <w:rFonts w:hint="eastAsia" w:ascii="宋体" w:hAnsi="宋体"/>
          <w:sz w:val="24"/>
        </w:rPr>
        <w:t xml:space="preserve">以上各种危险有害因素构成企业的危险源，我们将采取各种措施，加以防范。 </w:t>
      </w:r>
    </w:p>
    <w:p>
      <w:pPr>
        <w:pStyle w:val="3"/>
        <w:spacing w:before="0" w:after="0" w:line="25" w:lineRule="atLeast"/>
        <w:rPr>
          <w:rFonts w:ascii="宋体" w:hAnsi="宋体"/>
          <w:sz w:val="28"/>
          <w:szCs w:val="28"/>
        </w:rPr>
      </w:pPr>
      <w:bookmarkStart w:id="91" w:name="_Toc432195103"/>
      <w:bookmarkStart w:id="92" w:name="_Toc17631"/>
      <w:bookmarkStart w:id="93" w:name="_Toc523396142"/>
      <w:r>
        <w:rPr>
          <w:rFonts w:hint="eastAsia" w:ascii="宋体" w:hAnsi="宋体"/>
          <w:sz w:val="28"/>
          <w:szCs w:val="28"/>
        </w:rPr>
        <w:t>（六）安全生产隐患排查治理效果情况</w:t>
      </w:r>
      <w:bookmarkEnd w:id="91"/>
      <w:bookmarkEnd w:id="92"/>
      <w:bookmarkEnd w:id="93"/>
    </w:p>
    <w:p>
      <w:pPr>
        <w:widowControl/>
        <w:spacing w:line="360" w:lineRule="auto"/>
        <w:ind w:firstLine="480" w:firstLineChars="200"/>
        <w:textAlignment w:val="baseline"/>
        <w:rPr>
          <w:rFonts w:ascii="宋体" w:hAnsi="宋体"/>
          <w:sz w:val="24"/>
        </w:rPr>
      </w:pPr>
      <w:bookmarkStart w:id="94" w:name="_Toc27617"/>
      <w:bookmarkStart w:id="95" w:name="_Toc432195104"/>
      <w:r>
        <w:rPr>
          <w:rFonts w:hint="eastAsia" w:ascii="宋体" w:hAnsi="宋体"/>
          <w:sz w:val="24"/>
        </w:rPr>
        <w:t>根据行业隐患排查标准，公司结合实际情况，编制了公司隐患检查标准清单，现场细化到部门、车间、班组；明确要求安全生产管理部每月排查一次基础管理，部门、车间、班组现场每周排查一次，并交检查结果报安全生产管理部存档备案。</w:t>
      </w:r>
    </w:p>
    <w:p>
      <w:pPr>
        <w:widowControl/>
        <w:spacing w:line="360" w:lineRule="auto"/>
        <w:ind w:firstLine="480" w:firstLineChars="200"/>
        <w:textAlignment w:val="baseline"/>
        <w:rPr>
          <w:rFonts w:ascii="宋体" w:hAnsi="宋体"/>
          <w:sz w:val="24"/>
        </w:rPr>
      </w:pPr>
      <w:r>
        <w:rPr>
          <w:rFonts w:hint="eastAsia" w:ascii="宋体" w:hAnsi="宋体"/>
          <w:sz w:val="24"/>
        </w:rPr>
        <w:t>安环部为了让员工明白如何排查隐患，组织全员进行隐患检查标准的培训，并对其培训效果进行评价，让培训人员掌握隐患要点，了解排查方法，确保部门、车间、班组能够排查出隐患。</w:t>
      </w:r>
    </w:p>
    <w:p>
      <w:pPr>
        <w:widowControl/>
        <w:spacing w:line="300" w:lineRule="auto"/>
        <w:ind w:firstLine="480" w:firstLineChars="200"/>
        <w:textAlignment w:val="baseline"/>
        <w:rPr>
          <w:rFonts w:ascii="宋体"/>
          <w:sz w:val="24"/>
        </w:rPr>
      </w:pPr>
      <w:r>
        <w:rPr>
          <w:rFonts w:hint="eastAsia" w:ascii="宋体" w:hAnsi="宋体"/>
          <w:sz w:val="24"/>
        </w:rPr>
        <w:t>每个</w:t>
      </w:r>
      <w:r>
        <w:rPr>
          <w:rFonts w:hint="eastAsia" w:hAnsi="宋体"/>
          <w:sz w:val="24"/>
        </w:rPr>
        <w:t>部门、</w:t>
      </w:r>
      <w:r>
        <w:rPr>
          <w:rFonts w:hint="eastAsia" w:ascii="宋体" w:hAnsi="宋体"/>
          <w:sz w:val="24"/>
        </w:rPr>
        <w:t>车间、班组根据隐患周期进行自检上报，公司专人录入</w:t>
      </w:r>
      <w:r>
        <w:rPr>
          <w:rFonts w:hint="eastAsia" w:ascii="宋体" w:hAnsi="宋体"/>
          <w:sz w:val="24"/>
          <w:lang w:eastAsia="zh-CN"/>
        </w:rPr>
        <w:t>存档</w:t>
      </w:r>
      <w:r>
        <w:rPr>
          <w:rFonts w:hint="eastAsia" w:ascii="宋体" w:hAnsi="宋体"/>
          <w:sz w:val="24"/>
        </w:rPr>
        <w:t>。根据</w:t>
      </w:r>
      <w:r>
        <w:rPr>
          <w:rFonts w:hint="eastAsia" w:hAnsi="宋体"/>
          <w:sz w:val="24"/>
        </w:rPr>
        <w:t>部门、</w:t>
      </w:r>
      <w:r>
        <w:rPr>
          <w:rFonts w:hint="eastAsia" w:ascii="宋体" w:hAnsi="宋体"/>
          <w:sz w:val="24"/>
        </w:rPr>
        <w:t>车间、班组</w:t>
      </w:r>
      <w:r>
        <w:rPr>
          <w:rFonts w:hint="eastAsia" w:ascii="宋体"/>
          <w:sz w:val="24"/>
        </w:rPr>
        <w:t>的实际情况，隐患排查每周不少于1次。对查出的隐患必须按照“五落实”的要求立即进行整改，并将整改情况上报公司</w:t>
      </w:r>
      <w:r>
        <w:rPr>
          <w:rFonts w:hint="eastAsia" w:ascii="宋体"/>
          <w:sz w:val="24"/>
          <w:lang w:eastAsia="zh-CN"/>
        </w:rPr>
        <w:t>安环部</w:t>
      </w:r>
      <w:r>
        <w:rPr>
          <w:rFonts w:hint="eastAsia" w:ascii="宋体"/>
          <w:sz w:val="24"/>
        </w:rPr>
        <w:t>，</w:t>
      </w:r>
      <w:r>
        <w:rPr>
          <w:rFonts w:hint="eastAsia" w:ascii="宋体"/>
          <w:sz w:val="24"/>
          <w:lang w:eastAsia="zh-CN"/>
        </w:rPr>
        <w:t>完成闭环并</w:t>
      </w:r>
      <w:r>
        <w:rPr>
          <w:rFonts w:hint="eastAsia" w:ascii="宋体" w:hAnsi="宋体"/>
          <w:sz w:val="24"/>
        </w:rPr>
        <w:t>存档备案</w:t>
      </w:r>
      <w:r>
        <w:rPr>
          <w:rFonts w:hint="eastAsia" w:ascii="宋体"/>
          <w:sz w:val="24"/>
        </w:rPr>
        <w:t>。</w:t>
      </w:r>
    </w:p>
    <w:p>
      <w:pPr>
        <w:widowControl/>
        <w:spacing w:line="360" w:lineRule="auto"/>
        <w:ind w:firstLine="480" w:firstLineChars="200"/>
        <w:textAlignment w:val="baseline"/>
        <w:rPr>
          <w:sz w:val="24"/>
          <w:highlight w:val="yellow"/>
        </w:rPr>
      </w:pPr>
      <w:r>
        <w:rPr>
          <w:rFonts w:hint="eastAsia" w:hAnsi="宋体"/>
          <w:sz w:val="24"/>
        </w:rPr>
        <w:t>202</w:t>
      </w:r>
      <w:r>
        <w:rPr>
          <w:rFonts w:hint="eastAsia" w:hAnsi="宋体"/>
          <w:sz w:val="24"/>
          <w:lang w:val="en-US" w:eastAsia="zh-CN"/>
        </w:rPr>
        <w:t>3</w:t>
      </w:r>
      <w:r>
        <w:rPr>
          <w:rFonts w:hAnsi="宋体"/>
          <w:sz w:val="24"/>
        </w:rPr>
        <w:t>年</w:t>
      </w:r>
      <w:r>
        <w:rPr>
          <w:rFonts w:hint="eastAsia" w:hAnsi="宋体"/>
          <w:sz w:val="24"/>
        </w:rPr>
        <w:t>1月至10月公司安全</w:t>
      </w:r>
      <w:r>
        <w:rPr>
          <w:rFonts w:hAnsi="宋体"/>
          <w:sz w:val="24"/>
        </w:rPr>
        <w:t>绩效评估得分</w:t>
      </w:r>
      <w:r>
        <w:rPr>
          <w:rFonts w:hint="eastAsia" w:hAnsi="宋体"/>
          <w:sz w:val="24"/>
        </w:rPr>
        <w:t>在90</w:t>
      </w:r>
      <w:r>
        <w:rPr>
          <w:rFonts w:hAnsi="宋体"/>
          <w:sz w:val="24"/>
        </w:rPr>
        <w:t>分</w:t>
      </w:r>
      <w:r>
        <w:rPr>
          <w:rFonts w:hint="eastAsia" w:hAnsi="宋体"/>
          <w:sz w:val="24"/>
        </w:rPr>
        <w:t>以上，达到一类标准。</w:t>
      </w:r>
    </w:p>
    <w:p>
      <w:pPr>
        <w:widowControl/>
        <w:spacing w:line="300" w:lineRule="auto"/>
        <w:ind w:firstLine="480" w:firstLineChars="200"/>
        <w:textAlignment w:val="baseline"/>
        <w:rPr>
          <w:rFonts w:ascii="宋体"/>
          <w:sz w:val="24"/>
        </w:rPr>
      </w:pPr>
    </w:p>
    <w:p>
      <w:pPr>
        <w:pStyle w:val="3"/>
        <w:spacing w:before="0" w:after="0" w:line="25" w:lineRule="atLeast"/>
        <w:rPr>
          <w:rFonts w:ascii="宋体" w:hAnsi="宋体"/>
          <w:sz w:val="28"/>
          <w:szCs w:val="28"/>
        </w:rPr>
      </w:pPr>
      <w:bookmarkStart w:id="96" w:name="_Toc523396143"/>
      <w:r>
        <w:rPr>
          <w:rFonts w:hint="eastAsia" w:ascii="宋体" w:hAnsi="宋体"/>
          <w:sz w:val="28"/>
          <w:szCs w:val="28"/>
        </w:rPr>
        <w:t>（七）安全生产责任险缴纳情况</w:t>
      </w:r>
      <w:bookmarkEnd w:id="94"/>
      <w:bookmarkEnd w:id="95"/>
      <w:bookmarkEnd w:id="96"/>
    </w:p>
    <w:p>
      <w:pPr>
        <w:widowControl/>
        <w:spacing w:line="360" w:lineRule="auto"/>
        <w:ind w:firstLine="480" w:firstLineChars="200"/>
        <w:textAlignment w:val="baseline"/>
        <w:rPr>
          <w:rFonts w:ascii="宋体" w:hAnsi="宋体"/>
          <w:sz w:val="24"/>
        </w:rPr>
      </w:pPr>
      <w:r>
        <w:rPr>
          <w:rFonts w:hint="eastAsia" w:ascii="宋体" w:hAnsi="宋体"/>
          <w:sz w:val="24"/>
        </w:rPr>
        <w:t>公司严格遵照《湖北省人民政府关于进一步强化制度建设确保安全生产的决定》（鄂政发〔2013〕34号）缴纳安全生产责任险。详情见附件五。</w:t>
      </w:r>
    </w:p>
    <w:p>
      <w:pPr>
        <w:pStyle w:val="3"/>
        <w:spacing w:before="0" w:after="0" w:line="25" w:lineRule="atLeast"/>
        <w:rPr>
          <w:rFonts w:ascii="宋体" w:hAnsi="宋体"/>
          <w:sz w:val="28"/>
          <w:szCs w:val="28"/>
        </w:rPr>
      </w:pPr>
      <w:bookmarkStart w:id="97" w:name="_Toc523396144"/>
      <w:bookmarkStart w:id="98" w:name="_Toc432195105"/>
      <w:bookmarkStart w:id="99" w:name="_Toc26502"/>
      <w:r>
        <w:rPr>
          <w:rFonts w:hint="eastAsia" w:ascii="宋体" w:hAnsi="宋体"/>
          <w:sz w:val="28"/>
          <w:szCs w:val="28"/>
        </w:rPr>
        <w:t>（八）应急管理情况</w:t>
      </w:r>
      <w:bookmarkEnd w:id="97"/>
      <w:bookmarkEnd w:id="98"/>
      <w:bookmarkEnd w:id="99"/>
    </w:p>
    <w:p>
      <w:pPr>
        <w:pStyle w:val="21"/>
        <w:spacing w:before="0" w:beforeAutospacing="0" w:after="0" w:afterAutospacing="0" w:line="400" w:lineRule="exact"/>
        <w:ind w:firstLine="480" w:firstLineChars="200"/>
      </w:pPr>
      <w:r>
        <w:rPr>
          <w:rFonts w:hint="eastAsia"/>
        </w:rPr>
        <w:t>公司安环部部按照GB/T 29639-2020《生产经营单位生产安全事故应急预案编制导则》编制应急预案，并组织相关人员进行评审，评审通过后由总经理批准发布实施，然后发放到各个部门。</w:t>
      </w:r>
    </w:p>
    <w:p>
      <w:pPr>
        <w:widowControl/>
        <w:spacing w:line="360" w:lineRule="auto"/>
        <w:ind w:firstLine="480" w:firstLineChars="200"/>
        <w:textAlignment w:val="baseline"/>
        <w:rPr>
          <w:rFonts w:ascii="宋体" w:hAnsi="宋体"/>
          <w:sz w:val="24"/>
        </w:rPr>
      </w:pPr>
      <w:bookmarkStart w:id="100" w:name="_Toc432195106"/>
      <w:bookmarkStart w:id="101" w:name="_Toc7749"/>
      <w:r>
        <w:rPr>
          <w:rFonts w:hint="eastAsia" w:ascii="宋体" w:hAnsi="宋体"/>
          <w:sz w:val="24"/>
        </w:rPr>
        <w:t>公司成立了应急救援队伍，并以文件的形式发布生效，由</w:t>
      </w:r>
      <w:r>
        <w:rPr>
          <w:rFonts w:hint="eastAsia" w:ascii="宋体" w:hAnsi="宋体"/>
          <w:kern w:val="0"/>
          <w:sz w:val="24"/>
        </w:rPr>
        <w:t>总经理祝捷</w:t>
      </w:r>
      <w:r>
        <w:rPr>
          <w:rFonts w:hint="eastAsia" w:ascii="宋体" w:hAnsi="宋体" w:cs="宋体"/>
          <w:kern w:val="0"/>
          <w:sz w:val="24"/>
        </w:rPr>
        <w:t>任组长，</w:t>
      </w:r>
      <w:r>
        <w:rPr>
          <w:rFonts w:hint="eastAsia" w:ascii="宋体" w:hAnsi="宋体"/>
          <w:sz w:val="24"/>
        </w:rPr>
        <w:t>各部门负责人为成员，每年对应急队伍进行应急知识的相关培训，如应急器材的使用、应急程序的培训等。</w:t>
      </w:r>
    </w:p>
    <w:p>
      <w:pPr>
        <w:widowControl/>
        <w:spacing w:line="360" w:lineRule="auto"/>
        <w:ind w:firstLine="480" w:firstLineChars="200"/>
        <w:textAlignment w:val="baseline"/>
        <w:rPr>
          <w:rFonts w:ascii="宋体" w:hAnsi="宋体"/>
          <w:sz w:val="24"/>
        </w:rPr>
      </w:pPr>
      <w:r>
        <w:rPr>
          <w:rFonts w:hint="eastAsia" w:ascii="宋体" w:hAnsi="宋体"/>
          <w:sz w:val="24"/>
        </w:rPr>
        <w:t>公司及部门每年至少组织一次应急预案的学习，使全体员工了解应急预案内容，熟练掌握应急措施，提高应急处置能力，应急预案演练修订后、公司及部门重新组织全员学习修订的应急预案，确保全体员工能够正确及时处理突发事件。</w:t>
      </w:r>
    </w:p>
    <w:p>
      <w:pPr>
        <w:widowControl/>
        <w:spacing w:line="360" w:lineRule="auto"/>
        <w:ind w:firstLine="480" w:firstLineChars="200"/>
        <w:textAlignment w:val="baseline"/>
        <w:rPr>
          <w:rFonts w:ascii="宋体" w:hAnsi="宋体"/>
          <w:sz w:val="24"/>
        </w:rPr>
      </w:pPr>
      <w:r>
        <w:rPr>
          <w:rFonts w:hint="eastAsia" w:ascii="宋体" w:hAnsi="宋体"/>
          <w:sz w:val="24"/>
        </w:rPr>
        <w:t>公司及部门每年至少组织一次应急演练，公司组织的应急预案由安环部负责，各部门组织的应急演练由各个部门负责人组织实施，并有安环部成员参与，演练结束后，各负责部门对演练的效果进行评估，形成评估报告，根据评估的结果提出改进措施，并对应急预案进行修订完善。</w:t>
      </w:r>
    </w:p>
    <w:p>
      <w:pPr>
        <w:widowControl/>
        <w:spacing w:line="360" w:lineRule="auto"/>
        <w:ind w:firstLine="480" w:firstLineChars="200"/>
        <w:textAlignment w:val="baseline"/>
        <w:rPr>
          <w:rFonts w:ascii="宋体" w:hAnsi="宋体"/>
          <w:sz w:val="24"/>
        </w:rPr>
      </w:pPr>
      <w:r>
        <w:rPr>
          <w:rFonts w:hint="eastAsia" w:ascii="宋体" w:hAnsi="宋体"/>
          <w:sz w:val="24"/>
        </w:rPr>
        <w:t>公司严格按照应急预案的需求配备应急物资，指定了专人负责应急物资管理，定期对应急物资进行检查，确保其有效可用。</w:t>
      </w:r>
    </w:p>
    <w:p>
      <w:pPr>
        <w:widowControl/>
        <w:spacing w:line="360" w:lineRule="auto"/>
        <w:ind w:firstLine="480" w:firstLineChars="200"/>
        <w:textAlignment w:val="baseline"/>
        <w:rPr>
          <w:rFonts w:ascii="宋体" w:hAnsi="宋体"/>
          <w:sz w:val="24"/>
        </w:rPr>
      </w:pPr>
      <w:r>
        <w:rPr>
          <w:rFonts w:hint="eastAsia" w:ascii="宋体" w:hAnsi="宋体"/>
          <w:sz w:val="24"/>
        </w:rPr>
        <w:t>配备的应急物资见下表：</w:t>
      </w:r>
    </w:p>
    <w:tbl>
      <w:tblPr>
        <w:tblStyle w:val="25"/>
        <w:tblW w:w="8594" w:type="dxa"/>
        <w:tblInd w:w="39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4"/>
        <w:gridCol w:w="2260"/>
        <w:gridCol w:w="1770"/>
        <w:gridCol w:w="1270"/>
        <w:gridCol w:w="1080"/>
        <w:gridCol w:w="15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624" w:type="dxa"/>
            <w:tcBorders>
              <w:top w:val="single" w:color="auto" w:sz="4" w:space="0"/>
              <w:left w:val="single" w:color="auto" w:sz="4" w:space="0"/>
              <w:bottom w:val="single" w:color="auto" w:sz="4" w:space="0"/>
              <w:right w:val="single" w:color="auto" w:sz="4" w:space="0"/>
            </w:tcBorders>
            <w:shd w:val="clear" w:color="auto" w:fill="auto"/>
            <w:noWrap/>
          </w:tcPr>
          <w:p>
            <w:pPr>
              <w:spacing w:line="340" w:lineRule="exact"/>
              <w:jc w:val="center"/>
              <w:rPr>
                <w:rFonts w:ascii="宋体" w:hAnsi="宋体" w:cs="宋体"/>
                <w:sz w:val="18"/>
                <w:szCs w:val="18"/>
              </w:rPr>
            </w:pPr>
            <w:r>
              <w:rPr>
                <w:rFonts w:hint="eastAsia" w:ascii="宋体" w:hAnsi="宋体" w:cs="宋体"/>
                <w:sz w:val="18"/>
                <w:szCs w:val="18"/>
              </w:rPr>
              <w:t>序号</w:t>
            </w:r>
          </w:p>
        </w:tc>
        <w:tc>
          <w:tcPr>
            <w:tcW w:w="2260" w:type="dxa"/>
            <w:tcBorders>
              <w:top w:val="single" w:color="auto" w:sz="4" w:space="0"/>
              <w:left w:val="single" w:color="auto" w:sz="4" w:space="0"/>
              <w:bottom w:val="single" w:color="auto" w:sz="4" w:space="0"/>
              <w:right w:val="single" w:color="auto" w:sz="4" w:space="0"/>
            </w:tcBorders>
            <w:shd w:val="clear" w:color="auto" w:fill="auto"/>
            <w:noWrap/>
          </w:tcPr>
          <w:p>
            <w:pPr>
              <w:spacing w:line="340" w:lineRule="exact"/>
              <w:jc w:val="center"/>
              <w:rPr>
                <w:rFonts w:ascii="宋体" w:hAnsi="宋体" w:cs="宋体"/>
                <w:sz w:val="18"/>
                <w:szCs w:val="18"/>
              </w:rPr>
            </w:pPr>
            <w:r>
              <w:rPr>
                <w:rFonts w:hint="eastAsia" w:ascii="宋体" w:hAnsi="宋体" w:cs="宋体"/>
                <w:sz w:val="18"/>
                <w:szCs w:val="18"/>
              </w:rPr>
              <w:t>消防设施名称</w:t>
            </w:r>
          </w:p>
        </w:tc>
        <w:tc>
          <w:tcPr>
            <w:tcW w:w="1770" w:type="dxa"/>
            <w:tcBorders>
              <w:top w:val="single" w:color="auto" w:sz="4" w:space="0"/>
              <w:left w:val="single" w:color="auto" w:sz="4" w:space="0"/>
              <w:bottom w:val="single" w:color="auto" w:sz="4" w:space="0"/>
              <w:right w:val="single" w:color="auto" w:sz="4" w:space="0"/>
            </w:tcBorders>
            <w:shd w:val="clear" w:color="auto" w:fill="auto"/>
            <w:noWrap/>
          </w:tcPr>
          <w:p>
            <w:pPr>
              <w:spacing w:line="340" w:lineRule="exact"/>
              <w:jc w:val="center"/>
              <w:rPr>
                <w:rFonts w:ascii="宋体" w:hAnsi="宋体" w:cs="宋体"/>
                <w:sz w:val="18"/>
                <w:szCs w:val="18"/>
              </w:rPr>
            </w:pPr>
            <w:r>
              <w:rPr>
                <w:rFonts w:hint="eastAsia" w:ascii="宋体" w:hAnsi="宋体" w:cs="宋体"/>
                <w:sz w:val="18"/>
                <w:szCs w:val="18"/>
              </w:rPr>
              <w:t>型号</w:t>
            </w:r>
          </w:p>
        </w:tc>
        <w:tc>
          <w:tcPr>
            <w:tcW w:w="1270" w:type="dxa"/>
            <w:tcBorders>
              <w:top w:val="single" w:color="auto" w:sz="4" w:space="0"/>
              <w:left w:val="single" w:color="auto" w:sz="4" w:space="0"/>
              <w:bottom w:val="single" w:color="auto" w:sz="4" w:space="0"/>
              <w:right w:val="single" w:color="auto" w:sz="4" w:space="0"/>
            </w:tcBorders>
            <w:shd w:val="clear" w:color="auto" w:fill="auto"/>
            <w:noWrap/>
          </w:tcPr>
          <w:p>
            <w:pPr>
              <w:spacing w:line="340" w:lineRule="exact"/>
              <w:jc w:val="center"/>
              <w:rPr>
                <w:rFonts w:ascii="宋体" w:hAnsi="宋体" w:cs="宋体"/>
                <w:sz w:val="18"/>
                <w:szCs w:val="18"/>
              </w:rPr>
            </w:pPr>
            <w:r>
              <w:rPr>
                <w:rFonts w:hint="eastAsia" w:ascii="宋体" w:hAnsi="宋体" w:cs="宋体"/>
                <w:sz w:val="18"/>
                <w:szCs w:val="18"/>
              </w:rPr>
              <w:t>性能</w:t>
            </w:r>
          </w:p>
        </w:tc>
        <w:tc>
          <w:tcPr>
            <w:tcW w:w="1080" w:type="dxa"/>
            <w:tcBorders>
              <w:top w:val="single" w:color="auto" w:sz="4" w:space="0"/>
              <w:left w:val="single" w:color="auto" w:sz="4" w:space="0"/>
              <w:bottom w:val="single" w:color="auto" w:sz="4" w:space="0"/>
              <w:right w:val="single" w:color="auto" w:sz="4" w:space="0"/>
            </w:tcBorders>
            <w:shd w:val="clear" w:color="auto" w:fill="auto"/>
            <w:noWrap/>
          </w:tcPr>
          <w:p>
            <w:pPr>
              <w:spacing w:line="340" w:lineRule="exact"/>
              <w:jc w:val="center"/>
              <w:rPr>
                <w:rFonts w:ascii="宋体" w:hAnsi="宋体" w:cs="宋体"/>
                <w:sz w:val="18"/>
                <w:szCs w:val="18"/>
              </w:rPr>
            </w:pPr>
            <w:r>
              <w:rPr>
                <w:rFonts w:hint="eastAsia" w:ascii="宋体" w:hAnsi="宋体" w:cs="宋体"/>
                <w:sz w:val="18"/>
                <w:szCs w:val="18"/>
              </w:rPr>
              <w:t>数量（只）</w:t>
            </w:r>
          </w:p>
        </w:tc>
        <w:tc>
          <w:tcPr>
            <w:tcW w:w="1590"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340" w:lineRule="exact"/>
              <w:jc w:val="center"/>
              <w:rPr>
                <w:rFonts w:ascii="宋体" w:hAnsi="宋体" w:cs="宋体"/>
                <w:sz w:val="18"/>
                <w:szCs w:val="18"/>
              </w:rPr>
            </w:pPr>
            <w:r>
              <w:rPr>
                <w:rFonts w:hint="eastAsia" w:cs="宋体"/>
                <w:sz w:val="18"/>
                <w:szCs w:val="18"/>
              </w:rPr>
              <w:t>存放地点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624" w:type="dxa"/>
            <w:tcBorders>
              <w:top w:val="single" w:color="auto" w:sz="4" w:space="0"/>
              <w:left w:val="single" w:color="auto" w:sz="4" w:space="0"/>
              <w:bottom w:val="single" w:color="auto" w:sz="4" w:space="0"/>
              <w:right w:val="single" w:color="auto" w:sz="4" w:space="0"/>
            </w:tcBorders>
            <w:shd w:val="clear" w:color="auto" w:fill="auto"/>
            <w:noWrap/>
          </w:tcPr>
          <w:p>
            <w:pPr>
              <w:spacing w:line="340" w:lineRule="exact"/>
              <w:jc w:val="center"/>
              <w:rPr>
                <w:rFonts w:ascii="宋体" w:hAnsi="宋体" w:cs="宋体"/>
                <w:sz w:val="18"/>
                <w:szCs w:val="18"/>
              </w:rPr>
            </w:pPr>
            <w:r>
              <w:rPr>
                <w:rFonts w:hint="eastAsia" w:ascii="宋体" w:hAnsi="宋体" w:cs="宋体"/>
                <w:sz w:val="18"/>
                <w:szCs w:val="18"/>
              </w:rPr>
              <w:t>1</w:t>
            </w:r>
          </w:p>
        </w:tc>
        <w:tc>
          <w:tcPr>
            <w:tcW w:w="2260" w:type="dxa"/>
            <w:tcBorders>
              <w:top w:val="single" w:color="auto" w:sz="4" w:space="0"/>
              <w:left w:val="single" w:color="auto" w:sz="4" w:space="0"/>
              <w:bottom w:val="single" w:color="auto" w:sz="4" w:space="0"/>
              <w:right w:val="single" w:color="auto" w:sz="4" w:space="0"/>
            </w:tcBorders>
            <w:shd w:val="clear" w:color="auto" w:fill="auto"/>
            <w:noWrap/>
          </w:tcPr>
          <w:p>
            <w:pPr>
              <w:spacing w:line="340" w:lineRule="exact"/>
              <w:jc w:val="center"/>
              <w:rPr>
                <w:rFonts w:ascii="宋体" w:hAnsi="宋体" w:cs="宋体"/>
                <w:sz w:val="18"/>
                <w:szCs w:val="18"/>
              </w:rPr>
            </w:pPr>
            <w:r>
              <w:rPr>
                <w:rFonts w:hint="eastAsia" w:ascii="宋体" w:hAnsi="宋体" w:cs="宋体"/>
                <w:sz w:val="18"/>
                <w:szCs w:val="18"/>
              </w:rPr>
              <w:t>手提式干粉灭火器</w:t>
            </w:r>
          </w:p>
        </w:tc>
        <w:tc>
          <w:tcPr>
            <w:tcW w:w="1770" w:type="dxa"/>
            <w:tcBorders>
              <w:top w:val="single" w:color="auto" w:sz="4" w:space="0"/>
              <w:left w:val="single" w:color="auto" w:sz="4" w:space="0"/>
              <w:bottom w:val="single" w:color="auto" w:sz="4" w:space="0"/>
              <w:right w:val="single" w:color="auto" w:sz="4" w:space="0"/>
            </w:tcBorders>
            <w:shd w:val="clear" w:color="auto" w:fill="auto"/>
            <w:noWrap/>
          </w:tcPr>
          <w:p>
            <w:pPr>
              <w:spacing w:line="340" w:lineRule="exact"/>
              <w:jc w:val="center"/>
              <w:rPr>
                <w:rFonts w:ascii="宋体" w:hAnsi="宋体" w:cs="宋体"/>
                <w:sz w:val="18"/>
                <w:szCs w:val="18"/>
              </w:rPr>
            </w:pPr>
            <w:r>
              <w:rPr>
                <w:rFonts w:hint="eastAsia" w:ascii="宋体" w:hAnsi="宋体" w:cs="宋体"/>
                <w:sz w:val="18"/>
                <w:szCs w:val="18"/>
              </w:rPr>
              <w:t>MFZ/ABC4</w:t>
            </w:r>
          </w:p>
        </w:tc>
        <w:tc>
          <w:tcPr>
            <w:tcW w:w="1270" w:type="dxa"/>
            <w:tcBorders>
              <w:top w:val="single" w:color="auto" w:sz="4" w:space="0"/>
              <w:left w:val="single" w:color="auto" w:sz="4" w:space="0"/>
              <w:bottom w:val="single" w:color="auto" w:sz="4" w:space="0"/>
              <w:right w:val="single" w:color="auto" w:sz="4" w:space="0"/>
            </w:tcBorders>
            <w:shd w:val="clear" w:color="auto" w:fill="auto"/>
            <w:noWrap/>
          </w:tcPr>
          <w:p>
            <w:pPr>
              <w:spacing w:line="340" w:lineRule="exact"/>
              <w:jc w:val="center"/>
              <w:rPr>
                <w:rFonts w:ascii="宋体" w:hAnsi="宋体" w:cs="宋体"/>
                <w:sz w:val="18"/>
                <w:szCs w:val="18"/>
              </w:rPr>
            </w:pPr>
            <w:r>
              <w:rPr>
                <w:rFonts w:hint="eastAsia" w:ascii="宋体" w:hAnsi="宋体" w:cs="宋体"/>
                <w:sz w:val="18"/>
                <w:szCs w:val="18"/>
              </w:rPr>
              <w:t>火灾扑救</w:t>
            </w:r>
          </w:p>
        </w:tc>
        <w:tc>
          <w:tcPr>
            <w:tcW w:w="1080" w:type="dxa"/>
            <w:tcBorders>
              <w:top w:val="single" w:color="auto" w:sz="4" w:space="0"/>
              <w:left w:val="single" w:color="auto" w:sz="4" w:space="0"/>
              <w:bottom w:val="single" w:color="auto" w:sz="4" w:space="0"/>
              <w:right w:val="single" w:color="auto" w:sz="4" w:space="0"/>
            </w:tcBorders>
            <w:shd w:val="clear" w:color="auto" w:fill="auto"/>
            <w:noWrap/>
          </w:tcPr>
          <w:p>
            <w:pPr>
              <w:spacing w:line="340" w:lineRule="exact"/>
              <w:jc w:val="center"/>
              <w:rPr>
                <w:rFonts w:ascii="宋体" w:hAnsi="宋体" w:cs="宋体"/>
                <w:sz w:val="18"/>
                <w:szCs w:val="18"/>
              </w:rPr>
            </w:pPr>
            <w:r>
              <w:rPr>
                <w:rFonts w:hint="eastAsia" w:ascii="宋体" w:hAnsi="宋体" w:cs="宋体"/>
                <w:sz w:val="18"/>
                <w:szCs w:val="18"/>
              </w:rPr>
              <w:t>8</w:t>
            </w:r>
          </w:p>
        </w:tc>
        <w:tc>
          <w:tcPr>
            <w:tcW w:w="1590"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340" w:lineRule="exact"/>
              <w:jc w:val="center"/>
              <w:rPr>
                <w:rFonts w:ascii="宋体" w:hAnsi="宋体" w:cs="宋体"/>
                <w:sz w:val="18"/>
                <w:szCs w:val="18"/>
              </w:rPr>
            </w:pPr>
            <w:r>
              <w:rPr>
                <w:rFonts w:hint="eastAsia" w:cs="宋体"/>
                <w:sz w:val="18"/>
                <w:szCs w:val="18"/>
              </w:rPr>
              <w:t>办公楼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624" w:type="dxa"/>
            <w:tcBorders>
              <w:top w:val="single" w:color="auto" w:sz="4" w:space="0"/>
              <w:left w:val="single" w:color="auto" w:sz="4" w:space="0"/>
              <w:bottom w:val="single" w:color="auto" w:sz="4" w:space="0"/>
              <w:right w:val="single" w:color="auto" w:sz="4" w:space="0"/>
            </w:tcBorders>
            <w:shd w:val="clear" w:color="auto" w:fill="auto"/>
            <w:noWrap/>
          </w:tcPr>
          <w:p>
            <w:pPr>
              <w:spacing w:line="340" w:lineRule="exact"/>
              <w:jc w:val="center"/>
              <w:rPr>
                <w:rFonts w:ascii="宋体" w:hAnsi="宋体" w:cs="宋体"/>
                <w:sz w:val="18"/>
                <w:szCs w:val="18"/>
              </w:rPr>
            </w:pPr>
            <w:r>
              <w:rPr>
                <w:rFonts w:hint="eastAsia" w:ascii="宋体" w:hAnsi="宋体" w:cs="宋体"/>
                <w:sz w:val="18"/>
                <w:szCs w:val="18"/>
              </w:rPr>
              <w:t>2</w:t>
            </w:r>
          </w:p>
        </w:tc>
        <w:tc>
          <w:tcPr>
            <w:tcW w:w="2260" w:type="dxa"/>
            <w:tcBorders>
              <w:top w:val="single" w:color="auto" w:sz="4" w:space="0"/>
              <w:left w:val="single" w:color="auto" w:sz="4" w:space="0"/>
              <w:bottom w:val="single" w:color="auto" w:sz="4" w:space="0"/>
              <w:right w:val="single" w:color="auto" w:sz="4" w:space="0"/>
            </w:tcBorders>
            <w:shd w:val="clear" w:color="auto" w:fill="auto"/>
            <w:noWrap/>
          </w:tcPr>
          <w:p>
            <w:pPr>
              <w:spacing w:line="340" w:lineRule="exact"/>
              <w:jc w:val="center"/>
              <w:rPr>
                <w:rFonts w:ascii="宋体" w:hAnsi="宋体" w:cs="宋体"/>
                <w:sz w:val="18"/>
                <w:szCs w:val="18"/>
              </w:rPr>
            </w:pPr>
            <w:r>
              <w:rPr>
                <w:rFonts w:hint="eastAsia" w:ascii="宋体" w:hAnsi="宋体" w:cs="宋体"/>
                <w:sz w:val="18"/>
                <w:szCs w:val="18"/>
              </w:rPr>
              <w:t>手提式干粉灭火器</w:t>
            </w:r>
          </w:p>
        </w:tc>
        <w:tc>
          <w:tcPr>
            <w:tcW w:w="1770" w:type="dxa"/>
            <w:tcBorders>
              <w:top w:val="single" w:color="auto" w:sz="4" w:space="0"/>
              <w:left w:val="single" w:color="auto" w:sz="4" w:space="0"/>
              <w:bottom w:val="single" w:color="auto" w:sz="4" w:space="0"/>
              <w:right w:val="single" w:color="auto" w:sz="4" w:space="0"/>
            </w:tcBorders>
            <w:shd w:val="clear" w:color="auto" w:fill="auto"/>
            <w:noWrap/>
          </w:tcPr>
          <w:p>
            <w:pPr>
              <w:spacing w:line="340" w:lineRule="exact"/>
              <w:jc w:val="center"/>
              <w:rPr>
                <w:rFonts w:ascii="宋体" w:hAnsi="宋体" w:cs="宋体"/>
                <w:sz w:val="18"/>
                <w:szCs w:val="18"/>
              </w:rPr>
            </w:pPr>
            <w:r>
              <w:rPr>
                <w:rFonts w:hint="eastAsia" w:ascii="宋体" w:hAnsi="宋体" w:cs="宋体"/>
                <w:sz w:val="18"/>
                <w:szCs w:val="18"/>
              </w:rPr>
              <w:t>MFZ/ABC4</w:t>
            </w:r>
          </w:p>
        </w:tc>
        <w:tc>
          <w:tcPr>
            <w:tcW w:w="1270" w:type="dxa"/>
            <w:tcBorders>
              <w:top w:val="single" w:color="auto" w:sz="4" w:space="0"/>
              <w:left w:val="single" w:color="auto" w:sz="4" w:space="0"/>
              <w:bottom w:val="single" w:color="auto" w:sz="4" w:space="0"/>
              <w:right w:val="single" w:color="auto" w:sz="4" w:space="0"/>
            </w:tcBorders>
            <w:shd w:val="clear" w:color="auto" w:fill="auto"/>
            <w:noWrap/>
          </w:tcPr>
          <w:p>
            <w:pPr>
              <w:spacing w:line="340" w:lineRule="exact"/>
              <w:jc w:val="center"/>
              <w:rPr>
                <w:rFonts w:ascii="宋体" w:hAnsi="宋体" w:cs="宋体"/>
                <w:sz w:val="18"/>
                <w:szCs w:val="18"/>
              </w:rPr>
            </w:pPr>
            <w:r>
              <w:rPr>
                <w:rFonts w:hint="eastAsia" w:ascii="宋体" w:hAnsi="宋体" w:cs="宋体"/>
                <w:sz w:val="18"/>
                <w:szCs w:val="18"/>
              </w:rPr>
              <w:t>火灾扑救</w:t>
            </w:r>
          </w:p>
        </w:tc>
        <w:tc>
          <w:tcPr>
            <w:tcW w:w="1080" w:type="dxa"/>
            <w:tcBorders>
              <w:top w:val="single" w:color="auto" w:sz="4" w:space="0"/>
              <w:left w:val="single" w:color="auto" w:sz="4" w:space="0"/>
              <w:bottom w:val="single" w:color="auto" w:sz="4" w:space="0"/>
              <w:right w:val="single" w:color="auto" w:sz="4" w:space="0"/>
            </w:tcBorders>
            <w:shd w:val="clear" w:color="auto" w:fill="auto"/>
            <w:noWrap/>
          </w:tcPr>
          <w:p>
            <w:pPr>
              <w:spacing w:line="340" w:lineRule="exact"/>
              <w:jc w:val="center"/>
              <w:rPr>
                <w:rFonts w:ascii="宋体" w:hAnsi="宋体" w:cs="宋体"/>
                <w:sz w:val="18"/>
                <w:szCs w:val="18"/>
              </w:rPr>
            </w:pPr>
            <w:r>
              <w:rPr>
                <w:rFonts w:hint="eastAsia" w:ascii="宋体" w:hAnsi="宋体" w:cs="宋体"/>
                <w:sz w:val="18"/>
                <w:szCs w:val="18"/>
              </w:rPr>
              <w:t>4</w:t>
            </w:r>
          </w:p>
        </w:tc>
        <w:tc>
          <w:tcPr>
            <w:tcW w:w="1590"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340" w:lineRule="exact"/>
              <w:jc w:val="center"/>
              <w:rPr>
                <w:rFonts w:ascii="宋体" w:hAnsi="宋体" w:cs="宋体"/>
                <w:sz w:val="18"/>
                <w:szCs w:val="18"/>
              </w:rPr>
            </w:pPr>
            <w:r>
              <w:rPr>
                <w:rFonts w:hint="eastAsia" w:cs="宋体"/>
                <w:sz w:val="18"/>
                <w:szCs w:val="18"/>
              </w:rPr>
              <w:t>综合楼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624" w:type="dxa"/>
            <w:tcBorders>
              <w:top w:val="single" w:color="auto" w:sz="4" w:space="0"/>
              <w:left w:val="single" w:color="auto" w:sz="4" w:space="0"/>
              <w:bottom w:val="single" w:color="auto" w:sz="4" w:space="0"/>
              <w:right w:val="single" w:color="auto" w:sz="4" w:space="0"/>
            </w:tcBorders>
            <w:shd w:val="clear" w:color="auto" w:fill="auto"/>
            <w:noWrap/>
          </w:tcPr>
          <w:p>
            <w:pPr>
              <w:spacing w:line="340" w:lineRule="exact"/>
              <w:jc w:val="center"/>
              <w:rPr>
                <w:rFonts w:ascii="宋体" w:hAnsi="宋体" w:cs="宋体"/>
                <w:sz w:val="18"/>
                <w:szCs w:val="18"/>
              </w:rPr>
            </w:pPr>
            <w:r>
              <w:rPr>
                <w:rFonts w:hint="eastAsia" w:ascii="宋体" w:hAnsi="宋体" w:cs="宋体"/>
                <w:sz w:val="18"/>
                <w:szCs w:val="18"/>
              </w:rPr>
              <w:t>3</w:t>
            </w:r>
          </w:p>
        </w:tc>
        <w:tc>
          <w:tcPr>
            <w:tcW w:w="2260" w:type="dxa"/>
            <w:tcBorders>
              <w:top w:val="single" w:color="auto" w:sz="4" w:space="0"/>
              <w:left w:val="single" w:color="auto" w:sz="4" w:space="0"/>
              <w:bottom w:val="single" w:color="auto" w:sz="4" w:space="0"/>
              <w:right w:val="single" w:color="auto" w:sz="4" w:space="0"/>
            </w:tcBorders>
            <w:shd w:val="clear" w:color="auto" w:fill="auto"/>
            <w:noWrap/>
          </w:tcPr>
          <w:p>
            <w:pPr>
              <w:spacing w:line="340" w:lineRule="exact"/>
              <w:jc w:val="center"/>
              <w:rPr>
                <w:rFonts w:ascii="宋体" w:hAnsi="宋体" w:cs="宋体"/>
                <w:sz w:val="18"/>
                <w:szCs w:val="18"/>
              </w:rPr>
            </w:pPr>
            <w:r>
              <w:rPr>
                <w:rFonts w:hint="eastAsia" w:ascii="宋体" w:hAnsi="宋体" w:cs="宋体"/>
                <w:sz w:val="18"/>
                <w:szCs w:val="18"/>
              </w:rPr>
              <w:t>手提式干粉灭火器</w:t>
            </w:r>
          </w:p>
        </w:tc>
        <w:tc>
          <w:tcPr>
            <w:tcW w:w="1770" w:type="dxa"/>
            <w:tcBorders>
              <w:top w:val="single" w:color="auto" w:sz="4" w:space="0"/>
              <w:left w:val="single" w:color="auto" w:sz="4" w:space="0"/>
              <w:bottom w:val="single" w:color="auto" w:sz="4" w:space="0"/>
              <w:right w:val="single" w:color="auto" w:sz="4" w:space="0"/>
            </w:tcBorders>
            <w:shd w:val="clear" w:color="auto" w:fill="auto"/>
            <w:noWrap/>
          </w:tcPr>
          <w:p>
            <w:pPr>
              <w:spacing w:line="340" w:lineRule="exact"/>
              <w:jc w:val="center"/>
              <w:rPr>
                <w:rFonts w:ascii="宋体" w:hAnsi="宋体" w:cs="宋体"/>
                <w:sz w:val="18"/>
                <w:szCs w:val="18"/>
              </w:rPr>
            </w:pPr>
            <w:r>
              <w:rPr>
                <w:rFonts w:hint="eastAsia" w:ascii="宋体" w:hAnsi="宋体" w:cs="宋体"/>
                <w:sz w:val="18"/>
                <w:szCs w:val="18"/>
              </w:rPr>
              <w:t>MFZ/ABC4</w:t>
            </w:r>
          </w:p>
        </w:tc>
        <w:tc>
          <w:tcPr>
            <w:tcW w:w="1270" w:type="dxa"/>
            <w:tcBorders>
              <w:top w:val="single" w:color="auto" w:sz="4" w:space="0"/>
              <w:left w:val="single" w:color="auto" w:sz="4" w:space="0"/>
              <w:bottom w:val="single" w:color="auto" w:sz="4" w:space="0"/>
              <w:right w:val="single" w:color="auto" w:sz="4" w:space="0"/>
            </w:tcBorders>
            <w:shd w:val="clear" w:color="auto" w:fill="auto"/>
            <w:noWrap/>
          </w:tcPr>
          <w:p>
            <w:pPr>
              <w:spacing w:line="340" w:lineRule="exact"/>
              <w:jc w:val="center"/>
              <w:rPr>
                <w:rFonts w:ascii="宋体" w:hAnsi="宋体" w:cs="宋体"/>
                <w:sz w:val="18"/>
                <w:szCs w:val="18"/>
              </w:rPr>
            </w:pPr>
            <w:r>
              <w:rPr>
                <w:rFonts w:hint="eastAsia" w:ascii="宋体" w:hAnsi="宋体" w:cs="宋体"/>
                <w:sz w:val="18"/>
                <w:szCs w:val="18"/>
              </w:rPr>
              <w:t>火灾扑救</w:t>
            </w:r>
          </w:p>
        </w:tc>
        <w:tc>
          <w:tcPr>
            <w:tcW w:w="1080" w:type="dxa"/>
            <w:tcBorders>
              <w:top w:val="single" w:color="auto" w:sz="4" w:space="0"/>
              <w:left w:val="single" w:color="auto" w:sz="4" w:space="0"/>
              <w:bottom w:val="single" w:color="auto" w:sz="4" w:space="0"/>
              <w:right w:val="single" w:color="auto" w:sz="4" w:space="0"/>
            </w:tcBorders>
            <w:shd w:val="clear" w:color="auto" w:fill="auto"/>
            <w:noWrap/>
          </w:tcPr>
          <w:p>
            <w:pPr>
              <w:spacing w:line="340" w:lineRule="exact"/>
              <w:jc w:val="center"/>
              <w:rPr>
                <w:rFonts w:ascii="宋体" w:hAnsi="宋体" w:cs="宋体"/>
                <w:sz w:val="18"/>
                <w:szCs w:val="18"/>
              </w:rPr>
            </w:pPr>
            <w:r>
              <w:rPr>
                <w:rFonts w:hint="eastAsia" w:ascii="宋体" w:hAnsi="宋体" w:cs="宋体"/>
                <w:sz w:val="18"/>
                <w:szCs w:val="18"/>
              </w:rPr>
              <w:t>4</w:t>
            </w:r>
          </w:p>
        </w:tc>
        <w:tc>
          <w:tcPr>
            <w:tcW w:w="1590"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340" w:lineRule="exact"/>
              <w:jc w:val="center"/>
              <w:rPr>
                <w:rFonts w:ascii="宋体" w:hAnsi="宋体" w:cs="宋体"/>
                <w:sz w:val="18"/>
                <w:szCs w:val="18"/>
              </w:rPr>
            </w:pPr>
            <w:r>
              <w:rPr>
                <w:rFonts w:hint="eastAsia" w:cs="宋体"/>
                <w:sz w:val="18"/>
                <w:szCs w:val="18"/>
              </w:rPr>
              <w:t>门卫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624" w:type="dxa"/>
            <w:tcBorders>
              <w:top w:val="single" w:color="auto" w:sz="4" w:space="0"/>
              <w:left w:val="single" w:color="auto" w:sz="4" w:space="0"/>
              <w:bottom w:val="single" w:color="auto" w:sz="4" w:space="0"/>
              <w:right w:val="single" w:color="auto" w:sz="4" w:space="0"/>
            </w:tcBorders>
            <w:shd w:val="clear" w:color="auto" w:fill="auto"/>
            <w:noWrap/>
          </w:tcPr>
          <w:p>
            <w:pPr>
              <w:spacing w:line="340" w:lineRule="exact"/>
              <w:jc w:val="center"/>
              <w:rPr>
                <w:rFonts w:hint="eastAsia" w:ascii="宋体" w:hAnsi="宋体" w:eastAsia="宋体" w:cs="宋体"/>
                <w:sz w:val="18"/>
                <w:szCs w:val="18"/>
                <w:lang w:eastAsia="zh-CN"/>
              </w:rPr>
            </w:pPr>
            <w:r>
              <w:rPr>
                <w:rFonts w:hint="eastAsia" w:ascii="宋体" w:hAnsi="宋体" w:cs="宋体"/>
                <w:sz w:val="18"/>
                <w:szCs w:val="18"/>
                <w:lang w:val="en-US" w:eastAsia="zh-CN"/>
              </w:rPr>
              <w:t>4</w:t>
            </w:r>
          </w:p>
        </w:tc>
        <w:tc>
          <w:tcPr>
            <w:tcW w:w="2260" w:type="dxa"/>
            <w:tcBorders>
              <w:top w:val="single" w:color="auto" w:sz="4" w:space="0"/>
              <w:left w:val="single" w:color="auto" w:sz="4" w:space="0"/>
              <w:bottom w:val="single" w:color="auto" w:sz="4" w:space="0"/>
              <w:right w:val="single" w:color="auto" w:sz="4" w:space="0"/>
            </w:tcBorders>
            <w:shd w:val="clear" w:color="auto" w:fill="auto"/>
            <w:noWrap/>
          </w:tcPr>
          <w:p>
            <w:pPr>
              <w:spacing w:line="340" w:lineRule="exact"/>
              <w:jc w:val="center"/>
              <w:rPr>
                <w:rFonts w:ascii="宋体" w:hAnsi="宋体" w:cs="宋体"/>
                <w:sz w:val="18"/>
                <w:szCs w:val="18"/>
              </w:rPr>
            </w:pPr>
            <w:r>
              <w:rPr>
                <w:rFonts w:hint="eastAsia" w:ascii="宋体" w:hAnsi="宋体" w:cs="宋体"/>
                <w:sz w:val="18"/>
                <w:szCs w:val="18"/>
              </w:rPr>
              <w:t>推车式干粉灭火器</w:t>
            </w:r>
          </w:p>
        </w:tc>
        <w:tc>
          <w:tcPr>
            <w:tcW w:w="1770" w:type="dxa"/>
            <w:tcBorders>
              <w:top w:val="single" w:color="auto" w:sz="4" w:space="0"/>
              <w:left w:val="single" w:color="auto" w:sz="4" w:space="0"/>
              <w:bottom w:val="single" w:color="auto" w:sz="4" w:space="0"/>
              <w:right w:val="single" w:color="auto" w:sz="4" w:space="0"/>
            </w:tcBorders>
            <w:shd w:val="clear" w:color="auto" w:fill="auto"/>
            <w:noWrap/>
          </w:tcPr>
          <w:p>
            <w:pPr>
              <w:spacing w:line="340" w:lineRule="exact"/>
              <w:jc w:val="center"/>
              <w:rPr>
                <w:rFonts w:ascii="宋体" w:hAnsi="宋体" w:cs="宋体"/>
                <w:sz w:val="18"/>
                <w:szCs w:val="18"/>
              </w:rPr>
            </w:pPr>
            <w:r>
              <w:rPr>
                <w:rFonts w:hint="eastAsia" w:ascii="宋体" w:hAnsi="宋体" w:cs="宋体"/>
                <w:sz w:val="18"/>
                <w:szCs w:val="18"/>
              </w:rPr>
              <w:t>MFZ/ABC8</w:t>
            </w:r>
          </w:p>
        </w:tc>
        <w:tc>
          <w:tcPr>
            <w:tcW w:w="1270" w:type="dxa"/>
            <w:tcBorders>
              <w:top w:val="single" w:color="auto" w:sz="4" w:space="0"/>
              <w:left w:val="single" w:color="auto" w:sz="4" w:space="0"/>
              <w:bottom w:val="single" w:color="auto" w:sz="4" w:space="0"/>
              <w:right w:val="single" w:color="auto" w:sz="4" w:space="0"/>
            </w:tcBorders>
            <w:shd w:val="clear" w:color="auto" w:fill="auto"/>
            <w:noWrap/>
          </w:tcPr>
          <w:p>
            <w:pPr>
              <w:spacing w:line="340" w:lineRule="exact"/>
              <w:jc w:val="center"/>
              <w:rPr>
                <w:rFonts w:ascii="宋体" w:hAnsi="宋体" w:cs="宋体"/>
                <w:sz w:val="18"/>
                <w:szCs w:val="18"/>
              </w:rPr>
            </w:pPr>
            <w:r>
              <w:rPr>
                <w:rFonts w:hint="eastAsia" w:ascii="宋体" w:hAnsi="宋体" w:cs="宋体"/>
                <w:sz w:val="18"/>
                <w:szCs w:val="18"/>
              </w:rPr>
              <w:t>火灾扑救</w:t>
            </w:r>
          </w:p>
        </w:tc>
        <w:tc>
          <w:tcPr>
            <w:tcW w:w="1080" w:type="dxa"/>
            <w:tcBorders>
              <w:top w:val="single" w:color="auto" w:sz="4" w:space="0"/>
              <w:left w:val="single" w:color="auto" w:sz="4" w:space="0"/>
              <w:bottom w:val="single" w:color="auto" w:sz="4" w:space="0"/>
              <w:right w:val="single" w:color="auto" w:sz="4" w:space="0"/>
            </w:tcBorders>
            <w:shd w:val="clear" w:color="auto" w:fill="auto"/>
            <w:noWrap/>
          </w:tcPr>
          <w:p>
            <w:pPr>
              <w:spacing w:line="340" w:lineRule="exact"/>
              <w:jc w:val="center"/>
              <w:rPr>
                <w:rFonts w:ascii="宋体" w:hAnsi="宋体" w:cs="宋体"/>
                <w:sz w:val="18"/>
                <w:szCs w:val="18"/>
              </w:rPr>
            </w:pPr>
            <w:r>
              <w:rPr>
                <w:rFonts w:hint="eastAsia" w:ascii="宋体" w:hAnsi="宋体" w:cs="宋体"/>
                <w:sz w:val="18"/>
                <w:szCs w:val="18"/>
              </w:rPr>
              <w:t>2</w:t>
            </w:r>
          </w:p>
        </w:tc>
        <w:tc>
          <w:tcPr>
            <w:tcW w:w="1590" w:type="dxa"/>
            <w:vMerge w:val="restart"/>
            <w:tcBorders>
              <w:top w:val="single" w:color="auto" w:sz="4" w:space="0"/>
              <w:left w:val="single" w:color="auto" w:sz="4" w:space="0"/>
              <w:right w:val="single" w:color="auto" w:sz="4" w:space="0"/>
            </w:tcBorders>
            <w:shd w:val="clear" w:color="auto" w:fill="auto"/>
            <w:noWrap/>
            <w:vAlign w:val="center"/>
          </w:tcPr>
          <w:p>
            <w:pPr>
              <w:spacing w:line="340" w:lineRule="exact"/>
              <w:jc w:val="center"/>
              <w:rPr>
                <w:rFonts w:ascii="宋体" w:hAnsi="宋体" w:cs="宋体"/>
                <w:sz w:val="18"/>
                <w:szCs w:val="18"/>
              </w:rPr>
            </w:pPr>
            <w:r>
              <w:rPr>
                <w:rFonts w:hint="eastAsia"/>
                <w:sz w:val="18"/>
                <w:szCs w:val="18"/>
              </w:rPr>
              <w:t>成品仓库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624" w:type="dxa"/>
            <w:tcBorders>
              <w:top w:val="single" w:color="auto" w:sz="4" w:space="0"/>
              <w:left w:val="single" w:color="auto" w:sz="4" w:space="0"/>
              <w:bottom w:val="single" w:color="auto" w:sz="4" w:space="0"/>
              <w:right w:val="single" w:color="auto" w:sz="4" w:space="0"/>
            </w:tcBorders>
            <w:shd w:val="clear" w:color="auto" w:fill="auto"/>
            <w:noWrap/>
          </w:tcPr>
          <w:p>
            <w:pPr>
              <w:spacing w:line="340" w:lineRule="exact"/>
              <w:jc w:val="center"/>
              <w:rPr>
                <w:rFonts w:hint="eastAsia" w:ascii="宋体" w:hAnsi="宋体" w:eastAsia="宋体" w:cs="宋体"/>
                <w:sz w:val="18"/>
                <w:szCs w:val="18"/>
                <w:lang w:eastAsia="zh-CN"/>
              </w:rPr>
            </w:pPr>
            <w:r>
              <w:rPr>
                <w:rFonts w:hint="eastAsia" w:ascii="宋体" w:hAnsi="宋体" w:cs="宋体"/>
                <w:sz w:val="18"/>
                <w:szCs w:val="18"/>
                <w:lang w:val="en-US" w:eastAsia="zh-CN"/>
              </w:rPr>
              <w:t>5</w:t>
            </w:r>
          </w:p>
        </w:tc>
        <w:tc>
          <w:tcPr>
            <w:tcW w:w="2260" w:type="dxa"/>
            <w:tcBorders>
              <w:top w:val="single" w:color="auto" w:sz="4" w:space="0"/>
              <w:left w:val="single" w:color="auto" w:sz="4" w:space="0"/>
              <w:bottom w:val="single" w:color="auto" w:sz="4" w:space="0"/>
              <w:right w:val="single" w:color="auto" w:sz="4" w:space="0"/>
            </w:tcBorders>
            <w:shd w:val="clear" w:color="auto" w:fill="auto"/>
            <w:noWrap/>
          </w:tcPr>
          <w:p>
            <w:pPr>
              <w:spacing w:line="340" w:lineRule="exact"/>
              <w:jc w:val="center"/>
              <w:rPr>
                <w:rFonts w:ascii="宋体" w:hAnsi="宋体" w:cs="宋体"/>
                <w:sz w:val="18"/>
                <w:szCs w:val="18"/>
              </w:rPr>
            </w:pPr>
            <w:r>
              <w:rPr>
                <w:rFonts w:hint="eastAsia" w:ascii="宋体" w:hAnsi="宋体" w:cs="宋体"/>
                <w:sz w:val="18"/>
                <w:szCs w:val="18"/>
              </w:rPr>
              <w:t>室内消火栓</w:t>
            </w:r>
          </w:p>
        </w:tc>
        <w:tc>
          <w:tcPr>
            <w:tcW w:w="1770" w:type="dxa"/>
            <w:tcBorders>
              <w:top w:val="single" w:color="auto" w:sz="4" w:space="0"/>
              <w:left w:val="single" w:color="auto" w:sz="4" w:space="0"/>
              <w:bottom w:val="single" w:color="auto" w:sz="4" w:space="0"/>
              <w:right w:val="single" w:color="auto" w:sz="4" w:space="0"/>
            </w:tcBorders>
            <w:shd w:val="clear" w:color="auto" w:fill="auto"/>
            <w:noWrap/>
          </w:tcPr>
          <w:p>
            <w:pPr>
              <w:spacing w:line="340" w:lineRule="exact"/>
              <w:jc w:val="center"/>
              <w:rPr>
                <w:rFonts w:ascii="宋体" w:hAnsi="宋体" w:cs="宋体"/>
                <w:sz w:val="18"/>
                <w:szCs w:val="18"/>
              </w:rPr>
            </w:pPr>
            <w:r>
              <w:rPr>
                <w:rFonts w:hint="eastAsia" w:ascii="宋体" w:hAnsi="宋体" w:cs="宋体"/>
                <w:sz w:val="18"/>
                <w:szCs w:val="18"/>
              </w:rPr>
              <w:t>Ф65</w:t>
            </w:r>
          </w:p>
        </w:tc>
        <w:tc>
          <w:tcPr>
            <w:tcW w:w="1270" w:type="dxa"/>
            <w:tcBorders>
              <w:top w:val="single" w:color="auto" w:sz="4" w:space="0"/>
              <w:left w:val="single" w:color="auto" w:sz="4" w:space="0"/>
              <w:bottom w:val="single" w:color="auto" w:sz="4" w:space="0"/>
              <w:right w:val="single" w:color="auto" w:sz="4" w:space="0"/>
            </w:tcBorders>
            <w:shd w:val="clear" w:color="auto" w:fill="auto"/>
            <w:noWrap/>
          </w:tcPr>
          <w:p>
            <w:pPr>
              <w:spacing w:line="340" w:lineRule="exact"/>
              <w:jc w:val="center"/>
              <w:rPr>
                <w:rFonts w:ascii="宋体" w:hAnsi="宋体" w:cs="宋体"/>
                <w:sz w:val="18"/>
                <w:szCs w:val="18"/>
              </w:rPr>
            </w:pPr>
            <w:r>
              <w:rPr>
                <w:rFonts w:hint="eastAsia" w:ascii="宋体" w:hAnsi="宋体" w:cs="宋体"/>
                <w:sz w:val="18"/>
                <w:szCs w:val="18"/>
              </w:rPr>
              <w:t>消防应急</w:t>
            </w:r>
          </w:p>
        </w:tc>
        <w:tc>
          <w:tcPr>
            <w:tcW w:w="1080" w:type="dxa"/>
            <w:tcBorders>
              <w:top w:val="single" w:color="auto" w:sz="4" w:space="0"/>
              <w:left w:val="single" w:color="auto" w:sz="4" w:space="0"/>
              <w:bottom w:val="single" w:color="auto" w:sz="4" w:space="0"/>
              <w:right w:val="single" w:color="auto" w:sz="4" w:space="0"/>
            </w:tcBorders>
            <w:shd w:val="clear" w:color="auto" w:fill="auto"/>
            <w:noWrap/>
          </w:tcPr>
          <w:p>
            <w:pPr>
              <w:spacing w:line="340" w:lineRule="exact"/>
              <w:jc w:val="center"/>
              <w:rPr>
                <w:rFonts w:ascii="宋体" w:hAnsi="宋体" w:cs="宋体"/>
                <w:sz w:val="18"/>
                <w:szCs w:val="18"/>
              </w:rPr>
            </w:pPr>
            <w:r>
              <w:rPr>
                <w:rFonts w:hint="eastAsia" w:ascii="宋体" w:hAnsi="宋体" w:cs="宋体"/>
                <w:sz w:val="18"/>
                <w:szCs w:val="18"/>
              </w:rPr>
              <w:t>4</w:t>
            </w:r>
          </w:p>
        </w:tc>
        <w:tc>
          <w:tcPr>
            <w:tcW w:w="1590" w:type="dxa"/>
            <w:vMerge w:val="continue"/>
            <w:tcBorders>
              <w:left w:val="single" w:color="auto" w:sz="4" w:space="0"/>
              <w:bottom w:val="single" w:color="auto" w:sz="4" w:space="0"/>
              <w:right w:val="single" w:color="auto" w:sz="4" w:space="0"/>
            </w:tcBorders>
            <w:shd w:val="clear" w:color="auto" w:fill="auto"/>
            <w:noWrap/>
            <w:vAlign w:val="center"/>
          </w:tcPr>
          <w:p>
            <w:pPr>
              <w:spacing w:line="340" w:lineRule="exact"/>
              <w:jc w:val="center"/>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624" w:type="dxa"/>
            <w:tcBorders>
              <w:top w:val="single" w:color="auto" w:sz="4" w:space="0"/>
              <w:left w:val="single" w:color="auto" w:sz="4" w:space="0"/>
              <w:bottom w:val="single" w:color="auto" w:sz="4" w:space="0"/>
              <w:right w:val="single" w:color="auto" w:sz="4" w:space="0"/>
            </w:tcBorders>
            <w:shd w:val="clear" w:color="auto" w:fill="auto"/>
            <w:noWrap/>
          </w:tcPr>
          <w:p>
            <w:pPr>
              <w:spacing w:line="340" w:lineRule="exact"/>
              <w:jc w:val="center"/>
              <w:rPr>
                <w:rFonts w:hint="eastAsia" w:ascii="宋体" w:hAnsi="宋体" w:eastAsia="宋体" w:cs="宋体"/>
                <w:sz w:val="18"/>
                <w:szCs w:val="18"/>
                <w:lang w:eastAsia="zh-CN"/>
              </w:rPr>
            </w:pPr>
            <w:r>
              <w:rPr>
                <w:rFonts w:hint="eastAsia" w:ascii="宋体" w:hAnsi="宋体" w:cs="宋体"/>
                <w:sz w:val="18"/>
                <w:szCs w:val="18"/>
                <w:lang w:val="en-US" w:eastAsia="zh-CN"/>
              </w:rPr>
              <w:t>6</w:t>
            </w:r>
          </w:p>
        </w:tc>
        <w:tc>
          <w:tcPr>
            <w:tcW w:w="2260" w:type="dxa"/>
            <w:tcBorders>
              <w:top w:val="single" w:color="auto" w:sz="4" w:space="0"/>
              <w:left w:val="single" w:color="auto" w:sz="4" w:space="0"/>
              <w:bottom w:val="single" w:color="auto" w:sz="4" w:space="0"/>
              <w:right w:val="single" w:color="auto" w:sz="4" w:space="0"/>
            </w:tcBorders>
            <w:shd w:val="clear" w:color="auto" w:fill="auto"/>
            <w:noWrap/>
          </w:tcPr>
          <w:p>
            <w:pPr>
              <w:spacing w:line="340" w:lineRule="exact"/>
              <w:jc w:val="center"/>
              <w:rPr>
                <w:rFonts w:ascii="宋体" w:hAnsi="宋体" w:cs="宋体"/>
                <w:sz w:val="18"/>
                <w:szCs w:val="18"/>
              </w:rPr>
            </w:pPr>
            <w:r>
              <w:rPr>
                <w:rFonts w:hint="eastAsia" w:ascii="宋体" w:hAnsi="宋体" w:cs="宋体"/>
                <w:sz w:val="18"/>
                <w:szCs w:val="18"/>
              </w:rPr>
              <w:t>地上消火栓</w:t>
            </w:r>
          </w:p>
        </w:tc>
        <w:tc>
          <w:tcPr>
            <w:tcW w:w="1770" w:type="dxa"/>
            <w:tcBorders>
              <w:top w:val="single" w:color="auto" w:sz="4" w:space="0"/>
              <w:left w:val="single" w:color="auto" w:sz="4" w:space="0"/>
              <w:bottom w:val="single" w:color="auto" w:sz="4" w:space="0"/>
              <w:right w:val="single" w:color="auto" w:sz="4" w:space="0"/>
            </w:tcBorders>
            <w:shd w:val="clear" w:color="auto" w:fill="auto"/>
            <w:noWrap/>
          </w:tcPr>
          <w:p>
            <w:pPr>
              <w:spacing w:line="340" w:lineRule="exact"/>
              <w:jc w:val="center"/>
              <w:rPr>
                <w:rFonts w:ascii="宋体" w:hAnsi="宋体" w:cs="宋体"/>
                <w:sz w:val="18"/>
                <w:szCs w:val="18"/>
              </w:rPr>
            </w:pPr>
            <w:r>
              <w:rPr>
                <w:rFonts w:hint="eastAsia" w:ascii="宋体" w:hAnsi="宋体" w:cs="宋体"/>
                <w:sz w:val="18"/>
                <w:szCs w:val="18"/>
              </w:rPr>
              <w:t>SS100/65-1.6</w:t>
            </w:r>
          </w:p>
        </w:tc>
        <w:tc>
          <w:tcPr>
            <w:tcW w:w="1270" w:type="dxa"/>
            <w:tcBorders>
              <w:top w:val="single" w:color="auto" w:sz="4" w:space="0"/>
              <w:left w:val="single" w:color="auto" w:sz="4" w:space="0"/>
              <w:bottom w:val="single" w:color="auto" w:sz="4" w:space="0"/>
              <w:right w:val="single" w:color="auto" w:sz="4" w:space="0"/>
            </w:tcBorders>
            <w:shd w:val="clear" w:color="auto" w:fill="auto"/>
            <w:noWrap/>
          </w:tcPr>
          <w:p>
            <w:pPr>
              <w:spacing w:line="340" w:lineRule="exact"/>
              <w:jc w:val="center"/>
              <w:rPr>
                <w:rFonts w:ascii="宋体" w:hAnsi="宋体" w:cs="宋体"/>
                <w:sz w:val="18"/>
                <w:szCs w:val="18"/>
              </w:rPr>
            </w:pPr>
            <w:r>
              <w:rPr>
                <w:rFonts w:hint="eastAsia" w:ascii="宋体" w:hAnsi="宋体" w:cs="宋体"/>
                <w:sz w:val="18"/>
                <w:szCs w:val="18"/>
              </w:rPr>
              <w:t>消防应急</w:t>
            </w:r>
          </w:p>
        </w:tc>
        <w:tc>
          <w:tcPr>
            <w:tcW w:w="1080" w:type="dxa"/>
            <w:tcBorders>
              <w:top w:val="single" w:color="auto" w:sz="4" w:space="0"/>
              <w:left w:val="single" w:color="auto" w:sz="4" w:space="0"/>
              <w:bottom w:val="single" w:color="auto" w:sz="4" w:space="0"/>
              <w:right w:val="single" w:color="auto" w:sz="4" w:space="0"/>
            </w:tcBorders>
            <w:shd w:val="clear" w:color="auto" w:fill="auto"/>
            <w:noWrap/>
          </w:tcPr>
          <w:p>
            <w:pPr>
              <w:spacing w:line="340" w:lineRule="exact"/>
              <w:jc w:val="center"/>
              <w:rPr>
                <w:rFonts w:ascii="宋体" w:hAnsi="宋体" w:cs="宋体"/>
                <w:sz w:val="18"/>
                <w:szCs w:val="18"/>
              </w:rPr>
            </w:pPr>
            <w:r>
              <w:rPr>
                <w:rFonts w:hint="eastAsia" w:ascii="宋体" w:hAnsi="宋体" w:cs="宋体"/>
                <w:sz w:val="18"/>
                <w:szCs w:val="18"/>
              </w:rPr>
              <w:t>8</w:t>
            </w:r>
          </w:p>
        </w:tc>
        <w:tc>
          <w:tcPr>
            <w:tcW w:w="1590"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340" w:lineRule="exact"/>
              <w:jc w:val="center"/>
              <w:rPr>
                <w:rFonts w:ascii="宋体" w:hAnsi="宋体" w:cs="宋体"/>
                <w:sz w:val="18"/>
                <w:szCs w:val="18"/>
              </w:rPr>
            </w:pPr>
            <w:r>
              <w:rPr>
                <w:rFonts w:hint="eastAsia"/>
                <w:sz w:val="18"/>
                <w:szCs w:val="18"/>
              </w:rPr>
              <w:t>公司主干道东侧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624" w:type="dxa"/>
            <w:tcBorders>
              <w:top w:val="single" w:color="auto" w:sz="4" w:space="0"/>
              <w:left w:val="single" w:color="auto" w:sz="4" w:space="0"/>
              <w:bottom w:val="single" w:color="auto" w:sz="4" w:space="0"/>
              <w:right w:val="single" w:color="auto" w:sz="4" w:space="0"/>
            </w:tcBorders>
            <w:shd w:val="clear" w:color="auto" w:fill="auto"/>
            <w:noWrap/>
            <w:vAlign w:val="top"/>
          </w:tcPr>
          <w:p>
            <w:pPr>
              <w:spacing w:line="340" w:lineRule="exact"/>
              <w:jc w:val="center"/>
              <w:rPr>
                <w:rFonts w:ascii="宋体" w:hAnsi="宋体" w:eastAsia="宋体" w:cs="宋体"/>
                <w:kern w:val="2"/>
                <w:sz w:val="18"/>
                <w:szCs w:val="18"/>
                <w:lang w:val="en-US" w:eastAsia="zh-CN" w:bidi="ar-SA"/>
              </w:rPr>
            </w:pPr>
            <w:r>
              <w:rPr>
                <w:rFonts w:hint="eastAsia" w:ascii="宋体" w:hAnsi="宋体" w:cs="宋体"/>
                <w:sz w:val="18"/>
                <w:szCs w:val="18"/>
              </w:rPr>
              <w:t>7</w:t>
            </w:r>
          </w:p>
        </w:tc>
        <w:tc>
          <w:tcPr>
            <w:tcW w:w="2260" w:type="dxa"/>
            <w:tcBorders>
              <w:top w:val="single" w:color="auto" w:sz="4" w:space="0"/>
              <w:left w:val="single" w:color="auto" w:sz="4" w:space="0"/>
              <w:bottom w:val="single" w:color="auto" w:sz="4" w:space="0"/>
              <w:right w:val="single" w:color="auto" w:sz="4" w:space="0"/>
            </w:tcBorders>
            <w:shd w:val="clear" w:color="auto" w:fill="auto"/>
            <w:noWrap/>
          </w:tcPr>
          <w:p>
            <w:pPr>
              <w:spacing w:line="340" w:lineRule="exact"/>
              <w:jc w:val="center"/>
              <w:rPr>
                <w:rFonts w:ascii="宋体" w:hAnsi="宋体" w:cs="宋体"/>
                <w:sz w:val="18"/>
                <w:szCs w:val="18"/>
              </w:rPr>
            </w:pPr>
            <w:r>
              <w:rPr>
                <w:rFonts w:hint="eastAsia" w:ascii="宋体" w:hAnsi="宋体" w:cs="宋体"/>
                <w:sz w:val="18"/>
                <w:szCs w:val="18"/>
              </w:rPr>
              <w:t>手提式干粉灭火器</w:t>
            </w:r>
          </w:p>
        </w:tc>
        <w:tc>
          <w:tcPr>
            <w:tcW w:w="1770" w:type="dxa"/>
            <w:tcBorders>
              <w:top w:val="single" w:color="auto" w:sz="4" w:space="0"/>
              <w:left w:val="single" w:color="auto" w:sz="4" w:space="0"/>
              <w:bottom w:val="single" w:color="auto" w:sz="4" w:space="0"/>
              <w:right w:val="single" w:color="auto" w:sz="4" w:space="0"/>
            </w:tcBorders>
            <w:shd w:val="clear" w:color="auto" w:fill="auto"/>
            <w:noWrap/>
          </w:tcPr>
          <w:p>
            <w:pPr>
              <w:spacing w:line="340" w:lineRule="exact"/>
              <w:jc w:val="center"/>
              <w:rPr>
                <w:rFonts w:ascii="宋体" w:hAnsi="宋体" w:cs="宋体"/>
                <w:sz w:val="18"/>
                <w:szCs w:val="18"/>
              </w:rPr>
            </w:pPr>
            <w:r>
              <w:rPr>
                <w:rFonts w:hint="eastAsia" w:ascii="宋体" w:hAnsi="宋体" w:cs="宋体"/>
                <w:sz w:val="18"/>
                <w:szCs w:val="18"/>
              </w:rPr>
              <w:t>MFZ/ABC8</w:t>
            </w:r>
          </w:p>
        </w:tc>
        <w:tc>
          <w:tcPr>
            <w:tcW w:w="1270" w:type="dxa"/>
            <w:tcBorders>
              <w:top w:val="single" w:color="auto" w:sz="4" w:space="0"/>
              <w:left w:val="single" w:color="auto" w:sz="4" w:space="0"/>
              <w:bottom w:val="single" w:color="auto" w:sz="4" w:space="0"/>
              <w:right w:val="single" w:color="auto" w:sz="4" w:space="0"/>
            </w:tcBorders>
            <w:shd w:val="clear" w:color="auto" w:fill="auto"/>
            <w:noWrap/>
          </w:tcPr>
          <w:p>
            <w:pPr>
              <w:spacing w:line="340" w:lineRule="exact"/>
              <w:jc w:val="center"/>
              <w:rPr>
                <w:rFonts w:ascii="宋体" w:hAnsi="宋体" w:cs="宋体"/>
                <w:sz w:val="18"/>
                <w:szCs w:val="18"/>
              </w:rPr>
            </w:pPr>
            <w:r>
              <w:rPr>
                <w:rFonts w:hint="eastAsia" w:ascii="宋体" w:hAnsi="宋体" w:cs="宋体"/>
                <w:sz w:val="18"/>
                <w:szCs w:val="18"/>
              </w:rPr>
              <w:t>火灾扑救</w:t>
            </w:r>
          </w:p>
        </w:tc>
        <w:tc>
          <w:tcPr>
            <w:tcW w:w="1080" w:type="dxa"/>
            <w:tcBorders>
              <w:top w:val="single" w:color="auto" w:sz="4" w:space="0"/>
              <w:left w:val="single" w:color="auto" w:sz="4" w:space="0"/>
              <w:bottom w:val="single" w:color="auto" w:sz="4" w:space="0"/>
              <w:right w:val="single" w:color="auto" w:sz="4" w:space="0"/>
            </w:tcBorders>
            <w:shd w:val="clear" w:color="auto" w:fill="auto"/>
            <w:noWrap/>
          </w:tcPr>
          <w:p>
            <w:pPr>
              <w:spacing w:line="340" w:lineRule="exact"/>
              <w:jc w:val="center"/>
              <w:rPr>
                <w:rFonts w:ascii="宋体" w:hAnsi="宋体" w:cs="宋体"/>
                <w:sz w:val="18"/>
                <w:szCs w:val="18"/>
              </w:rPr>
            </w:pPr>
            <w:r>
              <w:rPr>
                <w:rFonts w:hint="eastAsia" w:ascii="宋体" w:hAnsi="宋体" w:cs="宋体"/>
                <w:sz w:val="18"/>
                <w:szCs w:val="18"/>
              </w:rPr>
              <w:t>8</w:t>
            </w:r>
          </w:p>
        </w:tc>
        <w:tc>
          <w:tcPr>
            <w:tcW w:w="1590" w:type="dxa"/>
            <w:vMerge w:val="restart"/>
            <w:tcBorders>
              <w:top w:val="single" w:color="auto" w:sz="4" w:space="0"/>
              <w:left w:val="single" w:color="auto" w:sz="4" w:space="0"/>
              <w:right w:val="single" w:color="auto" w:sz="4" w:space="0"/>
            </w:tcBorders>
            <w:shd w:val="clear" w:color="auto" w:fill="auto"/>
            <w:noWrap/>
            <w:vAlign w:val="center"/>
          </w:tcPr>
          <w:p>
            <w:pPr>
              <w:spacing w:line="340" w:lineRule="exact"/>
              <w:jc w:val="center"/>
              <w:rPr>
                <w:rFonts w:hint="eastAsia"/>
                <w:sz w:val="18"/>
                <w:szCs w:val="18"/>
              </w:rPr>
            </w:pPr>
            <w:r>
              <w:rPr>
                <w:rFonts w:hint="eastAsia"/>
                <w:sz w:val="18"/>
                <w:szCs w:val="18"/>
              </w:rPr>
              <w:t>邻氯苯腈车间</w:t>
            </w:r>
          </w:p>
          <w:p>
            <w:pPr>
              <w:spacing w:line="340" w:lineRule="exact"/>
              <w:jc w:val="center"/>
              <w:rPr>
                <w:rFonts w:ascii="宋体" w:hAnsi="宋体" w:cs="宋体"/>
                <w:sz w:val="18"/>
                <w:szCs w:val="18"/>
              </w:rPr>
            </w:pPr>
            <w:r>
              <w:rPr>
                <w:rFonts w:hint="eastAsia"/>
                <w:sz w:val="18"/>
                <w:szCs w:val="18"/>
              </w:rPr>
              <w:t>一楼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624" w:type="dxa"/>
            <w:tcBorders>
              <w:top w:val="single" w:color="auto" w:sz="4" w:space="0"/>
              <w:left w:val="single" w:color="auto" w:sz="4" w:space="0"/>
              <w:bottom w:val="single" w:color="auto" w:sz="4" w:space="0"/>
              <w:right w:val="single" w:color="auto" w:sz="4" w:space="0"/>
            </w:tcBorders>
            <w:shd w:val="clear" w:color="auto" w:fill="auto"/>
            <w:noWrap/>
            <w:vAlign w:val="top"/>
          </w:tcPr>
          <w:p>
            <w:pPr>
              <w:spacing w:line="340" w:lineRule="exact"/>
              <w:jc w:val="center"/>
              <w:rPr>
                <w:rFonts w:ascii="宋体" w:hAnsi="宋体" w:eastAsia="宋体" w:cs="宋体"/>
                <w:kern w:val="2"/>
                <w:sz w:val="18"/>
                <w:szCs w:val="18"/>
                <w:lang w:val="en-US" w:eastAsia="zh-CN" w:bidi="ar-SA"/>
              </w:rPr>
            </w:pPr>
            <w:r>
              <w:rPr>
                <w:rFonts w:hint="eastAsia" w:ascii="宋体" w:hAnsi="宋体" w:cs="宋体"/>
                <w:sz w:val="18"/>
                <w:szCs w:val="18"/>
              </w:rPr>
              <w:t>8</w:t>
            </w:r>
          </w:p>
        </w:tc>
        <w:tc>
          <w:tcPr>
            <w:tcW w:w="2260" w:type="dxa"/>
            <w:tcBorders>
              <w:top w:val="single" w:color="auto" w:sz="4" w:space="0"/>
              <w:left w:val="single" w:color="auto" w:sz="4" w:space="0"/>
              <w:bottom w:val="single" w:color="auto" w:sz="4" w:space="0"/>
              <w:right w:val="single" w:color="auto" w:sz="4" w:space="0"/>
            </w:tcBorders>
            <w:shd w:val="clear" w:color="auto" w:fill="auto"/>
            <w:noWrap/>
          </w:tcPr>
          <w:p>
            <w:pPr>
              <w:spacing w:line="340" w:lineRule="exact"/>
              <w:jc w:val="center"/>
              <w:rPr>
                <w:rFonts w:hint="eastAsia" w:ascii="宋体" w:hAnsi="宋体" w:eastAsia="宋体" w:cs="宋体"/>
                <w:sz w:val="18"/>
                <w:szCs w:val="18"/>
                <w:lang w:eastAsia="zh-CN"/>
              </w:rPr>
            </w:pPr>
            <w:r>
              <w:rPr>
                <w:rFonts w:hint="eastAsia" w:ascii="宋体" w:hAnsi="宋体" w:cs="宋体"/>
                <w:sz w:val="18"/>
                <w:szCs w:val="18"/>
                <w:lang w:eastAsia="zh-CN"/>
              </w:rPr>
              <w:t>氯气捕消器</w:t>
            </w:r>
          </w:p>
        </w:tc>
        <w:tc>
          <w:tcPr>
            <w:tcW w:w="1770" w:type="dxa"/>
            <w:tcBorders>
              <w:top w:val="single" w:color="auto" w:sz="4" w:space="0"/>
              <w:left w:val="single" w:color="auto" w:sz="4" w:space="0"/>
              <w:bottom w:val="single" w:color="auto" w:sz="4" w:space="0"/>
              <w:right w:val="single" w:color="auto" w:sz="4" w:space="0"/>
            </w:tcBorders>
            <w:shd w:val="clear" w:color="auto" w:fill="auto"/>
            <w:noWrap/>
          </w:tcPr>
          <w:p>
            <w:pPr>
              <w:spacing w:line="340" w:lineRule="exact"/>
              <w:jc w:val="center"/>
              <w:rPr>
                <w:rFonts w:hint="default" w:ascii="宋体" w:hAnsi="宋体" w:eastAsia="宋体" w:cs="宋体"/>
                <w:sz w:val="18"/>
                <w:szCs w:val="18"/>
                <w:lang w:val="en-US" w:eastAsia="zh-CN"/>
              </w:rPr>
            </w:pPr>
            <w:r>
              <w:rPr>
                <w:rFonts w:hint="eastAsia" w:ascii="宋体" w:hAnsi="宋体" w:cs="宋体"/>
                <w:sz w:val="18"/>
                <w:szCs w:val="18"/>
                <w:lang w:val="en-US" w:eastAsia="zh-CN"/>
              </w:rPr>
              <w:t>LPX-8</w:t>
            </w:r>
          </w:p>
        </w:tc>
        <w:tc>
          <w:tcPr>
            <w:tcW w:w="1270" w:type="dxa"/>
            <w:tcBorders>
              <w:top w:val="single" w:color="auto" w:sz="4" w:space="0"/>
              <w:left w:val="single" w:color="auto" w:sz="4" w:space="0"/>
              <w:bottom w:val="single" w:color="auto" w:sz="4" w:space="0"/>
              <w:right w:val="single" w:color="auto" w:sz="4" w:space="0"/>
            </w:tcBorders>
            <w:shd w:val="clear" w:color="auto" w:fill="auto"/>
            <w:noWrap/>
          </w:tcPr>
          <w:p>
            <w:pPr>
              <w:spacing w:line="340" w:lineRule="exact"/>
              <w:jc w:val="center"/>
              <w:rPr>
                <w:rFonts w:hint="eastAsia" w:ascii="宋体" w:hAnsi="宋体" w:eastAsia="宋体" w:cs="宋体"/>
                <w:sz w:val="18"/>
                <w:szCs w:val="18"/>
                <w:lang w:eastAsia="zh-CN"/>
              </w:rPr>
            </w:pPr>
            <w:r>
              <w:rPr>
                <w:rFonts w:hint="eastAsia" w:ascii="宋体" w:hAnsi="宋体" w:cs="宋体"/>
                <w:sz w:val="18"/>
                <w:szCs w:val="18"/>
                <w:lang w:eastAsia="zh-CN"/>
              </w:rPr>
              <w:t>吸收氯气</w:t>
            </w:r>
          </w:p>
        </w:tc>
        <w:tc>
          <w:tcPr>
            <w:tcW w:w="1080" w:type="dxa"/>
            <w:tcBorders>
              <w:top w:val="single" w:color="auto" w:sz="4" w:space="0"/>
              <w:left w:val="single" w:color="auto" w:sz="4" w:space="0"/>
              <w:bottom w:val="single" w:color="auto" w:sz="4" w:space="0"/>
              <w:right w:val="single" w:color="auto" w:sz="4" w:space="0"/>
            </w:tcBorders>
            <w:shd w:val="clear" w:color="auto" w:fill="auto"/>
            <w:noWrap/>
          </w:tcPr>
          <w:p>
            <w:pPr>
              <w:spacing w:line="340" w:lineRule="exact"/>
              <w:jc w:val="center"/>
              <w:rPr>
                <w:rFonts w:ascii="宋体" w:hAnsi="宋体" w:cs="宋体"/>
                <w:sz w:val="18"/>
                <w:szCs w:val="18"/>
              </w:rPr>
            </w:pPr>
            <w:r>
              <w:rPr>
                <w:rFonts w:hint="eastAsia" w:ascii="宋体" w:hAnsi="宋体" w:cs="宋体"/>
                <w:sz w:val="18"/>
                <w:szCs w:val="18"/>
              </w:rPr>
              <w:t>2</w:t>
            </w:r>
          </w:p>
        </w:tc>
        <w:tc>
          <w:tcPr>
            <w:tcW w:w="1590" w:type="dxa"/>
            <w:vMerge w:val="continue"/>
            <w:tcBorders>
              <w:left w:val="single" w:color="auto" w:sz="4" w:space="0"/>
              <w:right w:val="single" w:color="auto" w:sz="4" w:space="0"/>
            </w:tcBorders>
            <w:shd w:val="clear" w:color="auto" w:fill="auto"/>
            <w:noWrap/>
            <w:vAlign w:val="center"/>
          </w:tcPr>
          <w:p>
            <w:pPr>
              <w:spacing w:line="340" w:lineRule="exact"/>
              <w:jc w:val="center"/>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624" w:type="dxa"/>
            <w:tcBorders>
              <w:top w:val="single" w:color="auto" w:sz="4" w:space="0"/>
              <w:left w:val="single" w:color="auto" w:sz="4" w:space="0"/>
              <w:bottom w:val="single" w:color="auto" w:sz="4" w:space="0"/>
              <w:right w:val="single" w:color="auto" w:sz="4" w:space="0"/>
            </w:tcBorders>
            <w:shd w:val="clear" w:color="auto" w:fill="auto"/>
            <w:noWrap/>
            <w:vAlign w:val="top"/>
          </w:tcPr>
          <w:p>
            <w:pPr>
              <w:spacing w:line="340" w:lineRule="exact"/>
              <w:jc w:val="center"/>
              <w:rPr>
                <w:rFonts w:ascii="宋体" w:hAnsi="宋体" w:eastAsia="宋体" w:cs="宋体"/>
                <w:kern w:val="2"/>
                <w:sz w:val="18"/>
                <w:szCs w:val="18"/>
                <w:lang w:val="en-US" w:eastAsia="zh-CN" w:bidi="ar-SA"/>
              </w:rPr>
            </w:pPr>
            <w:r>
              <w:rPr>
                <w:rFonts w:hint="eastAsia" w:ascii="宋体" w:hAnsi="宋体" w:cs="宋体"/>
                <w:sz w:val="18"/>
                <w:szCs w:val="18"/>
              </w:rPr>
              <w:t>9</w:t>
            </w:r>
          </w:p>
        </w:tc>
        <w:tc>
          <w:tcPr>
            <w:tcW w:w="2260" w:type="dxa"/>
            <w:tcBorders>
              <w:top w:val="single" w:color="auto" w:sz="4" w:space="0"/>
              <w:left w:val="single" w:color="auto" w:sz="4" w:space="0"/>
              <w:bottom w:val="single" w:color="auto" w:sz="4" w:space="0"/>
              <w:right w:val="single" w:color="auto" w:sz="4" w:space="0"/>
            </w:tcBorders>
            <w:shd w:val="clear" w:color="auto" w:fill="auto"/>
            <w:noWrap/>
          </w:tcPr>
          <w:p>
            <w:pPr>
              <w:spacing w:line="340" w:lineRule="exact"/>
              <w:jc w:val="center"/>
              <w:rPr>
                <w:rFonts w:ascii="宋体" w:hAnsi="宋体" w:cs="宋体"/>
                <w:sz w:val="18"/>
                <w:szCs w:val="18"/>
              </w:rPr>
            </w:pPr>
            <w:r>
              <w:rPr>
                <w:rFonts w:hint="eastAsia" w:ascii="宋体" w:hAnsi="宋体" w:cs="宋体"/>
                <w:sz w:val="18"/>
                <w:szCs w:val="18"/>
              </w:rPr>
              <w:t>推车式干粉灭火器</w:t>
            </w:r>
          </w:p>
        </w:tc>
        <w:tc>
          <w:tcPr>
            <w:tcW w:w="1770" w:type="dxa"/>
            <w:tcBorders>
              <w:top w:val="single" w:color="auto" w:sz="4" w:space="0"/>
              <w:left w:val="single" w:color="auto" w:sz="4" w:space="0"/>
              <w:bottom w:val="single" w:color="auto" w:sz="4" w:space="0"/>
              <w:right w:val="single" w:color="auto" w:sz="4" w:space="0"/>
            </w:tcBorders>
            <w:shd w:val="clear" w:color="auto" w:fill="auto"/>
            <w:noWrap/>
          </w:tcPr>
          <w:p>
            <w:pPr>
              <w:spacing w:line="340" w:lineRule="exact"/>
              <w:jc w:val="center"/>
              <w:rPr>
                <w:rFonts w:ascii="宋体" w:hAnsi="宋体" w:cs="宋体"/>
                <w:sz w:val="18"/>
                <w:szCs w:val="18"/>
              </w:rPr>
            </w:pPr>
            <w:r>
              <w:rPr>
                <w:rFonts w:hint="eastAsia" w:ascii="宋体" w:hAnsi="宋体" w:cs="宋体"/>
                <w:sz w:val="18"/>
                <w:szCs w:val="18"/>
              </w:rPr>
              <w:t>MFZ/ABC8</w:t>
            </w:r>
          </w:p>
        </w:tc>
        <w:tc>
          <w:tcPr>
            <w:tcW w:w="1270" w:type="dxa"/>
            <w:tcBorders>
              <w:top w:val="single" w:color="auto" w:sz="4" w:space="0"/>
              <w:left w:val="single" w:color="auto" w:sz="4" w:space="0"/>
              <w:bottom w:val="single" w:color="auto" w:sz="4" w:space="0"/>
              <w:right w:val="single" w:color="auto" w:sz="4" w:space="0"/>
            </w:tcBorders>
            <w:shd w:val="clear" w:color="auto" w:fill="auto"/>
            <w:noWrap/>
          </w:tcPr>
          <w:p>
            <w:pPr>
              <w:spacing w:line="340" w:lineRule="exact"/>
              <w:jc w:val="center"/>
              <w:rPr>
                <w:rFonts w:ascii="宋体" w:hAnsi="宋体" w:cs="宋体"/>
                <w:sz w:val="18"/>
                <w:szCs w:val="18"/>
              </w:rPr>
            </w:pPr>
            <w:r>
              <w:rPr>
                <w:rFonts w:hint="eastAsia" w:ascii="宋体" w:hAnsi="宋体" w:cs="宋体"/>
                <w:sz w:val="18"/>
                <w:szCs w:val="18"/>
              </w:rPr>
              <w:t>火灾扑救</w:t>
            </w:r>
          </w:p>
        </w:tc>
        <w:tc>
          <w:tcPr>
            <w:tcW w:w="1080" w:type="dxa"/>
            <w:tcBorders>
              <w:top w:val="single" w:color="auto" w:sz="4" w:space="0"/>
              <w:left w:val="single" w:color="auto" w:sz="4" w:space="0"/>
              <w:bottom w:val="single" w:color="auto" w:sz="4" w:space="0"/>
              <w:right w:val="single" w:color="auto" w:sz="4" w:space="0"/>
            </w:tcBorders>
            <w:shd w:val="clear" w:color="auto" w:fill="auto"/>
            <w:noWrap/>
          </w:tcPr>
          <w:p>
            <w:pPr>
              <w:spacing w:line="340" w:lineRule="exact"/>
              <w:jc w:val="center"/>
              <w:rPr>
                <w:rFonts w:ascii="宋体" w:hAnsi="宋体" w:cs="宋体"/>
                <w:sz w:val="18"/>
                <w:szCs w:val="18"/>
              </w:rPr>
            </w:pPr>
            <w:r>
              <w:rPr>
                <w:rFonts w:hint="eastAsia" w:ascii="宋体" w:hAnsi="宋体" w:cs="宋体"/>
                <w:sz w:val="18"/>
                <w:szCs w:val="18"/>
              </w:rPr>
              <w:t>3</w:t>
            </w:r>
          </w:p>
        </w:tc>
        <w:tc>
          <w:tcPr>
            <w:tcW w:w="1590" w:type="dxa"/>
            <w:vMerge w:val="continue"/>
            <w:tcBorders>
              <w:left w:val="single" w:color="auto" w:sz="4" w:space="0"/>
              <w:right w:val="single" w:color="auto" w:sz="4" w:space="0"/>
            </w:tcBorders>
            <w:shd w:val="clear" w:color="auto" w:fill="auto"/>
            <w:noWrap/>
            <w:vAlign w:val="center"/>
          </w:tcPr>
          <w:p>
            <w:pPr>
              <w:spacing w:line="340" w:lineRule="exact"/>
              <w:jc w:val="center"/>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624" w:type="dxa"/>
            <w:tcBorders>
              <w:top w:val="single" w:color="auto" w:sz="4" w:space="0"/>
              <w:left w:val="single" w:color="auto" w:sz="4" w:space="0"/>
              <w:bottom w:val="single" w:color="auto" w:sz="4" w:space="0"/>
              <w:right w:val="single" w:color="auto" w:sz="4" w:space="0"/>
            </w:tcBorders>
            <w:shd w:val="clear" w:color="auto" w:fill="auto"/>
            <w:noWrap/>
            <w:vAlign w:val="top"/>
          </w:tcPr>
          <w:p>
            <w:pPr>
              <w:spacing w:line="340" w:lineRule="exact"/>
              <w:jc w:val="center"/>
              <w:rPr>
                <w:rFonts w:ascii="宋体" w:hAnsi="宋体" w:eastAsia="宋体" w:cs="宋体"/>
                <w:kern w:val="2"/>
                <w:sz w:val="18"/>
                <w:szCs w:val="18"/>
                <w:lang w:val="en-US" w:eastAsia="zh-CN" w:bidi="ar-SA"/>
              </w:rPr>
            </w:pPr>
            <w:r>
              <w:rPr>
                <w:rFonts w:hint="eastAsia" w:ascii="宋体" w:hAnsi="宋体" w:cs="宋体"/>
                <w:sz w:val="18"/>
                <w:szCs w:val="18"/>
              </w:rPr>
              <w:t>10</w:t>
            </w:r>
          </w:p>
        </w:tc>
        <w:tc>
          <w:tcPr>
            <w:tcW w:w="2260" w:type="dxa"/>
            <w:tcBorders>
              <w:top w:val="single" w:color="auto" w:sz="4" w:space="0"/>
              <w:left w:val="single" w:color="auto" w:sz="4" w:space="0"/>
              <w:bottom w:val="single" w:color="auto" w:sz="4" w:space="0"/>
              <w:right w:val="single" w:color="auto" w:sz="4" w:space="0"/>
            </w:tcBorders>
            <w:shd w:val="clear" w:color="auto" w:fill="auto"/>
            <w:noWrap/>
          </w:tcPr>
          <w:p>
            <w:pPr>
              <w:spacing w:line="340" w:lineRule="exact"/>
              <w:jc w:val="center"/>
              <w:rPr>
                <w:rFonts w:ascii="宋体" w:hAnsi="宋体" w:cs="宋体"/>
                <w:sz w:val="18"/>
                <w:szCs w:val="18"/>
              </w:rPr>
            </w:pPr>
            <w:r>
              <w:rPr>
                <w:rFonts w:hint="eastAsia" w:ascii="宋体" w:hAnsi="宋体" w:cs="宋体"/>
                <w:sz w:val="18"/>
                <w:szCs w:val="18"/>
              </w:rPr>
              <w:t>地上消火栓</w:t>
            </w:r>
          </w:p>
        </w:tc>
        <w:tc>
          <w:tcPr>
            <w:tcW w:w="1770" w:type="dxa"/>
            <w:tcBorders>
              <w:top w:val="single" w:color="auto" w:sz="4" w:space="0"/>
              <w:left w:val="single" w:color="auto" w:sz="4" w:space="0"/>
              <w:bottom w:val="single" w:color="auto" w:sz="4" w:space="0"/>
              <w:right w:val="single" w:color="auto" w:sz="4" w:space="0"/>
            </w:tcBorders>
            <w:shd w:val="clear" w:color="auto" w:fill="auto"/>
            <w:noWrap/>
          </w:tcPr>
          <w:p>
            <w:pPr>
              <w:spacing w:line="340" w:lineRule="exact"/>
              <w:jc w:val="center"/>
              <w:rPr>
                <w:rFonts w:ascii="宋体" w:hAnsi="宋体" w:cs="宋体"/>
                <w:sz w:val="18"/>
                <w:szCs w:val="18"/>
              </w:rPr>
            </w:pPr>
            <w:r>
              <w:rPr>
                <w:rFonts w:hint="eastAsia" w:ascii="宋体" w:hAnsi="宋体" w:cs="宋体"/>
                <w:sz w:val="18"/>
                <w:szCs w:val="18"/>
              </w:rPr>
              <w:t>SS100/65-1.6</w:t>
            </w:r>
          </w:p>
        </w:tc>
        <w:tc>
          <w:tcPr>
            <w:tcW w:w="1270" w:type="dxa"/>
            <w:tcBorders>
              <w:top w:val="single" w:color="auto" w:sz="4" w:space="0"/>
              <w:left w:val="single" w:color="auto" w:sz="4" w:space="0"/>
              <w:bottom w:val="single" w:color="auto" w:sz="4" w:space="0"/>
              <w:right w:val="single" w:color="auto" w:sz="4" w:space="0"/>
            </w:tcBorders>
            <w:shd w:val="clear" w:color="auto" w:fill="auto"/>
            <w:noWrap/>
          </w:tcPr>
          <w:p>
            <w:pPr>
              <w:spacing w:line="340" w:lineRule="exact"/>
              <w:jc w:val="center"/>
              <w:rPr>
                <w:rFonts w:ascii="宋体" w:hAnsi="宋体" w:cs="宋体"/>
                <w:sz w:val="18"/>
                <w:szCs w:val="18"/>
              </w:rPr>
            </w:pPr>
            <w:r>
              <w:rPr>
                <w:rFonts w:hint="eastAsia" w:ascii="宋体" w:hAnsi="宋体" w:cs="宋体"/>
                <w:sz w:val="18"/>
                <w:szCs w:val="18"/>
              </w:rPr>
              <w:t>消防应急</w:t>
            </w:r>
          </w:p>
        </w:tc>
        <w:tc>
          <w:tcPr>
            <w:tcW w:w="1080" w:type="dxa"/>
            <w:tcBorders>
              <w:top w:val="single" w:color="auto" w:sz="4" w:space="0"/>
              <w:left w:val="single" w:color="auto" w:sz="4" w:space="0"/>
              <w:bottom w:val="single" w:color="auto" w:sz="4" w:space="0"/>
              <w:right w:val="single" w:color="auto" w:sz="4" w:space="0"/>
            </w:tcBorders>
            <w:shd w:val="clear" w:color="auto" w:fill="auto"/>
            <w:noWrap/>
          </w:tcPr>
          <w:p>
            <w:pPr>
              <w:spacing w:line="340" w:lineRule="exact"/>
              <w:jc w:val="center"/>
              <w:rPr>
                <w:rFonts w:ascii="宋体" w:hAnsi="宋体" w:cs="宋体"/>
                <w:sz w:val="18"/>
                <w:szCs w:val="18"/>
              </w:rPr>
            </w:pPr>
            <w:r>
              <w:rPr>
                <w:rFonts w:hint="eastAsia" w:ascii="宋体" w:hAnsi="宋体" w:cs="宋体"/>
                <w:sz w:val="18"/>
                <w:szCs w:val="18"/>
              </w:rPr>
              <w:t>3</w:t>
            </w:r>
          </w:p>
        </w:tc>
        <w:tc>
          <w:tcPr>
            <w:tcW w:w="1590" w:type="dxa"/>
            <w:vMerge w:val="continue"/>
            <w:tcBorders>
              <w:left w:val="single" w:color="auto" w:sz="4" w:space="0"/>
              <w:bottom w:val="single" w:color="auto" w:sz="4" w:space="0"/>
              <w:right w:val="single" w:color="auto" w:sz="4" w:space="0"/>
            </w:tcBorders>
            <w:shd w:val="clear" w:color="auto" w:fill="auto"/>
            <w:noWrap/>
            <w:vAlign w:val="center"/>
          </w:tcPr>
          <w:p>
            <w:pPr>
              <w:spacing w:line="340" w:lineRule="exact"/>
              <w:jc w:val="center"/>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624" w:type="dxa"/>
            <w:tcBorders>
              <w:top w:val="single" w:color="auto" w:sz="4" w:space="0"/>
              <w:left w:val="single" w:color="auto" w:sz="4" w:space="0"/>
              <w:bottom w:val="single" w:color="auto" w:sz="4" w:space="0"/>
              <w:right w:val="single" w:color="auto" w:sz="4" w:space="0"/>
            </w:tcBorders>
            <w:shd w:val="clear" w:color="auto" w:fill="auto"/>
            <w:noWrap/>
            <w:vAlign w:val="top"/>
          </w:tcPr>
          <w:p>
            <w:pPr>
              <w:spacing w:line="340" w:lineRule="exact"/>
              <w:jc w:val="center"/>
              <w:rPr>
                <w:rFonts w:ascii="宋体" w:hAnsi="宋体" w:eastAsia="宋体" w:cs="宋体"/>
                <w:kern w:val="2"/>
                <w:sz w:val="18"/>
                <w:szCs w:val="18"/>
                <w:lang w:val="en-US" w:eastAsia="zh-CN" w:bidi="ar-SA"/>
              </w:rPr>
            </w:pPr>
            <w:r>
              <w:rPr>
                <w:rFonts w:hint="eastAsia" w:ascii="宋体" w:hAnsi="宋体" w:cs="宋体"/>
                <w:sz w:val="18"/>
                <w:szCs w:val="18"/>
              </w:rPr>
              <w:t>11</w:t>
            </w:r>
          </w:p>
        </w:tc>
        <w:tc>
          <w:tcPr>
            <w:tcW w:w="2260" w:type="dxa"/>
            <w:tcBorders>
              <w:top w:val="single" w:color="auto" w:sz="4" w:space="0"/>
              <w:left w:val="single" w:color="auto" w:sz="4" w:space="0"/>
              <w:bottom w:val="single" w:color="auto" w:sz="4" w:space="0"/>
              <w:right w:val="single" w:color="auto" w:sz="4" w:space="0"/>
            </w:tcBorders>
            <w:shd w:val="clear" w:color="auto" w:fill="auto"/>
            <w:noWrap/>
          </w:tcPr>
          <w:p>
            <w:pPr>
              <w:spacing w:line="340" w:lineRule="exact"/>
              <w:jc w:val="center"/>
              <w:rPr>
                <w:rFonts w:ascii="宋体" w:hAnsi="宋体" w:cs="宋体"/>
                <w:sz w:val="18"/>
                <w:szCs w:val="18"/>
              </w:rPr>
            </w:pPr>
            <w:r>
              <w:rPr>
                <w:rFonts w:hint="eastAsia" w:ascii="宋体" w:hAnsi="宋体" w:cs="宋体"/>
                <w:sz w:val="18"/>
                <w:szCs w:val="18"/>
              </w:rPr>
              <w:t>手提式干粉灭火器</w:t>
            </w:r>
          </w:p>
        </w:tc>
        <w:tc>
          <w:tcPr>
            <w:tcW w:w="1770" w:type="dxa"/>
            <w:tcBorders>
              <w:top w:val="single" w:color="auto" w:sz="4" w:space="0"/>
              <w:left w:val="single" w:color="auto" w:sz="4" w:space="0"/>
              <w:bottom w:val="single" w:color="auto" w:sz="4" w:space="0"/>
              <w:right w:val="single" w:color="auto" w:sz="4" w:space="0"/>
            </w:tcBorders>
            <w:shd w:val="clear" w:color="auto" w:fill="auto"/>
            <w:noWrap/>
          </w:tcPr>
          <w:p>
            <w:pPr>
              <w:spacing w:line="340" w:lineRule="exact"/>
              <w:jc w:val="center"/>
              <w:rPr>
                <w:rFonts w:ascii="宋体" w:hAnsi="宋体" w:cs="宋体"/>
                <w:sz w:val="18"/>
                <w:szCs w:val="18"/>
              </w:rPr>
            </w:pPr>
            <w:r>
              <w:rPr>
                <w:rFonts w:hint="eastAsia" w:ascii="宋体" w:hAnsi="宋体" w:cs="宋体"/>
                <w:sz w:val="18"/>
                <w:szCs w:val="18"/>
              </w:rPr>
              <w:t>MFZ/ABC8</w:t>
            </w:r>
          </w:p>
        </w:tc>
        <w:tc>
          <w:tcPr>
            <w:tcW w:w="1270" w:type="dxa"/>
            <w:tcBorders>
              <w:top w:val="single" w:color="auto" w:sz="4" w:space="0"/>
              <w:left w:val="single" w:color="auto" w:sz="4" w:space="0"/>
              <w:bottom w:val="single" w:color="auto" w:sz="4" w:space="0"/>
              <w:right w:val="single" w:color="auto" w:sz="4" w:space="0"/>
            </w:tcBorders>
            <w:shd w:val="clear" w:color="auto" w:fill="auto"/>
            <w:noWrap/>
          </w:tcPr>
          <w:p>
            <w:pPr>
              <w:spacing w:line="340" w:lineRule="exact"/>
              <w:jc w:val="center"/>
              <w:rPr>
                <w:rFonts w:ascii="宋体" w:hAnsi="宋体" w:cs="宋体"/>
                <w:sz w:val="18"/>
                <w:szCs w:val="18"/>
              </w:rPr>
            </w:pPr>
            <w:r>
              <w:rPr>
                <w:rFonts w:hint="eastAsia" w:ascii="宋体" w:hAnsi="宋体" w:cs="宋体"/>
                <w:sz w:val="18"/>
                <w:szCs w:val="18"/>
              </w:rPr>
              <w:t>火灾扑救</w:t>
            </w:r>
          </w:p>
        </w:tc>
        <w:tc>
          <w:tcPr>
            <w:tcW w:w="1080" w:type="dxa"/>
            <w:tcBorders>
              <w:top w:val="single" w:color="auto" w:sz="4" w:space="0"/>
              <w:left w:val="single" w:color="auto" w:sz="4" w:space="0"/>
              <w:bottom w:val="single" w:color="auto" w:sz="4" w:space="0"/>
              <w:right w:val="single" w:color="auto" w:sz="4" w:space="0"/>
            </w:tcBorders>
            <w:shd w:val="clear" w:color="auto" w:fill="auto"/>
            <w:noWrap/>
          </w:tcPr>
          <w:p>
            <w:pPr>
              <w:spacing w:line="340" w:lineRule="exact"/>
              <w:jc w:val="center"/>
              <w:rPr>
                <w:rFonts w:ascii="宋体" w:hAnsi="宋体" w:cs="宋体"/>
                <w:sz w:val="18"/>
                <w:szCs w:val="18"/>
              </w:rPr>
            </w:pPr>
            <w:r>
              <w:rPr>
                <w:rFonts w:hint="eastAsia" w:ascii="宋体" w:hAnsi="宋体" w:cs="宋体"/>
                <w:sz w:val="18"/>
                <w:szCs w:val="18"/>
              </w:rPr>
              <w:t>10</w:t>
            </w:r>
          </w:p>
        </w:tc>
        <w:tc>
          <w:tcPr>
            <w:tcW w:w="1590" w:type="dxa"/>
            <w:vMerge w:val="restart"/>
            <w:tcBorders>
              <w:top w:val="single" w:color="auto" w:sz="4" w:space="0"/>
              <w:left w:val="single" w:color="auto" w:sz="4" w:space="0"/>
              <w:right w:val="single" w:color="auto" w:sz="4" w:space="0"/>
            </w:tcBorders>
            <w:shd w:val="clear" w:color="auto" w:fill="auto"/>
            <w:noWrap/>
            <w:vAlign w:val="center"/>
          </w:tcPr>
          <w:p>
            <w:pPr>
              <w:spacing w:line="340" w:lineRule="exact"/>
              <w:jc w:val="center"/>
              <w:rPr>
                <w:rFonts w:hint="eastAsia"/>
                <w:sz w:val="18"/>
                <w:szCs w:val="18"/>
              </w:rPr>
            </w:pPr>
            <w:r>
              <w:rPr>
                <w:rFonts w:hint="eastAsia"/>
                <w:sz w:val="18"/>
                <w:szCs w:val="18"/>
              </w:rPr>
              <w:t>邻氯苯腈车间</w:t>
            </w:r>
          </w:p>
          <w:p>
            <w:pPr>
              <w:spacing w:line="340" w:lineRule="exact"/>
              <w:jc w:val="center"/>
              <w:rPr>
                <w:rFonts w:ascii="宋体" w:hAnsi="宋体" w:cs="宋体"/>
                <w:sz w:val="18"/>
                <w:szCs w:val="18"/>
              </w:rPr>
            </w:pPr>
            <w:r>
              <w:rPr>
                <w:rFonts w:hint="eastAsia"/>
                <w:sz w:val="18"/>
                <w:szCs w:val="18"/>
              </w:rPr>
              <w:t>二楼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624" w:type="dxa"/>
            <w:tcBorders>
              <w:top w:val="single" w:color="auto" w:sz="4" w:space="0"/>
              <w:left w:val="single" w:color="auto" w:sz="4" w:space="0"/>
              <w:bottom w:val="single" w:color="auto" w:sz="4" w:space="0"/>
              <w:right w:val="single" w:color="auto" w:sz="4" w:space="0"/>
            </w:tcBorders>
            <w:shd w:val="clear" w:color="auto" w:fill="auto"/>
            <w:noWrap/>
            <w:vAlign w:val="top"/>
          </w:tcPr>
          <w:p>
            <w:pPr>
              <w:spacing w:line="340" w:lineRule="exact"/>
              <w:jc w:val="center"/>
              <w:rPr>
                <w:rFonts w:hint="default" w:ascii="宋体" w:hAnsi="宋体" w:eastAsia="宋体" w:cs="宋体"/>
                <w:kern w:val="2"/>
                <w:sz w:val="18"/>
                <w:szCs w:val="18"/>
                <w:lang w:val="en-US" w:eastAsia="zh-CN" w:bidi="ar-SA"/>
              </w:rPr>
            </w:pPr>
            <w:r>
              <w:rPr>
                <w:rFonts w:hint="eastAsia" w:ascii="宋体" w:hAnsi="宋体" w:cs="宋体"/>
                <w:kern w:val="2"/>
                <w:sz w:val="18"/>
                <w:szCs w:val="18"/>
                <w:lang w:val="en-US" w:eastAsia="zh-CN" w:bidi="ar-SA"/>
              </w:rPr>
              <w:t>12</w:t>
            </w:r>
          </w:p>
        </w:tc>
        <w:tc>
          <w:tcPr>
            <w:tcW w:w="2260" w:type="dxa"/>
            <w:tcBorders>
              <w:top w:val="single" w:color="auto" w:sz="4" w:space="0"/>
              <w:left w:val="single" w:color="auto" w:sz="4" w:space="0"/>
              <w:bottom w:val="single" w:color="auto" w:sz="4" w:space="0"/>
              <w:right w:val="single" w:color="auto" w:sz="4" w:space="0"/>
            </w:tcBorders>
            <w:shd w:val="clear" w:color="auto" w:fill="auto"/>
            <w:noWrap/>
          </w:tcPr>
          <w:p>
            <w:pPr>
              <w:spacing w:line="340" w:lineRule="exact"/>
              <w:jc w:val="center"/>
              <w:rPr>
                <w:rFonts w:ascii="宋体" w:hAnsi="宋体" w:cs="宋体"/>
                <w:sz w:val="18"/>
                <w:szCs w:val="18"/>
              </w:rPr>
            </w:pPr>
            <w:r>
              <w:rPr>
                <w:rFonts w:hint="eastAsia" w:ascii="宋体" w:hAnsi="宋体" w:cs="宋体"/>
                <w:sz w:val="18"/>
                <w:szCs w:val="18"/>
              </w:rPr>
              <w:t>推车式干粉灭火器</w:t>
            </w:r>
          </w:p>
        </w:tc>
        <w:tc>
          <w:tcPr>
            <w:tcW w:w="1770" w:type="dxa"/>
            <w:tcBorders>
              <w:top w:val="single" w:color="auto" w:sz="4" w:space="0"/>
              <w:left w:val="single" w:color="auto" w:sz="4" w:space="0"/>
              <w:bottom w:val="single" w:color="auto" w:sz="4" w:space="0"/>
              <w:right w:val="single" w:color="auto" w:sz="4" w:space="0"/>
            </w:tcBorders>
            <w:shd w:val="clear" w:color="auto" w:fill="auto"/>
            <w:noWrap/>
          </w:tcPr>
          <w:p>
            <w:pPr>
              <w:spacing w:line="340" w:lineRule="exact"/>
              <w:jc w:val="center"/>
              <w:rPr>
                <w:rFonts w:ascii="宋体" w:hAnsi="宋体" w:cs="宋体"/>
                <w:sz w:val="18"/>
                <w:szCs w:val="18"/>
              </w:rPr>
            </w:pPr>
            <w:r>
              <w:rPr>
                <w:rFonts w:hint="eastAsia" w:ascii="宋体" w:hAnsi="宋体" w:cs="宋体"/>
                <w:sz w:val="18"/>
                <w:szCs w:val="18"/>
              </w:rPr>
              <w:t>MFZ/ABC8</w:t>
            </w:r>
          </w:p>
        </w:tc>
        <w:tc>
          <w:tcPr>
            <w:tcW w:w="1270" w:type="dxa"/>
            <w:tcBorders>
              <w:top w:val="single" w:color="auto" w:sz="4" w:space="0"/>
              <w:left w:val="single" w:color="auto" w:sz="4" w:space="0"/>
              <w:bottom w:val="single" w:color="auto" w:sz="4" w:space="0"/>
              <w:right w:val="single" w:color="auto" w:sz="4" w:space="0"/>
            </w:tcBorders>
            <w:shd w:val="clear" w:color="auto" w:fill="auto"/>
            <w:noWrap/>
          </w:tcPr>
          <w:p>
            <w:pPr>
              <w:spacing w:line="340" w:lineRule="exact"/>
              <w:jc w:val="center"/>
              <w:rPr>
                <w:rFonts w:ascii="宋体" w:hAnsi="宋体" w:cs="宋体"/>
                <w:sz w:val="18"/>
                <w:szCs w:val="18"/>
              </w:rPr>
            </w:pPr>
            <w:r>
              <w:rPr>
                <w:rFonts w:hint="eastAsia" w:ascii="宋体" w:hAnsi="宋体" w:cs="宋体"/>
                <w:sz w:val="18"/>
                <w:szCs w:val="18"/>
              </w:rPr>
              <w:t>火灾扑救</w:t>
            </w:r>
          </w:p>
        </w:tc>
        <w:tc>
          <w:tcPr>
            <w:tcW w:w="1080" w:type="dxa"/>
            <w:tcBorders>
              <w:top w:val="single" w:color="auto" w:sz="4" w:space="0"/>
              <w:left w:val="single" w:color="auto" w:sz="4" w:space="0"/>
              <w:bottom w:val="single" w:color="auto" w:sz="4" w:space="0"/>
              <w:right w:val="single" w:color="auto" w:sz="4" w:space="0"/>
            </w:tcBorders>
            <w:shd w:val="clear" w:color="auto" w:fill="auto"/>
            <w:noWrap/>
          </w:tcPr>
          <w:p>
            <w:pPr>
              <w:spacing w:line="340" w:lineRule="exact"/>
              <w:jc w:val="center"/>
              <w:rPr>
                <w:rFonts w:ascii="宋体" w:hAnsi="宋体" w:cs="宋体"/>
                <w:sz w:val="18"/>
                <w:szCs w:val="18"/>
              </w:rPr>
            </w:pPr>
            <w:r>
              <w:rPr>
                <w:rFonts w:hint="eastAsia" w:ascii="宋体" w:hAnsi="宋体" w:cs="宋体"/>
                <w:sz w:val="18"/>
                <w:szCs w:val="18"/>
              </w:rPr>
              <w:t>2</w:t>
            </w:r>
          </w:p>
        </w:tc>
        <w:tc>
          <w:tcPr>
            <w:tcW w:w="1590" w:type="dxa"/>
            <w:vMerge w:val="continue"/>
            <w:tcBorders>
              <w:left w:val="single" w:color="auto" w:sz="4" w:space="0"/>
              <w:right w:val="single" w:color="auto" w:sz="4" w:space="0"/>
            </w:tcBorders>
            <w:shd w:val="clear" w:color="auto" w:fill="auto"/>
            <w:noWrap/>
            <w:vAlign w:val="center"/>
          </w:tcPr>
          <w:p>
            <w:pPr>
              <w:spacing w:line="340" w:lineRule="exact"/>
              <w:jc w:val="center"/>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624" w:type="dxa"/>
            <w:tcBorders>
              <w:top w:val="single" w:color="auto" w:sz="4" w:space="0"/>
              <w:left w:val="single" w:color="auto" w:sz="4" w:space="0"/>
              <w:bottom w:val="single" w:color="auto" w:sz="4" w:space="0"/>
              <w:right w:val="single" w:color="auto" w:sz="4" w:space="0"/>
            </w:tcBorders>
            <w:shd w:val="clear" w:color="auto" w:fill="auto"/>
            <w:noWrap/>
            <w:vAlign w:val="top"/>
          </w:tcPr>
          <w:p>
            <w:pPr>
              <w:spacing w:line="340" w:lineRule="exact"/>
              <w:jc w:val="center"/>
              <w:rPr>
                <w:rFonts w:hint="default" w:ascii="宋体" w:hAnsi="宋体" w:eastAsia="宋体" w:cs="宋体"/>
                <w:kern w:val="2"/>
                <w:sz w:val="18"/>
                <w:szCs w:val="18"/>
                <w:lang w:val="en-US" w:eastAsia="zh-CN" w:bidi="ar-SA"/>
              </w:rPr>
            </w:pPr>
            <w:r>
              <w:rPr>
                <w:rFonts w:hint="eastAsia" w:ascii="宋体" w:hAnsi="宋体" w:cs="宋体"/>
                <w:kern w:val="2"/>
                <w:sz w:val="18"/>
                <w:szCs w:val="18"/>
                <w:lang w:val="en-US" w:eastAsia="zh-CN" w:bidi="ar-SA"/>
              </w:rPr>
              <w:t>13</w:t>
            </w:r>
          </w:p>
        </w:tc>
        <w:tc>
          <w:tcPr>
            <w:tcW w:w="2260" w:type="dxa"/>
            <w:tcBorders>
              <w:top w:val="single" w:color="auto" w:sz="4" w:space="0"/>
              <w:left w:val="single" w:color="auto" w:sz="4" w:space="0"/>
              <w:bottom w:val="single" w:color="auto" w:sz="4" w:space="0"/>
              <w:right w:val="single" w:color="auto" w:sz="4" w:space="0"/>
            </w:tcBorders>
            <w:shd w:val="clear" w:color="auto" w:fill="auto"/>
            <w:noWrap/>
          </w:tcPr>
          <w:p>
            <w:pPr>
              <w:spacing w:line="340" w:lineRule="exact"/>
              <w:jc w:val="center"/>
              <w:rPr>
                <w:rFonts w:ascii="宋体" w:hAnsi="宋体" w:cs="宋体"/>
                <w:sz w:val="18"/>
                <w:szCs w:val="18"/>
              </w:rPr>
            </w:pPr>
            <w:r>
              <w:rPr>
                <w:rFonts w:hint="eastAsia" w:ascii="宋体" w:hAnsi="宋体" w:cs="宋体"/>
                <w:sz w:val="18"/>
                <w:szCs w:val="18"/>
              </w:rPr>
              <w:t>地上消火栓</w:t>
            </w:r>
          </w:p>
        </w:tc>
        <w:tc>
          <w:tcPr>
            <w:tcW w:w="1770" w:type="dxa"/>
            <w:tcBorders>
              <w:top w:val="single" w:color="auto" w:sz="4" w:space="0"/>
              <w:left w:val="single" w:color="auto" w:sz="4" w:space="0"/>
              <w:bottom w:val="single" w:color="auto" w:sz="4" w:space="0"/>
              <w:right w:val="single" w:color="auto" w:sz="4" w:space="0"/>
            </w:tcBorders>
            <w:shd w:val="clear" w:color="auto" w:fill="auto"/>
            <w:noWrap/>
          </w:tcPr>
          <w:p>
            <w:pPr>
              <w:spacing w:line="340" w:lineRule="exact"/>
              <w:jc w:val="center"/>
              <w:rPr>
                <w:rFonts w:ascii="宋体" w:hAnsi="宋体" w:cs="宋体"/>
                <w:sz w:val="18"/>
                <w:szCs w:val="18"/>
              </w:rPr>
            </w:pPr>
            <w:r>
              <w:rPr>
                <w:rFonts w:hint="eastAsia" w:ascii="宋体" w:hAnsi="宋体" w:cs="宋体"/>
                <w:sz w:val="18"/>
                <w:szCs w:val="18"/>
              </w:rPr>
              <w:t>SS100/65-1.6</w:t>
            </w:r>
          </w:p>
        </w:tc>
        <w:tc>
          <w:tcPr>
            <w:tcW w:w="1270" w:type="dxa"/>
            <w:tcBorders>
              <w:top w:val="single" w:color="auto" w:sz="4" w:space="0"/>
              <w:left w:val="single" w:color="auto" w:sz="4" w:space="0"/>
              <w:bottom w:val="single" w:color="auto" w:sz="4" w:space="0"/>
              <w:right w:val="single" w:color="auto" w:sz="4" w:space="0"/>
            </w:tcBorders>
            <w:shd w:val="clear" w:color="auto" w:fill="auto"/>
            <w:noWrap/>
          </w:tcPr>
          <w:p>
            <w:pPr>
              <w:spacing w:line="340" w:lineRule="exact"/>
              <w:jc w:val="center"/>
              <w:rPr>
                <w:rFonts w:ascii="宋体" w:hAnsi="宋体" w:cs="宋体"/>
                <w:sz w:val="18"/>
                <w:szCs w:val="18"/>
              </w:rPr>
            </w:pPr>
            <w:r>
              <w:rPr>
                <w:rFonts w:hint="eastAsia" w:ascii="宋体" w:hAnsi="宋体" w:cs="宋体"/>
                <w:sz w:val="18"/>
                <w:szCs w:val="18"/>
              </w:rPr>
              <w:t>消防应急</w:t>
            </w:r>
          </w:p>
        </w:tc>
        <w:tc>
          <w:tcPr>
            <w:tcW w:w="1080" w:type="dxa"/>
            <w:tcBorders>
              <w:top w:val="single" w:color="auto" w:sz="4" w:space="0"/>
              <w:left w:val="single" w:color="auto" w:sz="4" w:space="0"/>
              <w:bottom w:val="single" w:color="auto" w:sz="4" w:space="0"/>
              <w:right w:val="single" w:color="auto" w:sz="4" w:space="0"/>
            </w:tcBorders>
            <w:shd w:val="clear" w:color="auto" w:fill="auto"/>
            <w:noWrap/>
          </w:tcPr>
          <w:p>
            <w:pPr>
              <w:spacing w:line="340" w:lineRule="exact"/>
              <w:jc w:val="center"/>
              <w:rPr>
                <w:rFonts w:ascii="宋体" w:hAnsi="宋体" w:cs="宋体"/>
                <w:sz w:val="18"/>
                <w:szCs w:val="18"/>
              </w:rPr>
            </w:pPr>
            <w:r>
              <w:rPr>
                <w:rFonts w:hint="eastAsia" w:ascii="宋体" w:hAnsi="宋体" w:cs="宋体"/>
                <w:sz w:val="18"/>
                <w:szCs w:val="18"/>
              </w:rPr>
              <w:t>4</w:t>
            </w:r>
          </w:p>
        </w:tc>
        <w:tc>
          <w:tcPr>
            <w:tcW w:w="1590" w:type="dxa"/>
            <w:vMerge w:val="continue"/>
            <w:tcBorders>
              <w:left w:val="single" w:color="auto" w:sz="4" w:space="0"/>
              <w:bottom w:val="single" w:color="auto" w:sz="4" w:space="0"/>
              <w:right w:val="single" w:color="auto" w:sz="4" w:space="0"/>
            </w:tcBorders>
            <w:shd w:val="clear" w:color="auto" w:fill="auto"/>
            <w:noWrap/>
            <w:vAlign w:val="center"/>
          </w:tcPr>
          <w:p>
            <w:pPr>
              <w:spacing w:line="340" w:lineRule="exact"/>
              <w:jc w:val="center"/>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624" w:type="dxa"/>
            <w:tcBorders>
              <w:top w:val="single" w:color="auto" w:sz="4" w:space="0"/>
              <w:left w:val="single" w:color="auto" w:sz="4" w:space="0"/>
              <w:bottom w:val="single" w:color="auto" w:sz="4" w:space="0"/>
              <w:right w:val="single" w:color="auto" w:sz="4" w:space="0"/>
            </w:tcBorders>
            <w:shd w:val="clear" w:color="auto" w:fill="auto"/>
            <w:noWrap/>
            <w:vAlign w:val="top"/>
          </w:tcPr>
          <w:p>
            <w:pPr>
              <w:spacing w:line="340" w:lineRule="exact"/>
              <w:jc w:val="center"/>
              <w:rPr>
                <w:rFonts w:hint="default" w:ascii="宋体" w:hAnsi="宋体" w:eastAsia="宋体" w:cs="宋体"/>
                <w:kern w:val="2"/>
                <w:sz w:val="18"/>
                <w:szCs w:val="18"/>
                <w:lang w:val="en-US" w:eastAsia="zh-CN" w:bidi="ar-SA"/>
              </w:rPr>
            </w:pPr>
            <w:r>
              <w:rPr>
                <w:rFonts w:hint="eastAsia" w:ascii="宋体" w:hAnsi="宋体" w:cs="宋体"/>
                <w:kern w:val="2"/>
                <w:sz w:val="18"/>
                <w:szCs w:val="18"/>
                <w:lang w:val="en-US" w:eastAsia="zh-CN" w:bidi="ar-SA"/>
              </w:rPr>
              <w:t>14</w:t>
            </w:r>
          </w:p>
        </w:tc>
        <w:tc>
          <w:tcPr>
            <w:tcW w:w="2260" w:type="dxa"/>
            <w:tcBorders>
              <w:top w:val="single" w:color="auto" w:sz="4" w:space="0"/>
              <w:left w:val="single" w:color="auto" w:sz="4" w:space="0"/>
              <w:bottom w:val="single" w:color="auto" w:sz="4" w:space="0"/>
              <w:right w:val="single" w:color="auto" w:sz="4" w:space="0"/>
            </w:tcBorders>
            <w:shd w:val="clear" w:color="auto" w:fill="auto"/>
            <w:noWrap/>
            <w:vAlign w:val="top"/>
          </w:tcPr>
          <w:p>
            <w:pPr>
              <w:spacing w:line="340" w:lineRule="exact"/>
              <w:jc w:val="center"/>
              <w:rPr>
                <w:rFonts w:ascii="宋体" w:hAnsi="宋体" w:cs="宋体"/>
                <w:sz w:val="18"/>
                <w:szCs w:val="18"/>
              </w:rPr>
            </w:pPr>
            <w:r>
              <w:rPr>
                <w:rFonts w:hint="eastAsia" w:ascii="宋体" w:hAnsi="宋体" w:cs="宋体"/>
                <w:sz w:val="18"/>
                <w:szCs w:val="18"/>
              </w:rPr>
              <w:t>手提式干粉灭火器</w:t>
            </w:r>
          </w:p>
        </w:tc>
        <w:tc>
          <w:tcPr>
            <w:tcW w:w="1770" w:type="dxa"/>
            <w:tcBorders>
              <w:top w:val="single" w:color="auto" w:sz="4" w:space="0"/>
              <w:left w:val="single" w:color="auto" w:sz="4" w:space="0"/>
              <w:bottom w:val="single" w:color="auto" w:sz="4" w:space="0"/>
              <w:right w:val="single" w:color="auto" w:sz="4" w:space="0"/>
            </w:tcBorders>
            <w:shd w:val="clear" w:color="auto" w:fill="auto"/>
            <w:noWrap/>
            <w:vAlign w:val="top"/>
          </w:tcPr>
          <w:p>
            <w:pPr>
              <w:spacing w:line="340" w:lineRule="exact"/>
              <w:jc w:val="center"/>
              <w:rPr>
                <w:rFonts w:ascii="宋体" w:hAnsi="宋体" w:cs="宋体"/>
                <w:sz w:val="18"/>
                <w:szCs w:val="18"/>
              </w:rPr>
            </w:pPr>
            <w:r>
              <w:rPr>
                <w:rFonts w:hint="eastAsia" w:ascii="宋体" w:hAnsi="宋体" w:cs="宋体"/>
                <w:sz w:val="18"/>
                <w:szCs w:val="18"/>
              </w:rPr>
              <w:t>MFZ/ABC8</w:t>
            </w:r>
          </w:p>
        </w:tc>
        <w:tc>
          <w:tcPr>
            <w:tcW w:w="1270" w:type="dxa"/>
            <w:tcBorders>
              <w:top w:val="single" w:color="auto" w:sz="4" w:space="0"/>
              <w:left w:val="single" w:color="auto" w:sz="4" w:space="0"/>
              <w:bottom w:val="single" w:color="auto" w:sz="4" w:space="0"/>
              <w:right w:val="single" w:color="auto" w:sz="4" w:space="0"/>
            </w:tcBorders>
            <w:shd w:val="clear" w:color="auto" w:fill="auto"/>
            <w:noWrap/>
          </w:tcPr>
          <w:p>
            <w:pPr>
              <w:spacing w:line="340" w:lineRule="exact"/>
              <w:jc w:val="center"/>
              <w:rPr>
                <w:rFonts w:ascii="宋体" w:hAnsi="宋体" w:cs="宋体"/>
                <w:sz w:val="18"/>
                <w:szCs w:val="18"/>
              </w:rPr>
            </w:pPr>
            <w:r>
              <w:rPr>
                <w:rFonts w:hint="eastAsia" w:ascii="宋体" w:hAnsi="宋体" w:cs="宋体"/>
                <w:sz w:val="18"/>
                <w:szCs w:val="18"/>
              </w:rPr>
              <w:t>火灾扑救</w:t>
            </w:r>
          </w:p>
        </w:tc>
        <w:tc>
          <w:tcPr>
            <w:tcW w:w="1080" w:type="dxa"/>
            <w:tcBorders>
              <w:top w:val="single" w:color="auto" w:sz="4" w:space="0"/>
              <w:left w:val="single" w:color="auto" w:sz="4" w:space="0"/>
              <w:bottom w:val="single" w:color="auto" w:sz="4" w:space="0"/>
              <w:right w:val="single" w:color="auto" w:sz="4" w:space="0"/>
            </w:tcBorders>
            <w:shd w:val="clear" w:color="auto" w:fill="auto"/>
            <w:noWrap/>
          </w:tcPr>
          <w:p>
            <w:pPr>
              <w:spacing w:line="340" w:lineRule="exact"/>
              <w:jc w:val="center"/>
              <w:rPr>
                <w:rFonts w:ascii="宋体" w:hAnsi="宋体" w:cs="宋体"/>
                <w:sz w:val="18"/>
                <w:szCs w:val="18"/>
              </w:rPr>
            </w:pPr>
            <w:r>
              <w:rPr>
                <w:rFonts w:hint="eastAsia" w:ascii="宋体" w:hAnsi="宋体" w:cs="宋体"/>
                <w:sz w:val="18"/>
                <w:szCs w:val="18"/>
              </w:rPr>
              <w:t>2</w:t>
            </w:r>
          </w:p>
        </w:tc>
        <w:tc>
          <w:tcPr>
            <w:tcW w:w="1590" w:type="dxa"/>
            <w:vMerge w:val="restart"/>
            <w:tcBorders>
              <w:top w:val="single" w:color="auto" w:sz="4" w:space="0"/>
              <w:left w:val="single" w:color="auto" w:sz="4" w:space="0"/>
              <w:right w:val="single" w:color="auto" w:sz="4" w:space="0"/>
            </w:tcBorders>
            <w:shd w:val="clear" w:color="auto" w:fill="auto"/>
            <w:noWrap/>
            <w:vAlign w:val="center"/>
          </w:tcPr>
          <w:p>
            <w:pPr>
              <w:spacing w:line="340" w:lineRule="exact"/>
              <w:jc w:val="center"/>
              <w:rPr>
                <w:rFonts w:hint="eastAsia"/>
                <w:sz w:val="18"/>
                <w:szCs w:val="18"/>
              </w:rPr>
            </w:pPr>
            <w:r>
              <w:rPr>
                <w:rFonts w:hint="eastAsia"/>
                <w:sz w:val="18"/>
                <w:szCs w:val="18"/>
              </w:rPr>
              <w:t>邻氯苯腈车间</w:t>
            </w:r>
          </w:p>
          <w:p>
            <w:pPr>
              <w:spacing w:line="340" w:lineRule="exact"/>
              <w:jc w:val="center"/>
              <w:rPr>
                <w:rFonts w:ascii="宋体" w:hAnsi="宋体" w:cs="宋体"/>
                <w:sz w:val="18"/>
                <w:szCs w:val="18"/>
              </w:rPr>
            </w:pPr>
            <w:r>
              <w:rPr>
                <w:rFonts w:hint="eastAsia"/>
                <w:sz w:val="18"/>
                <w:szCs w:val="18"/>
                <w:lang w:eastAsia="zh-CN"/>
              </w:rPr>
              <w:t>三</w:t>
            </w:r>
            <w:r>
              <w:rPr>
                <w:rFonts w:hint="eastAsia"/>
                <w:sz w:val="18"/>
                <w:szCs w:val="18"/>
              </w:rPr>
              <w:t>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624" w:type="dxa"/>
            <w:tcBorders>
              <w:top w:val="single" w:color="auto" w:sz="4" w:space="0"/>
              <w:left w:val="single" w:color="auto" w:sz="4" w:space="0"/>
              <w:bottom w:val="single" w:color="auto" w:sz="4" w:space="0"/>
              <w:right w:val="single" w:color="auto" w:sz="4" w:space="0"/>
            </w:tcBorders>
            <w:shd w:val="clear" w:color="auto" w:fill="auto"/>
            <w:noWrap/>
            <w:vAlign w:val="top"/>
          </w:tcPr>
          <w:p>
            <w:pPr>
              <w:spacing w:line="340" w:lineRule="exact"/>
              <w:jc w:val="center"/>
              <w:rPr>
                <w:rFonts w:hint="default" w:ascii="宋体" w:hAnsi="宋体" w:eastAsia="宋体" w:cs="宋体"/>
                <w:kern w:val="2"/>
                <w:sz w:val="18"/>
                <w:szCs w:val="18"/>
                <w:lang w:val="en-US" w:eastAsia="zh-CN" w:bidi="ar-SA"/>
              </w:rPr>
            </w:pPr>
            <w:r>
              <w:rPr>
                <w:rFonts w:hint="eastAsia" w:ascii="宋体" w:hAnsi="宋体" w:cs="宋体"/>
                <w:kern w:val="2"/>
                <w:sz w:val="18"/>
                <w:szCs w:val="18"/>
                <w:lang w:val="en-US" w:eastAsia="zh-CN" w:bidi="ar-SA"/>
              </w:rPr>
              <w:t>15</w:t>
            </w:r>
          </w:p>
        </w:tc>
        <w:tc>
          <w:tcPr>
            <w:tcW w:w="2260" w:type="dxa"/>
            <w:tcBorders>
              <w:top w:val="single" w:color="auto" w:sz="4" w:space="0"/>
              <w:left w:val="single" w:color="auto" w:sz="4" w:space="0"/>
              <w:bottom w:val="single" w:color="auto" w:sz="4" w:space="0"/>
              <w:right w:val="single" w:color="auto" w:sz="4" w:space="0"/>
            </w:tcBorders>
            <w:shd w:val="clear" w:color="auto" w:fill="auto"/>
            <w:noWrap/>
          </w:tcPr>
          <w:p>
            <w:pPr>
              <w:spacing w:line="340" w:lineRule="exact"/>
              <w:jc w:val="center"/>
              <w:rPr>
                <w:rFonts w:ascii="宋体" w:hAnsi="宋体" w:cs="宋体"/>
                <w:sz w:val="18"/>
                <w:szCs w:val="18"/>
              </w:rPr>
            </w:pPr>
            <w:r>
              <w:rPr>
                <w:rFonts w:hint="eastAsia" w:ascii="宋体" w:hAnsi="宋体" w:cs="宋体"/>
                <w:sz w:val="18"/>
                <w:szCs w:val="18"/>
              </w:rPr>
              <w:t>地上消火栓</w:t>
            </w:r>
          </w:p>
        </w:tc>
        <w:tc>
          <w:tcPr>
            <w:tcW w:w="1770" w:type="dxa"/>
            <w:tcBorders>
              <w:top w:val="single" w:color="auto" w:sz="4" w:space="0"/>
              <w:left w:val="single" w:color="auto" w:sz="4" w:space="0"/>
              <w:bottom w:val="single" w:color="auto" w:sz="4" w:space="0"/>
              <w:right w:val="single" w:color="auto" w:sz="4" w:space="0"/>
            </w:tcBorders>
            <w:shd w:val="clear" w:color="auto" w:fill="auto"/>
            <w:noWrap/>
          </w:tcPr>
          <w:p>
            <w:pPr>
              <w:spacing w:line="340" w:lineRule="exact"/>
              <w:jc w:val="center"/>
              <w:rPr>
                <w:rFonts w:ascii="宋体" w:hAnsi="宋体" w:cs="宋体"/>
                <w:sz w:val="18"/>
                <w:szCs w:val="18"/>
              </w:rPr>
            </w:pPr>
            <w:r>
              <w:rPr>
                <w:rFonts w:hint="eastAsia" w:ascii="宋体" w:hAnsi="宋体" w:cs="宋体"/>
                <w:sz w:val="18"/>
                <w:szCs w:val="18"/>
              </w:rPr>
              <w:t>SS100/65-1.6</w:t>
            </w:r>
          </w:p>
        </w:tc>
        <w:tc>
          <w:tcPr>
            <w:tcW w:w="1270" w:type="dxa"/>
            <w:tcBorders>
              <w:top w:val="single" w:color="auto" w:sz="4" w:space="0"/>
              <w:left w:val="single" w:color="auto" w:sz="4" w:space="0"/>
              <w:bottom w:val="single" w:color="auto" w:sz="4" w:space="0"/>
              <w:right w:val="single" w:color="auto" w:sz="4" w:space="0"/>
            </w:tcBorders>
            <w:shd w:val="clear" w:color="auto" w:fill="auto"/>
            <w:noWrap/>
          </w:tcPr>
          <w:p>
            <w:pPr>
              <w:spacing w:line="340" w:lineRule="exact"/>
              <w:jc w:val="center"/>
              <w:rPr>
                <w:rFonts w:ascii="宋体" w:hAnsi="宋体" w:cs="宋体"/>
                <w:sz w:val="18"/>
                <w:szCs w:val="18"/>
              </w:rPr>
            </w:pPr>
            <w:r>
              <w:rPr>
                <w:rFonts w:hint="eastAsia" w:ascii="宋体" w:hAnsi="宋体" w:cs="宋体"/>
                <w:sz w:val="18"/>
                <w:szCs w:val="18"/>
              </w:rPr>
              <w:t>消防应急</w:t>
            </w:r>
          </w:p>
        </w:tc>
        <w:tc>
          <w:tcPr>
            <w:tcW w:w="1080" w:type="dxa"/>
            <w:tcBorders>
              <w:top w:val="single" w:color="auto" w:sz="4" w:space="0"/>
              <w:left w:val="single" w:color="auto" w:sz="4" w:space="0"/>
              <w:bottom w:val="single" w:color="auto" w:sz="4" w:space="0"/>
              <w:right w:val="single" w:color="auto" w:sz="4" w:space="0"/>
            </w:tcBorders>
            <w:shd w:val="clear" w:color="auto" w:fill="auto"/>
            <w:noWrap/>
          </w:tcPr>
          <w:p>
            <w:pPr>
              <w:spacing w:line="340" w:lineRule="exact"/>
              <w:jc w:val="center"/>
              <w:rPr>
                <w:rFonts w:ascii="宋体" w:hAnsi="宋体" w:cs="宋体"/>
                <w:sz w:val="18"/>
                <w:szCs w:val="18"/>
              </w:rPr>
            </w:pPr>
            <w:r>
              <w:rPr>
                <w:rFonts w:hint="eastAsia" w:ascii="宋体" w:hAnsi="宋体" w:cs="宋体"/>
                <w:sz w:val="18"/>
                <w:szCs w:val="18"/>
              </w:rPr>
              <w:t>1</w:t>
            </w:r>
          </w:p>
        </w:tc>
        <w:tc>
          <w:tcPr>
            <w:tcW w:w="1590" w:type="dxa"/>
            <w:vMerge w:val="continue"/>
            <w:tcBorders>
              <w:left w:val="single" w:color="auto" w:sz="4" w:space="0"/>
              <w:bottom w:val="single" w:color="auto" w:sz="4" w:space="0"/>
              <w:right w:val="single" w:color="auto" w:sz="4" w:space="0"/>
            </w:tcBorders>
            <w:shd w:val="clear" w:color="auto" w:fill="auto"/>
            <w:noWrap/>
            <w:vAlign w:val="center"/>
          </w:tcPr>
          <w:p>
            <w:pPr>
              <w:spacing w:line="340" w:lineRule="exact"/>
              <w:jc w:val="center"/>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624" w:type="dxa"/>
            <w:tcBorders>
              <w:top w:val="single" w:color="auto" w:sz="4" w:space="0"/>
              <w:left w:val="single" w:color="auto" w:sz="4" w:space="0"/>
              <w:bottom w:val="single" w:color="auto" w:sz="4" w:space="0"/>
              <w:right w:val="single" w:color="auto" w:sz="4" w:space="0"/>
            </w:tcBorders>
            <w:shd w:val="clear" w:color="auto" w:fill="auto"/>
            <w:noWrap/>
            <w:vAlign w:val="top"/>
          </w:tcPr>
          <w:p>
            <w:pPr>
              <w:spacing w:line="340" w:lineRule="exact"/>
              <w:jc w:val="center"/>
              <w:rPr>
                <w:rFonts w:hint="default" w:ascii="宋体" w:hAnsi="宋体" w:eastAsia="宋体" w:cs="宋体"/>
                <w:kern w:val="2"/>
                <w:sz w:val="18"/>
                <w:szCs w:val="18"/>
                <w:lang w:val="en-US" w:eastAsia="zh-CN" w:bidi="ar-SA"/>
              </w:rPr>
            </w:pPr>
            <w:r>
              <w:rPr>
                <w:rFonts w:hint="eastAsia" w:ascii="宋体" w:hAnsi="宋体" w:cs="宋体"/>
                <w:kern w:val="2"/>
                <w:sz w:val="18"/>
                <w:szCs w:val="18"/>
                <w:lang w:val="en-US" w:eastAsia="zh-CN" w:bidi="ar-SA"/>
              </w:rPr>
              <w:t>16</w:t>
            </w:r>
          </w:p>
        </w:tc>
        <w:tc>
          <w:tcPr>
            <w:tcW w:w="2260" w:type="dxa"/>
            <w:tcBorders>
              <w:top w:val="single" w:color="auto" w:sz="4" w:space="0"/>
              <w:left w:val="single" w:color="auto" w:sz="4" w:space="0"/>
              <w:bottom w:val="single" w:color="auto" w:sz="4" w:space="0"/>
              <w:right w:val="single" w:color="auto" w:sz="4" w:space="0"/>
            </w:tcBorders>
            <w:shd w:val="clear" w:color="auto" w:fill="auto"/>
            <w:noWrap/>
          </w:tcPr>
          <w:p>
            <w:pPr>
              <w:spacing w:line="340" w:lineRule="exact"/>
              <w:jc w:val="center"/>
              <w:rPr>
                <w:rFonts w:ascii="宋体" w:hAnsi="宋体" w:cs="宋体"/>
                <w:sz w:val="18"/>
                <w:szCs w:val="18"/>
              </w:rPr>
            </w:pPr>
            <w:r>
              <w:rPr>
                <w:rFonts w:hint="eastAsia" w:ascii="宋体" w:hAnsi="宋体" w:cs="宋体"/>
                <w:sz w:val="18"/>
                <w:szCs w:val="18"/>
              </w:rPr>
              <w:t>手提式干粉灭火器</w:t>
            </w:r>
          </w:p>
        </w:tc>
        <w:tc>
          <w:tcPr>
            <w:tcW w:w="1770" w:type="dxa"/>
            <w:tcBorders>
              <w:top w:val="single" w:color="auto" w:sz="4" w:space="0"/>
              <w:left w:val="single" w:color="auto" w:sz="4" w:space="0"/>
              <w:bottom w:val="single" w:color="auto" w:sz="4" w:space="0"/>
              <w:right w:val="single" w:color="auto" w:sz="4" w:space="0"/>
            </w:tcBorders>
            <w:shd w:val="clear" w:color="auto" w:fill="auto"/>
            <w:noWrap/>
          </w:tcPr>
          <w:p>
            <w:pPr>
              <w:spacing w:line="340" w:lineRule="exact"/>
              <w:jc w:val="center"/>
              <w:rPr>
                <w:rFonts w:ascii="宋体" w:hAnsi="宋体" w:cs="宋体"/>
                <w:sz w:val="18"/>
                <w:szCs w:val="18"/>
              </w:rPr>
            </w:pPr>
            <w:r>
              <w:rPr>
                <w:rFonts w:hint="eastAsia" w:ascii="宋体" w:hAnsi="宋体" w:cs="宋体"/>
                <w:sz w:val="18"/>
                <w:szCs w:val="18"/>
              </w:rPr>
              <w:t>MFZ/ABC8</w:t>
            </w:r>
          </w:p>
        </w:tc>
        <w:tc>
          <w:tcPr>
            <w:tcW w:w="1270" w:type="dxa"/>
            <w:tcBorders>
              <w:top w:val="single" w:color="auto" w:sz="4" w:space="0"/>
              <w:left w:val="single" w:color="auto" w:sz="4" w:space="0"/>
              <w:bottom w:val="single" w:color="auto" w:sz="4" w:space="0"/>
              <w:right w:val="single" w:color="auto" w:sz="4" w:space="0"/>
            </w:tcBorders>
            <w:shd w:val="clear" w:color="auto" w:fill="auto"/>
            <w:noWrap/>
          </w:tcPr>
          <w:p>
            <w:pPr>
              <w:spacing w:line="340" w:lineRule="exact"/>
              <w:jc w:val="center"/>
              <w:rPr>
                <w:rFonts w:ascii="宋体" w:hAnsi="宋体" w:cs="宋体"/>
                <w:sz w:val="18"/>
                <w:szCs w:val="18"/>
              </w:rPr>
            </w:pPr>
            <w:r>
              <w:rPr>
                <w:rFonts w:hint="eastAsia" w:ascii="宋体" w:hAnsi="宋体" w:cs="宋体"/>
                <w:sz w:val="18"/>
                <w:szCs w:val="18"/>
              </w:rPr>
              <w:t>火灾扑救</w:t>
            </w:r>
          </w:p>
        </w:tc>
        <w:tc>
          <w:tcPr>
            <w:tcW w:w="1080" w:type="dxa"/>
            <w:tcBorders>
              <w:top w:val="single" w:color="auto" w:sz="4" w:space="0"/>
              <w:left w:val="single" w:color="auto" w:sz="4" w:space="0"/>
              <w:bottom w:val="single" w:color="auto" w:sz="4" w:space="0"/>
              <w:right w:val="single" w:color="auto" w:sz="4" w:space="0"/>
            </w:tcBorders>
            <w:shd w:val="clear" w:color="auto" w:fill="auto"/>
            <w:noWrap/>
          </w:tcPr>
          <w:p>
            <w:pPr>
              <w:spacing w:line="340" w:lineRule="exact"/>
              <w:jc w:val="center"/>
              <w:rPr>
                <w:rFonts w:hint="default" w:ascii="宋体" w:hAnsi="宋体" w:eastAsia="宋体" w:cs="宋体"/>
                <w:sz w:val="18"/>
                <w:szCs w:val="18"/>
                <w:lang w:val="en-US" w:eastAsia="zh-CN"/>
              </w:rPr>
            </w:pPr>
            <w:r>
              <w:rPr>
                <w:rFonts w:hint="eastAsia" w:ascii="宋体" w:hAnsi="宋体" w:cs="宋体"/>
                <w:sz w:val="18"/>
                <w:szCs w:val="18"/>
                <w:lang w:val="en-US" w:eastAsia="zh-CN"/>
              </w:rPr>
              <w:t>10</w:t>
            </w:r>
          </w:p>
        </w:tc>
        <w:tc>
          <w:tcPr>
            <w:tcW w:w="1590" w:type="dxa"/>
            <w:vMerge w:val="restart"/>
            <w:tcBorders>
              <w:top w:val="single" w:color="auto" w:sz="4" w:space="0"/>
              <w:left w:val="single" w:color="auto" w:sz="4" w:space="0"/>
              <w:right w:val="single" w:color="auto" w:sz="4" w:space="0"/>
            </w:tcBorders>
            <w:shd w:val="clear" w:color="auto" w:fill="auto"/>
            <w:noWrap/>
            <w:vAlign w:val="center"/>
          </w:tcPr>
          <w:p>
            <w:pPr>
              <w:spacing w:line="340" w:lineRule="exact"/>
              <w:jc w:val="center"/>
              <w:rPr>
                <w:rFonts w:ascii="宋体" w:hAnsi="宋体" w:cs="宋体"/>
                <w:sz w:val="18"/>
                <w:szCs w:val="18"/>
              </w:rPr>
            </w:pPr>
            <w:r>
              <w:rPr>
                <w:rFonts w:hint="eastAsia"/>
                <w:sz w:val="18"/>
                <w:szCs w:val="18"/>
              </w:rPr>
              <w:t>新精馏车间一楼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624" w:type="dxa"/>
            <w:tcBorders>
              <w:top w:val="single" w:color="auto" w:sz="4" w:space="0"/>
              <w:left w:val="single" w:color="auto" w:sz="4" w:space="0"/>
              <w:bottom w:val="single" w:color="auto" w:sz="4" w:space="0"/>
              <w:right w:val="single" w:color="auto" w:sz="4" w:space="0"/>
            </w:tcBorders>
            <w:shd w:val="clear" w:color="auto" w:fill="auto"/>
            <w:noWrap/>
            <w:vAlign w:val="top"/>
          </w:tcPr>
          <w:p>
            <w:pPr>
              <w:spacing w:line="340" w:lineRule="exact"/>
              <w:jc w:val="center"/>
              <w:rPr>
                <w:rFonts w:hint="default" w:ascii="宋体" w:hAnsi="宋体" w:eastAsia="宋体" w:cs="宋体"/>
                <w:kern w:val="2"/>
                <w:sz w:val="18"/>
                <w:szCs w:val="18"/>
                <w:lang w:val="en-US" w:eastAsia="zh-CN" w:bidi="ar-SA"/>
              </w:rPr>
            </w:pPr>
            <w:r>
              <w:rPr>
                <w:rFonts w:hint="eastAsia" w:ascii="宋体" w:hAnsi="宋体" w:cs="宋体"/>
                <w:kern w:val="2"/>
                <w:sz w:val="18"/>
                <w:szCs w:val="18"/>
                <w:lang w:val="en-US" w:eastAsia="zh-CN" w:bidi="ar-SA"/>
              </w:rPr>
              <w:t>17</w:t>
            </w:r>
          </w:p>
        </w:tc>
        <w:tc>
          <w:tcPr>
            <w:tcW w:w="2260" w:type="dxa"/>
            <w:tcBorders>
              <w:top w:val="single" w:color="auto" w:sz="4" w:space="0"/>
              <w:left w:val="single" w:color="auto" w:sz="4" w:space="0"/>
              <w:bottom w:val="single" w:color="auto" w:sz="4" w:space="0"/>
              <w:right w:val="single" w:color="auto" w:sz="4" w:space="0"/>
            </w:tcBorders>
            <w:shd w:val="clear" w:color="auto" w:fill="auto"/>
            <w:noWrap/>
          </w:tcPr>
          <w:p>
            <w:pPr>
              <w:spacing w:line="340" w:lineRule="exact"/>
              <w:jc w:val="center"/>
              <w:rPr>
                <w:rFonts w:ascii="宋体" w:hAnsi="宋体" w:cs="宋体"/>
                <w:sz w:val="18"/>
                <w:szCs w:val="18"/>
              </w:rPr>
            </w:pPr>
            <w:r>
              <w:rPr>
                <w:rFonts w:hint="eastAsia" w:ascii="宋体" w:hAnsi="宋体" w:cs="宋体"/>
                <w:sz w:val="18"/>
                <w:szCs w:val="18"/>
              </w:rPr>
              <w:t>半固定式泡沫灭火装置</w:t>
            </w:r>
          </w:p>
        </w:tc>
        <w:tc>
          <w:tcPr>
            <w:tcW w:w="1770" w:type="dxa"/>
            <w:tcBorders>
              <w:top w:val="single" w:color="auto" w:sz="4" w:space="0"/>
              <w:left w:val="single" w:color="auto" w:sz="4" w:space="0"/>
              <w:bottom w:val="single" w:color="auto" w:sz="4" w:space="0"/>
              <w:right w:val="single" w:color="auto" w:sz="4" w:space="0"/>
            </w:tcBorders>
            <w:shd w:val="clear" w:color="auto" w:fill="auto"/>
            <w:noWrap/>
          </w:tcPr>
          <w:p>
            <w:pPr>
              <w:spacing w:line="340" w:lineRule="exact"/>
              <w:jc w:val="center"/>
              <w:rPr>
                <w:rFonts w:ascii="宋体" w:hAnsi="宋体" w:cs="宋体"/>
                <w:sz w:val="18"/>
                <w:szCs w:val="18"/>
              </w:rPr>
            </w:pPr>
          </w:p>
        </w:tc>
        <w:tc>
          <w:tcPr>
            <w:tcW w:w="1270" w:type="dxa"/>
            <w:tcBorders>
              <w:top w:val="single" w:color="auto" w:sz="4" w:space="0"/>
              <w:left w:val="single" w:color="auto" w:sz="4" w:space="0"/>
              <w:bottom w:val="single" w:color="auto" w:sz="4" w:space="0"/>
              <w:right w:val="single" w:color="auto" w:sz="4" w:space="0"/>
            </w:tcBorders>
            <w:shd w:val="clear" w:color="auto" w:fill="auto"/>
            <w:noWrap/>
          </w:tcPr>
          <w:p>
            <w:pPr>
              <w:spacing w:line="340" w:lineRule="exact"/>
              <w:jc w:val="center"/>
              <w:rPr>
                <w:rFonts w:ascii="宋体" w:hAnsi="宋体" w:cs="宋体"/>
                <w:sz w:val="18"/>
                <w:szCs w:val="18"/>
              </w:rPr>
            </w:pPr>
            <w:r>
              <w:rPr>
                <w:rFonts w:hint="eastAsia" w:ascii="宋体" w:hAnsi="宋体" w:cs="宋体"/>
                <w:sz w:val="18"/>
                <w:szCs w:val="18"/>
              </w:rPr>
              <w:t>火灾扑救</w:t>
            </w:r>
          </w:p>
        </w:tc>
        <w:tc>
          <w:tcPr>
            <w:tcW w:w="1080" w:type="dxa"/>
            <w:tcBorders>
              <w:top w:val="single" w:color="auto" w:sz="4" w:space="0"/>
              <w:left w:val="single" w:color="auto" w:sz="4" w:space="0"/>
              <w:bottom w:val="single" w:color="auto" w:sz="4" w:space="0"/>
              <w:right w:val="single" w:color="auto" w:sz="4" w:space="0"/>
            </w:tcBorders>
            <w:shd w:val="clear" w:color="auto" w:fill="auto"/>
            <w:noWrap/>
          </w:tcPr>
          <w:p>
            <w:pPr>
              <w:spacing w:line="340" w:lineRule="exact"/>
              <w:jc w:val="center"/>
              <w:rPr>
                <w:rFonts w:ascii="宋体" w:hAnsi="宋体" w:cs="宋体"/>
                <w:sz w:val="18"/>
                <w:szCs w:val="18"/>
              </w:rPr>
            </w:pPr>
            <w:r>
              <w:rPr>
                <w:rFonts w:hint="eastAsia" w:ascii="宋体" w:hAnsi="宋体" w:cs="宋体"/>
                <w:sz w:val="18"/>
                <w:szCs w:val="18"/>
              </w:rPr>
              <w:t>1</w:t>
            </w:r>
          </w:p>
        </w:tc>
        <w:tc>
          <w:tcPr>
            <w:tcW w:w="1590" w:type="dxa"/>
            <w:vMerge w:val="continue"/>
            <w:tcBorders>
              <w:left w:val="single" w:color="auto" w:sz="4" w:space="0"/>
              <w:right w:val="single" w:color="auto" w:sz="4" w:space="0"/>
            </w:tcBorders>
            <w:shd w:val="clear" w:color="auto" w:fill="auto"/>
            <w:noWrap/>
            <w:vAlign w:val="center"/>
          </w:tcPr>
          <w:p>
            <w:pPr>
              <w:spacing w:line="340" w:lineRule="exact"/>
              <w:jc w:val="center"/>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624" w:type="dxa"/>
            <w:tcBorders>
              <w:top w:val="single" w:color="auto" w:sz="4" w:space="0"/>
              <w:left w:val="single" w:color="auto" w:sz="4" w:space="0"/>
              <w:bottom w:val="single" w:color="auto" w:sz="4" w:space="0"/>
              <w:right w:val="single" w:color="auto" w:sz="4" w:space="0"/>
            </w:tcBorders>
            <w:shd w:val="clear" w:color="auto" w:fill="auto"/>
            <w:noWrap/>
            <w:vAlign w:val="top"/>
          </w:tcPr>
          <w:p>
            <w:pPr>
              <w:spacing w:line="340" w:lineRule="exact"/>
              <w:jc w:val="center"/>
              <w:rPr>
                <w:rFonts w:hint="default" w:ascii="宋体" w:hAnsi="宋体" w:eastAsia="宋体" w:cs="宋体"/>
                <w:kern w:val="2"/>
                <w:sz w:val="18"/>
                <w:szCs w:val="18"/>
                <w:lang w:val="en-US" w:eastAsia="zh-CN" w:bidi="ar-SA"/>
              </w:rPr>
            </w:pPr>
            <w:r>
              <w:rPr>
                <w:rFonts w:hint="eastAsia" w:ascii="宋体" w:hAnsi="宋体" w:cs="宋体"/>
                <w:kern w:val="2"/>
                <w:sz w:val="18"/>
                <w:szCs w:val="18"/>
                <w:lang w:val="en-US" w:eastAsia="zh-CN" w:bidi="ar-SA"/>
              </w:rPr>
              <w:t>18</w:t>
            </w:r>
          </w:p>
        </w:tc>
        <w:tc>
          <w:tcPr>
            <w:tcW w:w="2260" w:type="dxa"/>
            <w:tcBorders>
              <w:top w:val="single" w:color="auto" w:sz="4" w:space="0"/>
              <w:left w:val="single" w:color="auto" w:sz="4" w:space="0"/>
              <w:bottom w:val="single" w:color="auto" w:sz="4" w:space="0"/>
              <w:right w:val="single" w:color="auto" w:sz="4" w:space="0"/>
            </w:tcBorders>
            <w:shd w:val="clear" w:color="auto" w:fill="auto"/>
            <w:noWrap/>
          </w:tcPr>
          <w:p>
            <w:pPr>
              <w:spacing w:line="340" w:lineRule="exact"/>
              <w:jc w:val="center"/>
              <w:rPr>
                <w:rFonts w:ascii="宋体" w:hAnsi="宋体" w:cs="宋体"/>
                <w:sz w:val="18"/>
                <w:szCs w:val="18"/>
              </w:rPr>
            </w:pPr>
            <w:r>
              <w:rPr>
                <w:rFonts w:hint="eastAsia" w:ascii="宋体" w:hAnsi="宋体" w:cs="宋体"/>
                <w:sz w:val="18"/>
                <w:szCs w:val="18"/>
              </w:rPr>
              <w:t>地上消火栓</w:t>
            </w:r>
          </w:p>
        </w:tc>
        <w:tc>
          <w:tcPr>
            <w:tcW w:w="1770" w:type="dxa"/>
            <w:tcBorders>
              <w:top w:val="single" w:color="auto" w:sz="4" w:space="0"/>
              <w:left w:val="single" w:color="auto" w:sz="4" w:space="0"/>
              <w:bottom w:val="single" w:color="auto" w:sz="4" w:space="0"/>
              <w:right w:val="single" w:color="auto" w:sz="4" w:space="0"/>
            </w:tcBorders>
            <w:shd w:val="clear" w:color="auto" w:fill="auto"/>
            <w:noWrap/>
          </w:tcPr>
          <w:p>
            <w:pPr>
              <w:spacing w:line="340" w:lineRule="exact"/>
              <w:jc w:val="center"/>
              <w:rPr>
                <w:rFonts w:ascii="宋体" w:hAnsi="宋体" w:cs="宋体"/>
                <w:sz w:val="18"/>
                <w:szCs w:val="18"/>
              </w:rPr>
            </w:pPr>
            <w:r>
              <w:rPr>
                <w:rFonts w:hint="eastAsia" w:ascii="宋体" w:hAnsi="宋体" w:cs="宋体"/>
                <w:sz w:val="18"/>
                <w:szCs w:val="18"/>
              </w:rPr>
              <w:t>SS100/65-1.6</w:t>
            </w:r>
          </w:p>
        </w:tc>
        <w:tc>
          <w:tcPr>
            <w:tcW w:w="1270" w:type="dxa"/>
            <w:tcBorders>
              <w:top w:val="single" w:color="auto" w:sz="4" w:space="0"/>
              <w:left w:val="single" w:color="auto" w:sz="4" w:space="0"/>
              <w:bottom w:val="single" w:color="auto" w:sz="4" w:space="0"/>
              <w:right w:val="single" w:color="auto" w:sz="4" w:space="0"/>
            </w:tcBorders>
            <w:shd w:val="clear" w:color="auto" w:fill="auto"/>
            <w:noWrap/>
          </w:tcPr>
          <w:p>
            <w:pPr>
              <w:spacing w:line="340" w:lineRule="exact"/>
              <w:jc w:val="center"/>
              <w:rPr>
                <w:rFonts w:ascii="宋体" w:hAnsi="宋体" w:cs="宋体"/>
                <w:sz w:val="18"/>
                <w:szCs w:val="18"/>
              </w:rPr>
            </w:pPr>
            <w:r>
              <w:rPr>
                <w:rFonts w:hint="eastAsia" w:ascii="宋体" w:hAnsi="宋体" w:cs="宋体"/>
                <w:sz w:val="18"/>
                <w:szCs w:val="18"/>
              </w:rPr>
              <w:t>消防应急</w:t>
            </w:r>
          </w:p>
        </w:tc>
        <w:tc>
          <w:tcPr>
            <w:tcW w:w="1080" w:type="dxa"/>
            <w:tcBorders>
              <w:top w:val="single" w:color="auto" w:sz="4" w:space="0"/>
              <w:left w:val="single" w:color="auto" w:sz="4" w:space="0"/>
              <w:bottom w:val="single" w:color="auto" w:sz="4" w:space="0"/>
              <w:right w:val="single" w:color="auto" w:sz="4" w:space="0"/>
            </w:tcBorders>
            <w:shd w:val="clear" w:color="auto" w:fill="auto"/>
            <w:noWrap/>
          </w:tcPr>
          <w:p>
            <w:pPr>
              <w:spacing w:line="340" w:lineRule="exact"/>
              <w:jc w:val="center"/>
              <w:rPr>
                <w:rFonts w:hint="eastAsia" w:ascii="宋体" w:hAnsi="宋体" w:eastAsia="宋体" w:cs="宋体"/>
                <w:sz w:val="18"/>
                <w:szCs w:val="18"/>
                <w:lang w:eastAsia="zh-CN"/>
              </w:rPr>
            </w:pPr>
            <w:r>
              <w:rPr>
                <w:rFonts w:hint="eastAsia" w:ascii="宋体" w:hAnsi="宋体" w:cs="宋体"/>
                <w:sz w:val="18"/>
                <w:szCs w:val="18"/>
                <w:lang w:val="en-US" w:eastAsia="zh-CN"/>
              </w:rPr>
              <w:t>2</w:t>
            </w:r>
          </w:p>
        </w:tc>
        <w:tc>
          <w:tcPr>
            <w:tcW w:w="1590" w:type="dxa"/>
            <w:vMerge w:val="continue"/>
            <w:tcBorders>
              <w:left w:val="single" w:color="auto" w:sz="4" w:space="0"/>
              <w:right w:val="single" w:color="auto" w:sz="4" w:space="0"/>
            </w:tcBorders>
            <w:shd w:val="clear" w:color="auto" w:fill="auto"/>
            <w:noWrap/>
            <w:vAlign w:val="center"/>
          </w:tcPr>
          <w:p>
            <w:pPr>
              <w:spacing w:line="340" w:lineRule="exact"/>
              <w:jc w:val="center"/>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624" w:type="dxa"/>
            <w:tcBorders>
              <w:top w:val="single" w:color="auto" w:sz="4" w:space="0"/>
              <w:left w:val="single" w:color="auto" w:sz="4" w:space="0"/>
              <w:bottom w:val="single" w:color="auto" w:sz="4" w:space="0"/>
              <w:right w:val="single" w:color="auto" w:sz="4" w:space="0"/>
            </w:tcBorders>
            <w:shd w:val="clear" w:color="auto" w:fill="auto"/>
            <w:noWrap/>
            <w:vAlign w:val="top"/>
          </w:tcPr>
          <w:p>
            <w:pPr>
              <w:spacing w:line="340" w:lineRule="exact"/>
              <w:jc w:val="center"/>
              <w:rPr>
                <w:rFonts w:hint="default" w:ascii="宋体" w:hAnsi="宋体" w:eastAsia="宋体" w:cs="宋体"/>
                <w:kern w:val="2"/>
                <w:sz w:val="18"/>
                <w:szCs w:val="18"/>
                <w:lang w:val="en-US" w:eastAsia="zh-CN" w:bidi="ar-SA"/>
              </w:rPr>
            </w:pPr>
            <w:r>
              <w:rPr>
                <w:rFonts w:hint="eastAsia" w:ascii="宋体" w:hAnsi="宋体" w:cs="宋体"/>
                <w:kern w:val="2"/>
                <w:sz w:val="18"/>
                <w:szCs w:val="18"/>
                <w:lang w:val="en-US" w:eastAsia="zh-CN" w:bidi="ar-SA"/>
              </w:rPr>
              <w:t>19</w:t>
            </w:r>
          </w:p>
        </w:tc>
        <w:tc>
          <w:tcPr>
            <w:tcW w:w="2260" w:type="dxa"/>
            <w:tcBorders>
              <w:top w:val="single" w:color="auto" w:sz="4" w:space="0"/>
              <w:left w:val="single" w:color="auto" w:sz="4" w:space="0"/>
              <w:bottom w:val="single" w:color="auto" w:sz="4" w:space="0"/>
              <w:right w:val="single" w:color="auto" w:sz="4" w:space="0"/>
            </w:tcBorders>
            <w:shd w:val="clear" w:color="auto" w:fill="auto"/>
            <w:noWrap/>
          </w:tcPr>
          <w:p>
            <w:pPr>
              <w:spacing w:line="340" w:lineRule="exact"/>
              <w:jc w:val="center"/>
              <w:rPr>
                <w:rFonts w:ascii="宋体" w:hAnsi="宋体" w:cs="宋体"/>
                <w:sz w:val="18"/>
                <w:szCs w:val="18"/>
              </w:rPr>
            </w:pPr>
            <w:r>
              <w:rPr>
                <w:rFonts w:hint="eastAsia" w:ascii="宋体" w:hAnsi="宋体" w:cs="宋体"/>
                <w:sz w:val="18"/>
                <w:szCs w:val="18"/>
              </w:rPr>
              <w:t>消防水炮</w:t>
            </w:r>
          </w:p>
        </w:tc>
        <w:tc>
          <w:tcPr>
            <w:tcW w:w="1770" w:type="dxa"/>
            <w:tcBorders>
              <w:top w:val="single" w:color="auto" w:sz="4" w:space="0"/>
              <w:left w:val="single" w:color="auto" w:sz="4" w:space="0"/>
              <w:bottom w:val="single" w:color="auto" w:sz="4" w:space="0"/>
              <w:right w:val="single" w:color="auto" w:sz="4" w:space="0"/>
            </w:tcBorders>
            <w:shd w:val="clear" w:color="auto" w:fill="auto"/>
            <w:noWrap/>
          </w:tcPr>
          <w:p>
            <w:pPr>
              <w:spacing w:line="340" w:lineRule="exact"/>
              <w:jc w:val="center"/>
              <w:rPr>
                <w:rFonts w:ascii="宋体" w:hAnsi="宋体" w:cs="宋体"/>
                <w:sz w:val="18"/>
                <w:szCs w:val="18"/>
              </w:rPr>
            </w:pPr>
          </w:p>
        </w:tc>
        <w:tc>
          <w:tcPr>
            <w:tcW w:w="1270" w:type="dxa"/>
            <w:tcBorders>
              <w:top w:val="single" w:color="auto" w:sz="4" w:space="0"/>
              <w:left w:val="single" w:color="auto" w:sz="4" w:space="0"/>
              <w:bottom w:val="single" w:color="auto" w:sz="4" w:space="0"/>
              <w:right w:val="single" w:color="auto" w:sz="4" w:space="0"/>
            </w:tcBorders>
            <w:shd w:val="clear" w:color="auto" w:fill="auto"/>
            <w:noWrap/>
          </w:tcPr>
          <w:p>
            <w:pPr>
              <w:spacing w:line="340" w:lineRule="exact"/>
              <w:jc w:val="center"/>
              <w:rPr>
                <w:rFonts w:ascii="宋体" w:hAnsi="宋体" w:cs="宋体"/>
                <w:sz w:val="18"/>
                <w:szCs w:val="18"/>
              </w:rPr>
            </w:pPr>
            <w:r>
              <w:rPr>
                <w:rFonts w:hint="eastAsia" w:ascii="宋体" w:hAnsi="宋体" w:cs="宋体"/>
                <w:sz w:val="18"/>
                <w:szCs w:val="18"/>
              </w:rPr>
              <w:t>消防应急</w:t>
            </w:r>
          </w:p>
        </w:tc>
        <w:tc>
          <w:tcPr>
            <w:tcW w:w="1080" w:type="dxa"/>
            <w:tcBorders>
              <w:top w:val="single" w:color="auto" w:sz="4" w:space="0"/>
              <w:left w:val="single" w:color="auto" w:sz="4" w:space="0"/>
              <w:bottom w:val="single" w:color="auto" w:sz="4" w:space="0"/>
              <w:right w:val="single" w:color="auto" w:sz="4" w:space="0"/>
            </w:tcBorders>
            <w:shd w:val="clear" w:color="auto" w:fill="auto"/>
            <w:noWrap/>
          </w:tcPr>
          <w:p>
            <w:pPr>
              <w:spacing w:line="340" w:lineRule="exact"/>
              <w:jc w:val="center"/>
              <w:rPr>
                <w:rFonts w:hint="eastAsia" w:ascii="宋体" w:hAnsi="宋体" w:eastAsia="宋体" w:cs="宋体"/>
                <w:sz w:val="18"/>
                <w:szCs w:val="18"/>
                <w:lang w:eastAsia="zh-CN"/>
              </w:rPr>
            </w:pPr>
            <w:r>
              <w:rPr>
                <w:rFonts w:hint="eastAsia" w:ascii="宋体" w:hAnsi="宋体" w:cs="宋体"/>
                <w:sz w:val="18"/>
                <w:szCs w:val="18"/>
                <w:lang w:val="en-US" w:eastAsia="zh-CN"/>
              </w:rPr>
              <w:t>1</w:t>
            </w:r>
          </w:p>
        </w:tc>
        <w:tc>
          <w:tcPr>
            <w:tcW w:w="1590" w:type="dxa"/>
            <w:vMerge w:val="continue"/>
            <w:tcBorders>
              <w:left w:val="single" w:color="auto" w:sz="4" w:space="0"/>
              <w:bottom w:val="single" w:color="auto" w:sz="4" w:space="0"/>
              <w:right w:val="single" w:color="auto" w:sz="4" w:space="0"/>
            </w:tcBorders>
            <w:shd w:val="clear" w:color="auto" w:fill="auto"/>
            <w:noWrap/>
            <w:vAlign w:val="center"/>
          </w:tcPr>
          <w:p>
            <w:pPr>
              <w:spacing w:line="340" w:lineRule="exact"/>
              <w:jc w:val="center"/>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24" w:type="dxa"/>
            <w:tcBorders>
              <w:top w:val="single" w:color="auto" w:sz="4" w:space="0"/>
              <w:left w:val="single" w:color="auto" w:sz="4" w:space="0"/>
              <w:bottom w:val="single" w:color="auto" w:sz="4" w:space="0"/>
              <w:right w:val="single" w:color="auto" w:sz="4" w:space="0"/>
            </w:tcBorders>
            <w:shd w:val="clear" w:color="auto" w:fill="auto"/>
            <w:noWrap/>
            <w:vAlign w:val="top"/>
          </w:tcPr>
          <w:p>
            <w:pPr>
              <w:spacing w:line="340" w:lineRule="exact"/>
              <w:jc w:val="center"/>
              <w:rPr>
                <w:rFonts w:hint="default" w:ascii="宋体" w:hAnsi="宋体" w:eastAsia="宋体" w:cs="宋体"/>
                <w:kern w:val="2"/>
                <w:sz w:val="18"/>
                <w:szCs w:val="18"/>
                <w:lang w:val="en-US" w:eastAsia="zh-CN" w:bidi="ar-SA"/>
              </w:rPr>
            </w:pPr>
            <w:r>
              <w:rPr>
                <w:rFonts w:hint="eastAsia" w:ascii="宋体" w:hAnsi="宋体" w:cs="宋体"/>
                <w:kern w:val="2"/>
                <w:sz w:val="18"/>
                <w:szCs w:val="18"/>
                <w:lang w:val="en-US" w:eastAsia="zh-CN" w:bidi="ar-SA"/>
              </w:rPr>
              <w:t>20</w:t>
            </w:r>
          </w:p>
        </w:tc>
        <w:tc>
          <w:tcPr>
            <w:tcW w:w="2260" w:type="dxa"/>
            <w:tcBorders>
              <w:top w:val="single" w:color="auto" w:sz="4" w:space="0"/>
              <w:left w:val="single" w:color="auto" w:sz="4" w:space="0"/>
              <w:bottom w:val="single" w:color="auto" w:sz="4" w:space="0"/>
              <w:right w:val="single" w:color="auto" w:sz="4" w:space="0"/>
            </w:tcBorders>
            <w:shd w:val="clear" w:color="auto" w:fill="auto"/>
            <w:noWrap/>
          </w:tcPr>
          <w:p>
            <w:pPr>
              <w:spacing w:line="340" w:lineRule="exact"/>
              <w:jc w:val="center"/>
              <w:rPr>
                <w:rFonts w:ascii="宋体" w:hAnsi="宋体" w:cs="宋体"/>
                <w:sz w:val="18"/>
                <w:szCs w:val="18"/>
              </w:rPr>
            </w:pPr>
            <w:r>
              <w:rPr>
                <w:rFonts w:hint="eastAsia" w:ascii="宋体" w:hAnsi="宋体" w:cs="宋体"/>
                <w:sz w:val="18"/>
                <w:szCs w:val="18"/>
              </w:rPr>
              <w:t>手提式干粉灭火器</w:t>
            </w:r>
          </w:p>
        </w:tc>
        <w:tc>
          <w:tcPr>
            <w:tcW w:w="1770" w:type="dxa"/>
            <w:tcBorders>
              <w:top w:val="single" w:color="auto" w:sz="4" w:space="0"/>
              <w:left w:val="single" w:color="auto" w:sz="4" w:space="0"/>
              <w:bottom w:val="single" w:color="auto" w:sz="4" w:space="0"/>
              <w:right w:val="single" w:color="auto" w:sz="4" w:space="0"/>
            </w:tcBorders>
            <w:shd w:val="clear" w:color="auto" w:fill="auto"/>
            <w:noWrap/>
          </w:tcPr>
          <w:p>
            <w:pPr>
              <w:spacing w:line="340" w:lineRule="exact"/>
              <w:jc w:val="center"/>
              <w:rPr>
                <w:rFonts w:ascii="宋体" w:hAnsi="宋体" w:cs="宋体"/>
                <w:sz w:val="18"/>
                <w:szCs w:val="18"/>
              </w:rPr>
            </w:pPr>
            <w:r>
              <w:rPr>
                <w:rFonts w:hint="eastAsia" w:ascii="宋体" w:hAnsi="宋体" w:cs="宋体"/>
                <w:sz w:val="18"/>
                <w:szCs w:val="18"/>
              </w:rPr>
              <w:t>MFZ/ABC8</w:t>
            </w:r>
          </w:p>
        </w:tc>
        <w:tc>
          <w:tcPr>
            <w:tcW w:w="1270" w:type="dxa"/>
            <w:tcBorders>
              <w:top w:val="single" w:color="auto" w:sz="4" w:space="0"/>
              <w:left w:val="single" w:color="auto" w:sz="4" w:space="0"/>
              <w:bottom w:val="single" w:color="auto" w:sz="4" w:space="0"/>
              <w:right w:val="single" w:color="auto" w:sz="4" w:space="0"/>
            </w:tcBorders>
            <w:shd w:val="clear" w:color="auto" w:fill="auto"/>
            <w:noWrap/>
          </w:tcPr>
          <w:p>
            <w:pPr>
              <w:spacing w:line="340" w:lineRule="exact"/>
              <w:jc w:val="center"/>
              <w:rPr>
                <w:rFonts w:ascii="宋体" w:hAnsi="宋体" w:cs="宋体"/>
                <w:sz w:val="18"/>
                <w:szCs w:val="18"/>
              </w:rPr>
            </w:pPr>
            <w:r>
              <w:rPr>
                <w:rFonts w:hint="eastAsia" w:ascii="宋体" w:hAnsi="宋体" w:cs="宋体"/>
                <w:sz w:val="18"/>
                <w:szCs w:val="18"/>
              </w:rPr>
              <w:t>火灾扑救</w:t>
            </w:r>
          </w:p>
        </w:tc>
        <w:tc>
          <w:tcPr>
            <w:tcW w:w="1080" w:type="dxa"/>
            <w:tcBorders>
              <w:top w:val="single" w:color="auto" w:sz="4" w:space="0"/>
              <w:left w:val="single" w:color="auto" w:sz="4" w:space="0"/>
              <w:bottom w:val="single" w:color="auto" w:sz="4" w:space="0"/>
              <w:right w:val="single" w:color="auto" w:sz="4" w:space="0"/>
            </w:tcBorders>
            <w:shd w:val="clear" w:color="auto" w:fill="auto"/>
            <w:noWrap/>
          </w:tcPr>
          <w:p>
            <w:pPr>
              <w:spacing w:line="340" w:lineRule="exact"/>
              <w:jc w:val="center"/>
              <w:rPr>
                <w:rFonts w:hint="eastAsia" w:ascii="宋体" w:hAnsi="宋体" w:eastAsia="宋体" w:cs="宋体"/>
                <w:sz w:val="18"/>
                <w:szCs w:val="18"/>
                <w:lang w:eastAsia="zh-CN"/>
              </w:rPr>
            </w:pPr>
            <w:r>
              <w:rPr>
                <w:rFonts w:hint="eastAsia" w:ascii="宋体" w:hAnsi="宋体" w:cs="宋体"/>
                <w:sz w:val="18"/>
                <w:szCs w:val="18"/>
                <w:lang w:val="en-US" w:eastAsia="zh-CN"/>
              </w:rPr>
              <w:t>8</w:t>
            </w:r>
          </w:p>
        </w:tc>
        <w:tc>
          <w:tcPr>
            <w:tcW w:w="1590"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340" w:lineRule="exact"/>
              <w:jc w:val="center"/>
              <w:rPr>
                <w:rFonts w:ascii="宋体" w:hAnsi="宋体" w:cs="宋体"/>
                <w:sz w:val="18"/>
                <w:szCs w:val="18"/>
              </w:rPr>
            </w:pPr>
            <w:r>
              <w:rPr>
                <w:rFonts w:hint="eastAsia"/>
                <w:sz w:val="18"/>
                <w:szCs w:val="18"/>
              </w:rPr>
              <w:t>新精馏车间二楼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trPr>
        <w:tc>
          <w:tcPr>
            <w:tcW w:w="624" w:type="dxa"/>
            <w:tcBorders>
              <w:top w:val="single" w:color="auto" w:sz="4" w:space="0"/>
              <w:left w:val="single" w:color="auto" w:sz="4" w:space="0"/>
              <w:bottom w:val="single" w:color="auto" w:sz="4" w:space="0"/>
              <w:right w:val="single" w:color="auto" w:sz="4" w:space="0"/>
            </w:tcBorders>
            <w:shd w:val="clear" w:color="auto" w:fill="auto"/>
            <w:noWrap/>
            <w:vAlign w:val="top"/>
          </w:tcPr>
          <w:p>
            <w:pPr>
              <w:spacing w:line="340" w:lineRule="exact"/>
              <w:jc w:val="center"/>
              <w:rPr>
                <w:rFonts w:hint="default" w:ascii="宋体" w:hAnsi="宋体" w:eastAsia="宋体" w:cs="宋体"/>
                <w:kern w:val="2"/>
                <w:sz w:val="18"/>
                <w:szCs w:val="18"/>
                <w:lang w:val="en-US" w:eastAsia="zh-CN" w:bidi="ar-SA"/>
              </w:rPr>
            </w:pPr>
            <w:r>
              <w:rPr>
                <w:rFonts w:hint="eastAsia" w:ascii="宋体" w:hAnsi="宋体" w:cs="宋体"/>
                <w:kern w:val="2"/>
                <w:sz w:val="18"/>
                <w:szCs w:val="18"/>
                <w:lang w:val="en-US" w:eastAsia="zh-CN" w:bidi="ar-SA"/>
              </w:rPr>
              <w:t>21</w:t>
            </w:r>
          </w:p>
        </w:tc>
        <w:tc>
          <w:tcPr>
            <w:tcW w:w="2260" w:type="dxa"/>
            <w:tcBorders>
              <w:top w:val="single" w:color="auto" w:sz="4" w:space="0"/>
              <w:left w:val="single" w:color="auto" w:sz="4" w:space="0"/>
              <w:bottom w:val="single" w:color="auto" w:sz="4" w:space="0"/>
              <w:right w:val="single" w:color="auto" w:sz="4" w:space="0"/>
            </w:tcBorders>
            <w:shd w:val="clear" w:color="auto" w:fill="auto"/>
            <w:noWrap/>
          </w:tcPr>
          <w:p>
            <w:pPr>
              <w:spacing w:line="340" w:lineRule="exact"/>
              <w:jc w:val="center"/>
              <w:rPr>
                <w:rFonts w:ascii="宋体" w:hAnsi="宋体" w:cs="宋体"/>
                <w:sz w:val="18"/>
                <w:szCs w:val="18"/>
              </w:rPr>
            </w:pPr>
            <w:r>
              <w:rPr>
                <w:rFonts w:hint="eastAsia" w:ascii="宋体" w:hAnsi="宋体" w:cs="宋体"/>
                <w:sz w:val="18"/>
                <w:szCs w:val="18"/>
              </w:rPr>
              <w:t>消火栓</w:t>
            </w:r>
          </w:p>
        </w:tc>
        <w:tc>
          <w:tcPr>
            <w:tcW w:w="1770" w:type="dxa"/>
            <w:tcBorders>
              <w:top w:val="single" w:color="auto" w:sz="4" w:space="0"/>
              <w:left w:val="single" w:color="auto" w:sz="4" w:space="0"/>
              <w:bottom w:val="single" w:color="auto" w:sz="4" w:space="0"/>
              <w:right w:val="single" w:color="auto" w:sz="4" w:space="0"/>
            </w:tcBorders>
            <w:shd w:val="clear" w:color="auto" w:fill="auto"/>
            <w:noWrap/>
          </w:tcPr>
          <w:p>
            <w:pPr>
              <w:spacing w:line="340" w:lineRule="exact"/>
              <w:jc w:val="center"/>
              <w:rPr>
                <w:rFonts w:ascii="宋体" w:hAnsi="宋体" w:cs="宋体"/>
                <w:sz w:val="18"/>
                <w:szCs w:val="18"/>
              </w:rPr>
            </w:pPr>
          </w:p>
        </w:tc>
        <w:tc>
          <w:tcPr>
            <w:tcW w:w="1270" w:type="dxa"/>
            <w:tcBorders>
              <w:top w:val="single" w:color="auto" w:sz="4" w:space="0"/>
              <w:left w:val="single" w:color="auto" w:sz="4" w:space="0"/>
              <w:bottom w:val="single" w:color="auto" w:sz="4" w:space="0"/>
              <w:right w:val="single" w:color="auto" w:sz="4" w:space="0"/>
            </w:tcBorders>
            <w:shd w:val="clear" w:color="auto" w:fill="auto"/>
            <w:noWrap/>
          </w:tcPr>
          <w:p>
            <w:pPr>
              <w:spacing w:line="340" w:lineRule="exact"/>
              <w:jc w:val="center"/>
              <w:rPr>
                <w:rFonts w:ascii="宋体" w:hAnsi="宋体" w:cs="宋体"/>
                <w:sz w:val="18"/>
                <w:szCs w:val="18"/>
              </w:rPr>
            </w:pPr>
            <w:r>
              <w:rPr>
                <w:rFonts w:hint="eastAsia" w:ascii="宋体" w:hAnsi="宋体" w:cs="宋体"/>
                <w:sz w:val="18"/>
                <w:szCs w:val="18"/>
              </w:rPr>
              <w:t>消防应急</w:t>
            </w:r>
          </w:p>
        </w:tc>
        <w:tc>
          <w:tcPr>
            <w:tcW w:w="1080" w:type="dxa"/>
            <w:tcBorders>
              <w:top w:val="single" w:color="auto" w:sz="4" w:space="0"/>
              <w:left w:val="single" w:color="auto" w:sz="4" w:space="0"/>
              <w:bottom w:val="single" w:color="auto" w:sz="4" w:space="0"/>
              <w:right w:val="single" w:color="auto" w:sz="4" w:space="0"/>
            </w:tcBorders>
            <w:shd w:val="clear" w:color="auto" w:fill="auto"/>
            <w:noWrap/>
          </w:tcPr>
          <w:p>
            <w:pPr>
              <w:spacing w:line="340" w:lineRule="exact"/>
              <w:jc w:val="center"/>
              <w:rPr>
                <w:rFonts w:hint="eastAsia" w:ascii="宋体" w:hAnsi="宋体" w:eastAsia="宋体" w:cs="宋体"/>
                <w:sz w:val="18"/>
                <w:szCs w:val="18"/>
                <w:lang w:eastAsia="zh-CN"/>
              </w:rPr>
            </w:pPr>
            <w:r>
              <w:rPr>
                <w:rFonts w:hint="eastAsia" w:ascii="宋体" w:hAnsi="宋体" w:cs="宋体"/>
                <w:sz w:val="18"/>
                <w:szCs w:val="18"/>
                <w:lang w:val="en-US" w:eastAsia="zh-CN"/>
              </w:rPr>
              <w:t>4</w:t>
            </w:r>
          </w:p>
        </w:tc>
        <w:tc>
          <w:tcPr>
            <w:tcW w:w="1590"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340" w:lineRule="exact"/>
              <w:jc w:val="center"/>
              <w:rPr>
                <w:rFonts w:ascii="宋体" w:hAnsi="宋体" w:cs="宋体"/>
                <w:sz w:val="18"/>
                <w:szCs w:val="18"/>
              </w:rPr>
            </w:pPr>
            <w:r>
              <w:rPr>
                <w:rFonts w:hint="eastAsia"/>
                <w:sz w:val="18"/>
                <w:szCs w:val="18"/>
              </w:rPr>
              <w:t>新精馏车间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624"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340" w:lineRule="exact"/>
              <w:jc w:val="center"/>
              <w:rPr>
                <w:rFonts w:hint="default" w:ascii="宋体" w:hAnsi="宋体" w:eastAsia="宋体" w:cs="宋体"/>
                <w:kern w:val="2"/>
                <w:sz w:val="18"/>
                <w:szCs w:val="18"/>
                <w:lang w:val="en-US" w:eastAsia="zh-CN" w:bidi="ar-SA"/>
              </w:rPr>
            </w:pPr>
            <w:r>
              <w:rPr>
                <w:rFonts w:hint="eastAsia" w:ascii="宋体" w:hAnsi="宋体" w:cs="宋体"/>
                <w:kern w:val="2"/>
                <w:sz w:val="18"/>
                <w:szCs w:val="18"/>
                <w:lang w:val="en-US" w:eastAsia="zh-CN" w:bidi="ar-SA"/>
              </w:rPr>
              <w:t>22</w:t>
            </w:r>
          </w:p>
        </w:tc>
        <w:tc>
          <w:tcPr>
            <w:tcW w:w="2260"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340" w:lineRule="exact"/>
              <w:jc w:val="center"/>
              <w:rPr>
                <w:rFonts w:ascii="宋体" w:hAnsi="宋体" w:cs="宋体"/>
                <w:sz w:val="18"/>
                <w:szCs w:val="18"/>
              </w:rPr>
            </w:pPr>
            <w:r>
              <w:rPr>
                <w:rFonts w:hint="eastAsia" w:ascii="宋体" w:hAnsi="宋体" w:cs="宋体"/>
                <w:sz w:val="18"/>
                <w:szCs w:val="18"/>
              </w:rPr>
              <w:t>手提式干粉灭火器</w:t>
            </w:r>
          </w:p>
        </w:tc>
        <w:tc>
          <w:tcPr>
            <w:tcW w:w="1770"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340" w:lineRule="exact"/>
              <w:jc w:val="center"/>
              <w:rPr>
                <w:rFonts w:ascii="宋体" w:hAnsi="宋体" w:cs="宋体"/>
                <w:sz w:val="18"/>
                <w:szCs w:val="18"/>
              </w:rPr>
            </w:pPr>
            <w:r>
              <w:rPr>
                <w:rFonts w:hint="eastAsia" w:ascii="宋体" w:hAnsi="宋体" w:cs="宋体"/>
                <w:sz w:val="18"/>
                <w:szCs w:val="18"/>
              </w:rPr>
              <w:t>MFZ/ABC8</w:t>
            </w:r>
          </w:p>
        </w:tc>
        <w:tc>
          <w:tcPr>
            <w:tcW w:w="1270"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340" w:lineRule="exact"/>
              <w:jc w:val="center"/>
              <w:rPr>
                <w:rFonts w:ascii="宋体" w:hAnsi="宋体" w:cs="宋体"/>
                <w:sz w:val="18"/>
                <w:szCs w:val="18"/>
              </w:rPr>
            </w:pPr>
            <w:r>
              <w:rPr>
                <w:rFonts w:hint="eastAsia" w:ascii="宋体" w:hAnsi="宋体" w:cs="宋体"/>
                <w:sz w:val="18"/>
                <w:szCs w:val="18"/>
              </w:rPr>
              <w:t>火灾扑救</w:t>
            </w:r>
          </w:p>
        </w:tc>
        <w:tc>
          <w:tcPr>
            <w:tcW w:w="1080"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340" w:lineRule="exact"/>
              <w:jc w:val="center"/>
              <w:rPr>
                <w:rFonts w:ascii="宋体" w:hAnsi="宋体" w:cs="宋体"/>
                <w:sz w:val="18"/>
                <w:szCs w:val="18"/>
              </w:rPr>
            </w:pPr>
            <w:r>
              <w:rPr>
                <w:rFonts w:hint="eastAsia" w:ascii="宋体" w:hAnsi="宋体" w:cs="宋体"/>
                <w:sz w:val="18"/>
                <w:szCs w:val="18"/>
              </w:rPr>
              <w:t>8</w:t>
            </w:r>
          </w:p>
        </w:tc>
        <w:tc>
          <w:tcPr>
            <w:tcW w:w="1590"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340" w:lineRule="exact"/>
              <w:jc w:val="center"/>
              <w:rPr>
                <w:rFonts w:ascii="宋体" w:hAnsi="宋体" w:cs="宋体"/>
                <w:sz w:val="18"/>
                <w:szCs w:val="18"/>
              </w:rPr>
            </w:pPr>
            <w:r>
              <w:rPr>
                <w:rFonts w:hint="eastAsia"/>
                <w:sz w:val="18"/>
                <w:szCs w:val="18"/>
              </w:rPr>
              <w:t>新精馏车间三、四、五、六楼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trPr>
        <w:tc>
          <w:tcPr>
            <w:tcW w:w="624" w:type="dxa"/>
            <w:tcBorders>
              <w:top w:val="single" w:color="auto" w:sz="4" w:space="0"/>
              <w:left w:val="single" w:color="auto" w:sz="4" w:space="0"/>
              <w:bottom w:val="single" w:color="auto" w:sz="4" w:space="0"/>
              <w:right w:val="single" w:color="auto" w:sz="4" w:space="0"/>
            </w:tcBorders>
            <w:shd w:val="clear" w:color="auto" w:fill="auto"/>
            <w:noWrap/>
            <w:vAlign w:val="top"/>
          </w:tcPr>
          <w:p>
            <w:pPr>
              <w:spacing w:line="340" w:lineRule="exact"/>
              <w:jc w:val="center"/>
              <w:rPr>
                <w:rFonts w:hint="default" w:ascii="宋体" w:hAnsi="宋体" w:eastAsia="宋体" w:cs="宋体"/>
                <w:kern w:val="2"/>
                <w:sz w:val="18"/>
                <w:szCs w:val="18"/>
                <w:lang w:val="en-US" w:eastAsia="zh-CN" w:bidi="ar-SA"/>
              </w:rPr>
            </w:pPr>
            <w:r>
              <w:rPr>
                <w:rFonts w:hint="eastAsia" w:ascii="宋体" w:hAnsi="宋体" w:cs="宋体"/>
                <w:kern w:val="2"/>
                <w:sz w:val="18"/>
                <w:szCs w:val="18"/>
                <w:lang w:val="en-US" w:eastAsia="zh-CN" w:bidi="ar-SA"/>
              </w:rPr>
              <w:t>23</w:t>
            </w:r>
          </w:p>
        </w:tc>
        <w:tc>
          <w:tcPr>
            <w:tcW w:w="2260"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340" w:lineRule="exact"/>
              <w:jc w:val="center"/>
              <w:rPr>
                <w:rFonts w:ascii="宋体" w:hAnsi="宋体" w:cs="宋体"/>
                <w:sz w:val="18"/>
                <w:szCs w:val="18"/>
              </w:rPr>
            </w:pPr>
            <w:r>
              <w:rPr>
                <w:rFonts w:hint="eastAsia" w:ascii="宋体" w:hAnsi="宋体" w:cs="宋体"/>
                <w:sz w:val="18"/>
                <w:szCs w:val="18"/>
              </w:rPr>
              <w:t>手提式干粉灭火器</w:t>
            </w:r>
          </w:p>
        </w:tc>
        <w:tc>
          <w:tcPr>
            <w:tcW w:w="1770"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340" w:lineRule="exact"/>
              <w:jc w:val="center"/>
              <w:rPr>
                <w:rFonts w:ascii="宋体" w:hAnsi="宋体" w:cs="宋体"/>
                <w:sz w:val="18"/>
                <w:szCs w:val="18"/>
              </w:rPr>
            </w:pPr>
            <w:r>
              <w:rPr>
                <w:rFonts w:hint="eastAsia" w:ascii="宋体" w:hAnsi="宋体" w:cs="宋体"/>
                <w:sz w:val="18"/>
                <w:szCs w:val="18"/>
              </w:rPr>
              <w:t>MFZ/ABC8</w:t>
            </w:r>
          </w:p>
        </w:tc>
        <w:tc>
          <w:tcPr>
            <w:tcW w:w="1270"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340" w:lineRule="exact"/>
              <w:jc w:val="center"/>
              <w:rPr>
                <w:rFonts w:ascii="宋体" w:hAnsi="宋体" w:cs="宋体"/>
                <w:sz w:val="18"/>
                <w:szCs w:val="18"/>
              </w:rPr>
            </w:pPr>
            <w:r>
              <w:rPr>
                <w:rFonts w:hint="eastAsia" w:ascii="宋体" w:hAnsi="宋体" w:cs="宋体"/>
                <w:sz w:val="18"/>
                <w:szCs w:val="18"/>
              </w:rPr>
              <w:t>火灾扑救</w:t>
            </w:r>
          </w:p>
        </w:tc>
        <w:tc>
          <w:tcPr>
            <w:tcW w:w="1080"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340" w:lineRule="exact"/>
              <w:jc w:val="center"/>
              <w:rPr>
                <w:rFonts w:ascii="宋体" w:hAnsi="宋体" w:cs="宋体"/>
                <w:sz w:val="18"/>
                <w:szCs w:val="18"/>
              </w:rPr>
            </w:pPr>
            <w:r>
              <w:rPr>
                <w:rFonts w:hint="eastAsia" w:ascii="宋体" w:hAnsi="宋体" w:cs="宋体"/>
                <w:sz w:val="18"/>
                <w:szCs w:val="18"/>
              </w:rPr>
              <w:t>2</w:t>
            </w:r>
          </w:p>
        </w:tc>
        <w:tc>
          <w:tcPr>
            <w:tcW w:w="1590"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340" w:lineRule="exact"/>
              <w:jc w:val="center"/>
              <w:rPr>
                <w:rFonts w:ascii="宋体" w:hAnsi="宋体" w:cs="宋体"/>
                <w:sz w:val="18"/>
                <w:szCs w:val="18"/>
              </w:rPr>
            </w:pPr>
            <w:r>
              <w:rPr>
                <w:rFonts w:hint="eastAsia" w:cs="宋体"/>
                <w:sz w:val="18"/>
                <w:szCs w:val="18"/>
              </w:rPr>
              <w:t>维修室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624" w:type="dxa"/>
            <w:tcBorders>
              <w:top w:val="single" w:color="auto" w:sz="4" w:space="0"/>
              <w:left w:val="single" w:color="auto" w:sz="4" w:space="0"/>
              <w:bottom w:val="single" w:color="auto" w:sz="4" w:space="0"/>
              <w:right w:val="single" w:color="auto" w:sz="4" w:space="0"/>
            </w:tcBorders>
            <w:shd w:val="clear" w:color="auto" w:fill="auto"/>
            <w:noWrap/>
            <w:vAlign w:val="top"/>
          </w:tcPr>
          <w:p>
            <w:pPr>
              <w:spacing w:line="340" w:lineRule="exact"/>
              <w:jc w:val="center"/>
              <w:rPr>
                <w:rFonts w:hint="default" w:ascii="宋体" w:hAnsi="宋体" w:eastAsia="宋体" w:cs="宋体"/>
                <w:kern w:val="2"/>
                <w:sz w:val="18"/>
                <w:szCs w:val="18"/>
                <w:lang w:val="en-US" w:eastAsia="zh-CN" w:bidi="ar-SA"/>
              </w:rPr>
            </w:pPr>
            <w:r>
              <w:rPr>
                <w:rFonts w:hint="eastAsia" w:ascii="宋体" w:hAnsi="宋体" w:cs="宋体"/>
                <w:kern w:val="2"/>
                <w:sz w:val="18"/>
                <w:szCs w:val="18"/>
                <w:lang w:val="en-US" w:eastAsia="zh-CN" w:bidi="ar-SA"/>
              </w:rPr>
              <w:t>24</w:t>
            </w:r>
          </w:p>
        </w:tc>
        <w:tc>
          <w:tcPr>
            <w:tcW w:w="2260" w:type="dxa"/>
            <w:tcBorders>
              <w:top w:val="single" w:color="auto" w:sz="4" w:space="0"/>
              <w:left w:val="single" w:color="auto" w:sz="4" w:space="0"/>
              <w:bottom w:val="single" w:color="auto" w:sz="4" w:space="0"/>
              <w:right w:val="single" w:color="auto" w:sz="4" w:space="0"/>
            </w:tcBorders>
            <w:shd w:val="clear" w:color="auto" w:fill="auto"/>
            <w:noWrap/>
          </w:tcPr>
          <w:p>
            <w:pPr>
              <w:spacing w:line="340" w:lineRule="exact"/>
              <w:jc w:val="center"/>
              <w:rPr>
                <w:rFonts w:ascii="宋体" w:hAnsi="宋体" w:cs="宋体"/>
                <w:sz w:val="18"/>
                <w:szCs w:val="18"/>
              </w:rPr>
            </w:pPr>
            <w:r>
              <w:rPr>
                <w:rFonts w:hint="eastAsia" w:ascii="宋体" w:hAnsi="宋体" w:cs="宋体"/>
                <w:sz w:val="18"/>
                <w:szCs w:val="18"/>
              </w:rPr>
              <w:t>手提式干粉灭火器</w:t>
            </w:r>
          </w:p>
        </w:tc>
        <w:tc>
          <w:tcPr>
            <w:tcW w:w="1770" w:type="dxa"/>
            <w:tcBorders>
              <w:top w:val="single" w:color="auto" w:sz="4" w:space="0"/>
              <w:left w:val="single" w:color="auto" w:sz="4" w:space="0"/>
              <w:bottom w:val="single" w:color="auto" w:sz="4" w:space="0"/>
              <w:right w:val="single" w:color="auto" w:sz="4" w:space="0"/>
            </w:tcBorders>
            <w:shd w:val="clear" w:color="auto" w:fill="auto"/>
            <w:noWrap/>
          </w:tcPr>
          <w:p>
            <w:pPr>
              <w:spacing w:line="340" w:lineRule="exact"/>
              <w:jc w:val="center"/>
              <w:rPr>
                <w:rFonts w:ascii="宋体" w:hAnsi="宋体" w:cs="宋体"/>
                <w:sz w:val="18"/>
                <w:szCs w:val="18"/>
              </w:rPr>
            </w:pPr>
            <w:r>
              <w:rPr>
                <w:rFonts w:hint="eastAsia" w:ascii="宋体" w:hAnsi="宋体" w:cs="宋体"/>
                <w:sz w:val="18"/>
                <w:szCs w:val="18"/>
              </w:rPr>
              <w:t>MFZ/ABC8</w:t>
            </w:r>
          </w:p>
        </w:tc>
        <w:tc>
          <w:tcPr>
            <w:tcW w:w="1270" w:type="dxa"/>
            <w:tcBorders>
              <w:top w:val="single" w:color="auto" w:sz="4" w:space="0"/>
              <w:left w:val="single" w:color="auto" w:sz="4" w:space="0"/>
              <w:bottom w:val="single" w:color="auto" w:sz="4" w:space="0"/>
              <w:right w:val="single" w:color="auto" w:sz="4" w:space="0"/>
            </w:tcBorders>
            <w:shd w:val="clear" w:color="auto" w:fill="auto"/>
            <w:noWrap/>
          </w:tcPr>
          <w:p>
            <w:pPr>
              <w:spacing w:line="340" w:lineRule="exact"/>
              <w:jc w:val="center"/>
              <w:rPr>
                <w:rFonts w:ascii="宋体" w:hAnsi="宋体" w:cs="宋体"/>
                <w:sz w:val="18"/>
                <w:szCs w:val="18"/>
              </w:rPr>
            </w:pPr>
            <w:r>
              <w:rPr>
                <w:rFonts w:hint="eastAsia" w:ascii="宋体" w:hAnsi="宋体" w:cs="宋体"/>
                <w:sz w:val="18"/>
                <w:szCs w:val="18"/>
              </w:rPr>
              <w:t>火灾扑救</w:t>
            </w:r>
          </w:p>
        </w:tc>
        <w:tc>
          <w:tcPr>
            <w:tcW w:w="1080" w:type="dxa"/>
            <w:tcBorders>
              <w:top w:val="single" w:color="auto" w:sz="4" w:space="0"/>
              <w:left w:val="single" w:color="auto" w:sz="4" w:space="0"/>
              <w:bottom w:val="single" w:color="auto" w:sz="4" w:space="0"/>
              <w:right w:val="single" w:color="auto" w:sz="4" w:space="0"/>
            </w:tcBorders>
            <w:shd w:val="clear" w:color="auto" w:fill="auto"/>
            <w:noWrap/>
          </w:tcPr>
          <w:p>
            <w:pPr>
              <w:spacing w:line="340" w:lineRule="exact"/>
              <w:jc w:val="center"/>
              <w:rPr>
                <w:rFonts w:ascii="宋体" w:hAnsi="宋体" w:cs="宋体"/>
                <w:sz w:val="18"/>
                <w:szCs w:val="18"/>
              </w:rPr>
            </w:pPr>
            <w:r>
              <w:rPr>
                <w:rFonts w:hint="eastAsia" w:ascii="宋体" w:hAnsi="宋体" w:cs="宋体"/>
                <w:sz w:val="18"/>
                <w:szCs w:val="18"/>
              </w:rPr>
              <w:t>8</w:t>
            </w:r>
          </w:p>
        </w:tc>
        <w:tc>
          <w:tcPr>
            <w:tcW w:w="1590"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340" w:lineRule="exact"/>
              <w:jc w:val="center"/>
              <w:rPr>
                <w:rFonts w:ascii="宋体" w:hAnsi="宋体" w:cs="宋体"/>
                <w:sz w:val="18"/>
                <w:szCs w:val="18"/>
              </w:rPr>
            </w:pPr>
            <w:r>
              <w:rPr>
                <w:rFonts w:hint="eastAsia" w:cs="宋体"/>
                <w:sz w:val="18"/>
                <w:szCs w:val="18"/>
              </w:rPr>
              <w:t>危废仓库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624" w:type="dxa"/>
            <w:tcBorders>
              <w:top w:val="single" w:color="auto" w:sz="4" w:space="0"/>
              <w:left w:val="single" w:color="auto" w:sz="4" w:space="0"/>
              <w:bottom w:val="single" w:color="auto" w:sz="4" w:space="0"/>
              <w:right w:val="single" w:color="auto" w:sz="4" w:space="0"/>
            </w:tcBorders>
            <w:shd w:val="clear" w:color="auto" w:fill="auto"/>
            <w:noWrap/>
            <w:vAlign w:val="top"/>
          </w:tcPr>
          <w:p>
            <w:pPr>
              <w:spacing w:line="340" w:lineRule="exact"/>
              <w:jc w:val="center"/>
              <w:rPr>
                <w:rFonts w:hint="default" w:ascii="宋体" w:hAnsi="宋体" w:eastAsia="宋体" w:cs="宋体"/>
                <w:kern w:val="2"/>
                <w:sz w:val="18"/>
                <w:szCs w:val="18"/>
                <w:lang w:val="en-US" w:eastAsia="zh-CN" w:bidi="ar-SA"/>
              </w:rPr>
            </w:pPr>
            <w:r>
              <w:rPr>
                <w:rFonts w:hint="eastAsia" w:ascii="宋体" w:hAnsi="宋体" w:cs="宋体"/>
                <w:kern w:val="2"/>
                <w:sz w:val="18"/>
                <w:szCs w:val="18"/>
                <w:lang w:val="en-US" w:eastAsia="zh-CN" w:bidi="ar-SA"/>
              </w:rPr>
              <w:t>25</w:t>
            </w:r>
          </w:p>
        </w:tc>
        <w:tc>
          <w:tcPr>
            <w:tcW w:w="2260" w:type="dxa"/>
            <w:tcBorders>
              <w:top w:val="single" w:color="auto" w:sz="4" w:space="0"/>
              <w:left w:val="single" w:color="auto" w:sz="4" w:space="0"/>
              <w:bottom w:val="single" w:color="auto" w:sz="4" w:space="0"/>
              <w:right w:val="single" w:color="auto" w:sz="4" w:space="0"/>
            </w:tcBorders>
            <w:shd w:val="clear" w:color="auto" w:fill="auto"/>
            <w:noWrap/>
          </w:tcPr>
          <w:p>
            <w:pPr>
              <w:spacing w:line="340" w:lineRule="exact"/>
              <w:jc w:val="center"/>
              <w:rPr>
                <w:rFonts w:ascii="宋体" w:hAnsi="宋体" w:cs="宋体"/>
                <w:sz w:val="18"/>
                <w:szCs w:val="18"/>
              </w:rPr>
            </w:pPr>
            <w:r>
              <w:rPr>
                <w:rFonts w:hint="eastAsia" w:ascii="宋体" w:hAnsi="宋体" w:cs="宋体"/>
                <w:sz w:val="18"/>
                <w:szCs w:val="18"/>
              </w:rPr>
              <w:t>地上消火栓</w:t>
            </w:r>
          </w:p>
        </w:tc>
        <w:tc>
          <w:tcPr>
            <w:tcW w:w="1770" w:type="dxa"/>
            <w:tcBorders>
              <w:top w:val="single" w:color="auto" w:sz="4" w:space="0"/>
              <w:left w:val="single" w:color="auto" w:sz="4" w:space="0"/>
              <w:bottom w:val="single" w:color="auto" w:sz="4" w:space="0"/>
              <w:right w:val="single" w:color="auto" w:sz="4" w:space="0"/>
            </w:tcBorders>
            <w:shd w:val="clear" w:color="auto" w:fill="auto"/>
            <w:noWrap/>
          </w:tcPr>
          <w:p>
            <w:pPr>
              <w:spacing w:line="340" w:lineRule="exact"/>
              <w:jc w:val="center"/>
              <w:rPr>
                <w:rFonts w:ascii="宋体" w:hAnsi="宋体" w:cs="宋体"/>
                <w:sz w:val="18"/>
                <w:szCs w:val="18"/>
              </w:rPr>
            </w:pPr>
            <w:r>
              <w:rPr>
                <w:rFonts w:hint="eastAsia" w:ascii="宋体" w:hAnsi="宋体" w:cs="宋体"/>
                <w:sz w:val="18"/>
                <w:szCs w:val="18"/>
              </w:rPr>
              <w:t>SS100/65-1.6</w:t>
            </w:r>
          </w:p>
        </w:tc>
        <w:tc>
          <w:tcPr>
            <w:tcW w:w="1270" w:type="dxa"/>
            <w:tcBorders>
              <w:top w:val="single" w:color="auto" w:sz="4" w:space="0"/>
              <w:left w:val="single" w:color="auto" w:sz="4" w:space="0"/>
              <w:bottom w:val="single" w:color="auto" w:sz="4" w:space="0"/>
              <w:right w:val="single" w:color="auto" w:sz="4" w:space="0"/>
            </w:tcBorders>
            <w:shd w:val="clear" w:color="auto" w:fill="auto"/>
            <w:noWrap/>
          </w:tcPr>
          <w:p>
            <w:pPr>
              <w:spacing w:line="340" w:lineRule="exact"/>
              <w:jc w:val="center"/>
              <w:rPr>
                <w:rFonts w:ascii="宋体" w:hAnsi="宋体" w:cs="宋体"/>
                <w:sz w:val="18"/>
                <w:szCs w:val="18"/>
              </w:rPr>
            </w:pPr>
            <w:r>
              <w:rPr>
                <w:rFonts w:hint="eastAsia" w:ascii="宋体" w:hAnsi="宋体" w:cs="宋体"/>
                <w:sz w:val="18"/>
                <w:szCs w:val="18"/>
              </w:rPr>
              <w:t>消防应急</w:t>
            </w:r>
          </w:p>
        </w:tc>
        <w:tc>
          <w:tcPr>
            <w:tcW w:w="1080" w:type="dxa"/>
            <w:tcBorders>
              <w:top w:val="single" w:color="auto" w:sz="4" w:space="0"/>
              <w:left w:val="single" w:color="auto" w:sz="4" w:space="0"/>
              <w:bottom w:val="single" w:color="auto" w:sz="4" w:space="0"/>
              <w:right w:val="single" w:color="auto" w:sz="4" w:space="0"/>
            </w:tcBorders>
            <w:shd w:val="clear" w:color="auto" w:fill="auto"/>
            <w:noWrap/>
          </w:tcPr>
          <w:p>
            <w:pPr>
              <w:spacing w:line="340" w:lineRule="exact"/>
              <w:jc w:val="center"/>
              <w:rPr>
                <w:rFonts w:ascii="宋体" w:hAnsi="宋体" w:cs="宋体"/>
                <w:sz w:val="18"/>
                <w:szCs w:val="18"/>
              </w:rPr>
            </w:pPr>
            <w:r>
              <w:rPr>
                <w:rFonts w:hint="eastAsia" w:ascii="宋体" w:hAnsi="宋体" w:cs="宋体"/>
                <w:sz w:val="18"/>
                <w:szCs w:val="18"/>
              </w:rPr>
              <w:t>2</w:t>
            </w:r>
          </w:p>
        </w:tc>
        <w:tc>
          <w:tcPr>
            <w:tcW w:w="1590"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340" w:lineRule="exact"/>
              <w:jc w:val="center"/>
              <w:rPr>
                <w:rFonts w:ascii="宋体" w:hAnsi="宋体" w:cs="宋体"/>
                <w:sz w:val="18"/>
                <w:szCs w:val="18"/>
              </w:rPr>
            </w:pPr>
            <w:r>
              <w:rPr>
                <w:rFonts w:hint="eastAsia" w:cs="宋体"/>
                <w:sz w:val="18"/>
                <w:szCs w:val="18"/>
              </w:rPr>
              <w:t>氯气仓库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trPr>
        <w:tc>
          <w:tcPr>
            <w:tcW w:w="624" w:type="dxa"/>
            <w:tcBorders>
              <w:top w:val="single" w:color="auto" w:sz="4" w:space="0"/>
              <w:left w:val="single" w:color="auto" w:sz="4" w:space="0"/>
              <w:bottom w:val="single" w:color="auto" w:sz="4" w:space="0"/>
              <w:right w:val="single" w:color="auto" w:sz="4" w:space="0"/>
            </w:tcBorders>
            <w:shd w:val="clear" w:color="auto" w:fill="auto"/>
            <w:noWrap/>
            <w:vAlign w:val="top"/>
          </w:tcPr>
          <w:p>
            <w:pPr>
              <w:spacing w:line="340" w:lineRule="exact"/>
              <w:jc w:val="center"/>
              <w:rPr>
                <w:rFonts w:hint="default" w:ascii="宋体" w:hAnsi="宋体" w:eastAsia="宋体" w:cs="宋体"/>
                <w:kern w:val="2"/>
                <w:sz w:val="18"/>
                <w:szCs w:val="18"/>
                <w:lang w:val="en-US" w:eastAsia="zh-CN" w:bidi="ar-SA"/>
              </w:rPr>
            </w:pPr>
            <w:r>
              <w:rPr>
                <w:rFonts w:hint="eastAsia" w:ascii="宋体" w:hAnsi="宋体" w:cs="宋体"/>
                <w:kern w:val="2"/>
                <w:sz w:val="18"/>
                <w:szCs w:val="18"/>
                <w:lang w:val="en-US" w:eastAsia="zh-CN" w:bidi="ar-SA"/>
              </w:rPr>
              <w:t>26</w:t>
            </w:r>
          </w:p>
        </w:tc>
        <w:tc>
          <w:tcPr>
            <w:tcW w:w="2260" w:type="dxa"/>
            <w:tcBorders>
              <w:top w:val="single" w:color="auto" w:sz="4" w:space="0"/>
              <w:left w:val="single" w:color="auto" w:sz="4" w:space="0"/>
              <w:bottom w:val="single" w:color="auto" w:sz="4" w:space="0"/>
              <w:right w:val="single" w:color="auto" w:sz="4" w:space="0"/>
            </w:tcBorders>
            <w:shd w:val="clear" w:color="auto" w:fill="auto"/>
            <w:noWrap/>
          </w:tcPr>
          <w:p>
            <w:pPr>
              <w:spacing w:line="340" w:lineRule="exact"/>
              <w:jc w:val="center"/>
              <w:rPr>
                <w:rFonts w:ascii="宋体" w:hAnsi="宋体" w:cs="宋体"/>
                <w:sz w:val="18"/>
                <w:szCs w:val="18"/>
              </w:rPr>
            </w:pPr>
            <w:r>
              <w:rPr>
                <w:rFonts w:hint="eastAsia" w:ascii="宋体" w:hAnsi="宋体" w:cs="宋体"/>
                <w:sz w:val="18"/>
                <w:szCs w:val="18"/>
              </w:rPr>
              <w:t>推车式干粉灭火器</w:t>
            </w:r>
          </w:p>
        </w:tc>
        <w:tc>
          <w:tcPr>
            <w:tcW w:w="1770" w:type="dxa"/>
            <w:tcBorders>
              <w:top w:val="single" w:color="auto" w:sz="4" w:space="0"/>
              <w:left w:val="single" w:color="auto" w:sz="4" w:space="0"/>
              <w:bottom w:val="single" w:color="auto" w:sz="4" w:space="0"/>
              <w:right w:val="single" w:color="auto" w:sz="4" w:space="0"/>
            </w:tcBorders>
            <w:shd w:val="clear" w:color="auto" w:fill="auto"/>
            <w:noWrap/>
          </w:tcPr>
          <w:p>
            <w:pPr>
              <w:spacing w:line="340" w:lineRule="exact"/>
              <w:jc w:val="center"/>
              <w:rPr>
                <w:rFonts w:ascii="宋体" w:hAnsi="宋体" w:cs="宋体"/>
                <w:sz w:val="18"/>
                <w:szCs w:val="18"/>
              </w:rPr>
            </w:pPr>
            <w:r>
              <w:rPr>
                <w:rFonts w:hint="eastAsia" w:ascii="宋体" w:hAnsi="宋体" w:cs="宋体"/>
                <w:sz w:val="18"/>
                <w:szCs w:val="18"/>
              </w:rPr>
              <w:t>MFZ/ABC8</w:t>
            </w:r>
          </w:p>
        </w:tc>
        <w:tc>
          <w:tcPr>
            <w:tcW w:w="1270" w:type="dxa"/>
            <w:tcBorders>
              <w:top w:val="single" w:color="auto" w:sz="4" w:space="0"/>
              <w:left w:val="single" w:color="auto" w:sz="4" w:space="0"/>
              <w:bottom w:val="single" w:color="auto" w:sz="4" w:space="0"/>
              <w:right w:val="single" w:color="auto" w:sz="4" w:space="0"/>
            </w:tcBorders>
            <w:shd w:val="clear" w:color="auto" w:fill="auto"/>
            <w:noWrap/>
          </w:tcPr>
          <w:p>
            <w:pPr>
              <w:spacing w:line="340" w:lineRule="exact"/>
              <w:jc w:val="center"/>
              <w:rPr>
                <w:rFonts w:ascii="宋体" w:hAnsi="宋体" w:cs="宋体"/>
                <w:sz w:val="18"/>
                <w:szCs w:val="18"/>
              </w:rPr>
            </w:pPr>
            <w:r>
              <w:rPr>
                <w:rFonts w:hint="eastAsia" w:ascii="宋体" w:hAnsi="宋体" w:cs="宋体"/>
                <w:sz w:val="18"/>
                <w:szCs w:val="18"/>
              </w:rPr>
              <w:t>火灾扑救</w:t>
            </w:r>
          </w:p>
        </w:tc>
        <w:tc>
          <w:tcPr>
            <w:tcW w:w="1080" w:type="dxa"/>
            <w:tcBorders>
              <w:top w:val="single" w:color="auto" w:sz="4" w:space="0"/>
              <w:left w:val="single" w:color="auto" w:sz="4" w:space="0"/>
              <w:bottom w:val="single" w:color="auto" w:sz="4" w:space="0"/>
              <w:right w:val="single" w:color="auto" w:sz="4" w:space="0"/>
            </w:tcBorders>
            <w:shd w:val="clear" w:color="auto" w:fill="auto"/>
            <w:noWrap/>
          </w:tcPr>
          <w:p>
            <w:pPr>
              <w:spacing w:line="340" w:lineRule="exact"/>
              <w:jc w:val="center"/>
              <w:rPr>
                <w:rFonts w:hint="eastAsia" w:ascii="宋体" w:hAnsi="宋体" w:eastAsia="宋体" w:cs="宋体"/>
                <w:sz w:val="18"/>
                <w:szCs w:val="18"/>
                <w:lang w:eastAsia="zh-CN"/>
              </w:rPr>
            </w:pPr>
            <w:r>
              <w:rPr>
                <w:rFonts w:hint="eastAsia" w:ascii="宋体" w:hAnsi="宋体" w:cs="宋体"/>
                <w:sz w:val="18"/>
                <w:szCs w:val="18"/>
                <w:lang w:val="en-US" w:eastAsia="zh-CN"/>
              </w:rPr>
              <w:t>2</w:t>
            </w:r>
          </w:p>
        </w:tc>
        <w:tc>
          <w:tcPr>
            <w:tcW w:w="1590" w:type="dxa"/>
            <w:vMerge w:val="restart"/>
            <w:tcBorders>
              <w:top w:val="single" w:color="auto" w:sz="4" w:space="0"/>
              <w:left w:val="single" w:color="auto" w:sz="4" w:space="0"/>
              <w:right w:val="single" w:color="auto" w:sz="4" w:space="0"/>
            </w:tcBorders>
            <w:shd w:val="clear" w:color="auto" w:fill="auto"/>
            <w:noWrap/>
            <w:vAlign w:val="center"/>
          </w:tcPr>
          <w:p>
            <w:pPr>
              <w:spacing w:line="340" w:lineRule="exact"/>
              <w:jc w:val="center"/>
              <w:rPr>
                <w:rFonts w:ascii="宋体" w:hAnsi="宋体" w:cs="宋体"/>
                <w:sz w:val="18"/>
                <w:szCs w:val="18"/>
              </w:rPr>
            </w:pPr>
            <w:r>
              <w:rPr>
                <w:rFonts w:hint="eastAsia"/>
                <w:sz w:val="18"/>
                <w:szCs w:val="18"/>
              </w:rPr>
              <w:t>丙类仓库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624" w:type="dxa"/>
            <w:tcBorders>
              <w:top w:val="single" w:color="auto" w:sz="4" w:space="0"/>
              <w:left w:val="single" w:color="auto" w:sz="4" w:space="0"/>
              <w:bottom w:val="single" w:color="auto" w:sz="4" w:space="0"/>
              <w:right w:val="single" w:color="auto" w:sz="4" w:space="0"/>
            </w:tcBorders>
            <w:shd w:val="clear" w:color="auto" w:fill="auto"/>
            <w:noWrap/>
            <w:vAlign w:val="top"/>
          </w:tcPr>
          <w:p>
            <w:pPr>
              <w:spacing w:line="360" w:lineRule="auto"/>
              <w:jc w:val="center"/>
              <w:rPr>
                <w:rFonts w:hint="default" w:ascii="宋体" w:hAnsi="宋体" w:eastAsia="宋体" w:cs="宋体"/>
                <w:kern w:val="2"/>
                <w:sz w:val="18"/>
                <w:szCs w:val="18"/>
                <w:lang w:val="en-US" w:eastAsia="zh-CN" w:bidi="ar-SA"/>
              </w:rPr>
            </w:pPr>
            <w:r>
              <w:rPr>
                <w:rFonts w:hint="eastAsia" w:ascii="宋体" w:hAnsi="宋体" w:cs="宋体"/>
                <w:kern w:val="2"/>
                <w:sz w:val="18"/>
                <w:szCs w:val="18"/>
                <w:lang w:val="en-US" w:eastAsia="zh-CN" w:bidi="ar-SA"/>
              </w:rPr>
              <w:t>27</w:t>
            </w:r>
          </w:p>
        </w:tc>
        <w:tc>
          <w:tcPr>
            <w:tcW w:w="2260" w:type="dxa"/>
            <w:tcBorders>
              <w:top w:val="single" w:color="auto" w:sz="4" w:space="0"/>
              <w:left w:val="single" w:color="auto" w:sz="4" w:space="0"/>
              <w:bottom w:val="single" w:color="auto" w:sz="4" w:space="0"/>
              <w:right w:val="single" w:color="auto" w:sz="4" w:space="0"/>
            </w:tcBorders>
            <w:shd w:val="clear" w:color="auto" w:fill="auto"/>
            <w:noWrap/>
          </w:tcPr>
          <w:p>
            <w:pPr>
              <w:spacing w:line="340" w:lineRule="exact"/>
              <w:jc w:val="center"/>
              <w:rPr>
                <w:rFonts w:ascii="宋体" w:hAnsi="宋体" w:cs="宋体"/>
                <w:sz w:val="18"/>
                <w:szCs w:val="18"/>
              </w:rPr>
            </w:pPr>
            <w:r>
              <w:rPr>
                <w:rFonts w:hint="eastAsia" w:ascii="宋体" w:hAnsi="宋体" w:cs="宋体"/>
                <w:sz w:val="18"/>
                <w:szCs w:val="18"/>
              </w:rPr>
              <w:t>室内消火栓</w:t>
            </w:r>
          </w:p>
        </w:tc>
        <w:tc>
          <w:tcPr>
            <w:tcW w:w="1770" w:type="dxa"/>
            <w:tcBorders>
              <w:top w:val="single" w:color="auto" w:sz="4" w:space="0"/>
              <w:left w:val="single" w:color="auto" w:sz="4" w:space="0"/>
              <w:bottom w:val="single" w:color="auto" w:sz="4" w:space="0"/>
              <w:right w:val="single" w:color="auto" w:sz="4" w:space="0"/>
            </w:tcBorders>
            <w:shd w:val="clear" w:color="auto" w:fill="auto"/>
            <w:noWrap/>
          </w:tcPr>
          <w:p>
            <w:pPr>
              <w:spacing w:line="340" w:lineRule="exact"/>
              <w:jc w:val="center"/>
              <w:rPr>
                <w:rFonts w:ascii="宋体" w:hAnsi="宋体" w:cs="宋体"/>
                <w:sz w:val="18"/>
                <w:szCs w:val="18"/>
              </w:rPr>
            </w:pPr>
            <w:r>
              <w:rPr>
                <w:rFonts w:hint="eastAsia" w:ascii="宋体" w:hAnsi="宋体" w:cs="宋体"/>
                <w:sz w:val="18"/>
                <w:szCs w:val="18"/>
              </w:rPr>
              <w:t>Ф65</w:t>
            </w:r>
          </w:p>
        </w:tc>
        <w:tc>
          <w:tcPr>
            <w:tcW w:w="1270" w:type="dxa"/>
            <w:tcBorders>
              <w:top w:val="single" w:color="auto" w:sz="4" w:space="0"/>
              <w:left w:val="single" w:color="auto" w:sz="4" w:space="0"/>
              <w:bottom w:val="single" w:color="auto" w:sz="4" w:space="0"/>
              <w:right w:val="single" w:color="auto" w:sz="4" w:space="0"/>
            </w:tcBorders>
            <w:shd w:val="clear" w:color="auto" w:fill="auto"/>
            <w:noWrap/>
          </w:tcPr>
          <w:p>
            <w:pPr>
              <w:spacing w:line="340" w:lineRule="exact"/>
              <w:jc w:val="center"/>
              <w:rPr>
                <w:rFonts w:ascii="宋体" w:hAnsi="宋体" w:cs="宋体"/>
                <w:sz w:val="18"/>
                <w:szCs w:val="18"/>
              </w:rPr>
            </w:pPr>
            <w:r>
              <w:rPr>
                <w:rFonts w:hint="eastAsia" w:ascii="宋体" w:hAnsi="宋体" w:cs="宋体"/>
                <w:sz w:val="18"/>
                <w:szCs w:val="18"/>
              </w:rPr>
              <w:t>消防应急</w:t>
            </w:r>
          </w:p>
        </w:tc>
        <w:tc>
          <w:tcPr>
            <w:tcW w:w="1080" w:type="dxa"/>
            <w:tcBorders>
              <w:top w:val="single" w:color="auto" w:sz="4" w:space="0"/>
              <w:left w:val="single" w:color="auto" w:sz="4" w:space="0"/>
              <w:bottom w:val="single" w:color="auto" w:sz="4" w:space="0"/>
              <w:right w:val="single" w:color="auto" w:sz="4" w:space="0"/>
            </w:tcBorders>
            <w:shd w:val="clear" w:color="auto" w:fill="auto"/>
            <w:noWrap/>
          </w:tcPr>
          <w:p>
            <w:pPr>
              <w:spacing w:line="340" w:lineRule="exact"/>
              <w:jc w:val="center"/>
              <w:rPr>
                <w:rFonts w:hint="eastAsia" w:ascii="宋体" w:hAnsi="宋体" w:eastAsia="宋体" w:cs="宋体"/>
                <w:sz w:val="18"/>
                <w:szCs w:val="18"/>
                <w:lang w:eastAsia="zh-CN"/>
              </w:rPr>
            </w:pPr>
            <w:r>
              <w:rPr>
                <w:rFonts w:hint="eastAsia" w:ascii="宋体" w:hAnsi="宋体" w:cs="宋体"/>
                <w:sz w:val="18"/>
                <w:szCs w:val="18"/>
                <w:lang w:val="en-US" w:eastAsia="zh-CN"/>
              </w:rPr>
              <w:t>4</w:t>
            </w:r>
          </w:p>
        </w:tc>
        <w:tc>
          <w:tcPr>
            <w:tcW w:w="1590" w:type="dxa"/>
            <w:vMerge w:val="continue"/>
            <w:tcBorders>
              <w:left w:val="single" w:color="auto" w:sz="4" w:space="0"/>
              <w:bottom w:val="single" w:color="auto" w:sz="4" w:space="0"/>
              <w:right w:val="single" w:color="auto" w:sz="4" w:space="0"/>
            </w:tcBorders>
            <w:shd w:val="clear" w:color="auto" w:fill="auto"/>
            <w:noWrap/>
            <w:vAlign w:val="center"/>
          </w:tcPr>
          <w:p>
            <w:pPr>
              <w:spacing w:line="340" w:lineRule="exact"/>
              <w:jc w:val="center"/>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trPr>
        <w:tc>
          <w:tcPr>
            <w:tcW w:w="624" w:type="dxa"/>
            <w:tcBorders>
              <w:top w:val="single" w:color="auto" w:sz="4" w:space="0"/>
              <w:left w:val="single" w:color="auto" w:sz="4" w:space="0"/>
              <w:bottom w:val="single" w:color="auto" w:sz="4" w:space="0"/>
              <w:right w:val="single" w:color="auto" w:sz="4" w:space="0"/>
            </w:tcBorders>
            <w:shd w:val="clear" w:color="auto" w:fill="auto"/>
            <w:noWrap/>
            <w:vAlign w:val="top"/>
          </w:tcPr>
          <w:p>
            <w:pPr>
              <w:spacing w:line="360" w:lineRule="auto"/>
              <w:jc w:val="center"/>
              <w:rPr>
                <w:rFonts w:hint="default" w:ascii="宋体" w:hAnsi="宋体" w:eastAsia="宋体" w:cs="宋体"/>
                <w:kern w:val="2"/>
                <w:sz w:val="18"/>
                <w:szCs w:val="18"/>
                <w:lang w:val="en-US" w:eastAsia="zh-CN" w:bidi="ar-SA"/>
              </w:rPr>
            </w:pPr>
            <w:r>
              <w:rPr>
                <w:rFonts w:hint="eastAsia" w:ascii="宋体" w:hAnsi="宋体" w:cs="宋体"/>
                <w:kern w:val="2"/>
                <w:sz w:val="18"/>
                <w:szCs w:val="18"/>
                <w:lang w:val="en-US" w:eastAsia="zh-CN" w:bidi="ar-SA"/>
              </w:rPr>
              <w:t>28</w:t>
            </w:r>
          </w:p>
        </w:tc>
        <w:tc>
          <w:tcPr>
            <w:tcW w:w="2260" w:type="dxa"/>
            <w:tcBorders>
              <w:top w:val="single" w:color="auto" w:sz="4" w:space="0"/>
              <w:left w:val="single" w:color="auto" w:sz="4" w:space="0"/>
              <w:bottom w:val="single" w:color="auto" w:sz="4" w:space="0"/>
              <w:right w:val="single" w:color="auto" w:sz="4" w:space="0"/>
            </w:tcBorders>
            <w:shd w:val="clear" w:color="auto" w:fill="auto"/>
            <w:noWrap/>
          </w:tcPr>
          <w:p>
            <w:pPr>
              <w:spacing w:line="360" w:lineRule="auto"/>
              <w:jc w:val="center"/>
              <w:rPr>
                <w:rFonts w:ascii="宋体" w:hAnsi="宋体" w:cs="宋体"/>
                <w:sz w:val="18"/>
                <w:szCs w:val="18"/>
              </w:rPr>
            </w:pPr>
            <w:r>
              <w:rPr>
                <w:rFonts w:hint="eastAsia" w:ascii="宋体" w:hAnsi="宋体" w:cs="宋体"/>
                <w:sz w:val="18"/>
                <w:szCs w:val="18"/>
              </w:rPr>
              <w:t>手提式二氧化碳灭火器</w:t>
            </w:r>
          </w:p>
        </w:tc>
        <w:tc>
          <w:tcPr>
            <w:tcW w:w="1770" w:type="dxa"/>
            <w:tcBorders>
              <w:top w:val="single" w:color="auto" w:sz="4" w:space="0"/>
              <w:left w:val="single" w:color="auto" w:sz="4" w:space="0"/>
              <w:bottom w:val="single" w:color="auto" w:sz="4" w:space="0"/>
              <w:right w:val="single" w:color="auto" w:sz="4" w:space="0"/>
            </w:tcBorders>
            <w:shd w:val="clear" w:color="auto" w:fill="auto"/>
            <w:noWrap/>
          </w:tcPr>
          <w:p>
            <w:pPr>
              <w:spacing w:line="360" w:lineRule="auto"/>
              <w:jc w:val="center"/>
              <w:rPr>
                <w:rFonts w:ascii="宋体" w:hAnsi="宋体" w:cs="宋体"/>
                <w:sz w:val="18"/>
                <w:szCs w:val="18"/>
              </w:rPr>
            </w:pPr>
            <w:r>
              <w:rPr>
                <w:rFonts w:hint="eastAsia" w:ascii="宋体" w:hAnsi="宋体" w:cs="宋体"/>
                <w:sz w:val="18"/>
                <w:szCs w:val="18"/>
              </w:rPr>
              <w:t>MFZ/ABC5</w:t>
            </w:r>
          </w:p>
        </w:tc>
        <w:tc>
          <w:tcPr>
            <w:tcW w:w="1270" w:type="dxa"/>
            <w:tcBorders>
              <w:top w:val="single" w:color="auto" w:sz="4" w:space="0"/>
              <w:left w:val="single" w:color="auto" w:sz="4" w:space="0"/>
              <w:bottom w:val="single" w:color="auto" w:sz="4" w:space="0"/>
              <w:right w:val="single" w:color="auto" w:sz="4" w:space="0"/>
            </w:tcBorders>
            <w:shd w:val="clear" w:color="auto" w:fill="auto"/>
            <w:noWrap/>
          </w:tcPr>
          <w:p>
            <w:pPr>
              <w:spacing w:line="360" w:lineRule="auto"/>
              <w:jc w:val="center"/>
              <w:rPr>
                <w:rFonts w:ascii="宋体" w:hAnsi="宋体" w:cs="宋体"/>
                <w:sz w:val="18"/>
                <w:szCs w:val="18"/>
              </w:rPr>
            </w:pPr>
            <w:r>
              <w:rPr>
                <w:rFonts w:hint="eastAsia" w:ascii="宋体" w:hAnsi="宋体" w:cs="宋体"/>
                <w:sz w:val="18"/>
                <w:szCs w:val="18"/>
              </w:rPr>
              <w:t>火灾扑救</w:t>
            </w:r>
          </w:p>
        </w:tc>
        <w:tc>
          <w:tcPr>
            <w:tcW w:w="1080" w:type="dxa"/>
            <w:tcBorders>
              <w:top w:val="single" w:color="auto" w:sz="4" w:space="0"/>
              <w:left w:val="single" w:color="auto" w:sz="4" w:space="0"/>
              <w:bottom w:val="single" w:color="auto" w:sz="4" w:space="0"/>
              <w:right w:val="single" w:color="auto" w:sz="4" w:space="0"/>
            </w:tcBorders>
            <w:shd w:val="clear" w:color="auto" w:fill="auto"/>
            <w:noWrap/>
          </w:tcPr>
          <w:p>
            <w:pPr>
              <w:spacing w:line="360" w:lineRule="auto"/>
              <w:jc w:val="center"/>
              <w:rPr>
                <w:rFonts w:ascii="宋体" w:hAnsi="宋体" w:cs="宋体"/>
                <w:sz w:val="18"/>
                <w:szCs w:val="18"/>
              </w:rPr>
            </w:pPr>
            <w:r>
              <w:rPr>
                <w:rFonts w:hint="eastAsia" w:ascii="宋体" w:hAnsi="宋体" w:cs="宋体"/>
                <w:sz w:val="18"/>
                <w:szCs w:val="18"/>
              </w:rPr>
              <w:t>2</w:t>
            </w:r>
          </w:p>
        </w:tc>
        <w:tc>
          <w:tcPr>
            <w:tcW w:w="1590"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360" w:lineRule="auto"/>
              <w:jc w:val="center"/>
              <w:rPr>
                <w:rFonts w:ascii="宋体" w:hAnsi="宋体" w:cs="宋体"/>
                <w:sz w:val="18"/>
                <w:szCs w:val="18"/>
              </w:rPr>
            </w:pPr>
            <w:r>
              <w:rPr>
                <w:rFonts w:hint="eastAsia" w:cs="宋体"/>
                <w:sz w:val="18"/>
                <w:szCs w:val="18"/>
              </w:rPr>
              <w:t>发电机房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trPr>
        <w:tc>
          <w:tcPr>
            <w:tcW w:w="624" w:type="dxa"/>
            <w:tcBorders>
              <w:top w:val="single" w:color="auto" w:sz="4" w:space="0"/>
              <w:left w:val="single" w:color="auto" w:sz="4" w:space="0"/>
              <w:bottom w:val="single" w:color="auto" w:sz="4" w:space="0"/>
              <w:right w:val="single" w:color="auto" w:sz="4" w:space="0"/>
            </w:tcBorders>
            <w:shd w:val="clear" w:color="auto" w:fill="auto"/>
            <w:noWrap/>
            <w:vAlign w:val="top"/>
          </w:tcPr>
          <w:p>
            <w:pPr>
              <w:spacing w:line="360" w:lineRule="auto"/>
              <w:jc w:val="center"/>
              <w:rPr>
                <w:rFonts w:hint="default" w:ascii="宋体" w:hAnsi="宋体" w:eastAsia="宋体" w:cs="宋体"/>
                <w:kern w:val="2"/>
                <w:sz w:val="18"/>
                <w:szCs w:val="18"/>
                <w:lang w:val="en-US" w:eastAsia="zh-CN" w:bidi="ar-SA"/>
              </w:rPr>
            </w:pPr>
            <w:r>
              <w:rPr>
                <w:rFonts w:hint="eastAsia" w:ascii="宋体" w:hAnsi="宋体" w:cs="宋体"/>
                <w:kern w:val="2"/>
                <w:sz w:val="18"/>
                <w:szCs w:val="18"/>
                <w:lang w:val="en-US" w:eastAsia="zh-CN" w:bidi="ar-SA"/>
              </w:rPr>
              <w:t>29</w:t>
            </w:r>
          </w:p>
        </w:tc>
        <w:tc>
          <w:tcPr>
            <w:tcW w:w="2260" w:type="dxa"/>
            <w:tcBorders>
              <w:top w:val="single" w:color="auto" w:sz="4" w:space="0"/>
              <w:left w:val="single" w:color="auto" w:sz="4" w:space="0"/>
              <w:bottom w:val="single" w:color="auto" w:sz="4" w:space="0"/>
              <w:right w:val="single" w:color="auto" w:sz="4" w:space="0"/>
            </w:tcBorders>
            <w:shd w:val="clear" w:color="auto" w:fill="auto"/>
            <w:noWrap/>
          </w:tcPr>
          <w:p>
            <w:pPr>
              <w:spacing w:line="360" w:lineRule="auto"/>
              <w:jc w:val="center"/>
              <w:rPr>
                <w:rFonts w:ascii="宋体" w:hAnsi="宋体" w:cs="宋体"/>
                <w:sz w:val="18"/>
                <w:szCs w:val="18"/>
              </w:rPr>
            </w:pPr>
            <w:r>
              <w:rPr>
                <w:rFonts w:hint="eastAsia" w:ascii="宋体" w:hAnsi="宋体" w:cs="宋体"/>
                <w:sz w:val="18"/>
                <w:szCs w:val="18"/>
              </w:rPr>
              <w:t>手提式二氧化碳灭火器</w:t>
            </w:r>
          </w:p>
        </w:tc>
        <w:tc>
          <w:tcPr>
            <w:tcW w:w="1770" w:type="dxa"/>
            <w:tcBorders>
              <w:top w:val="single" w:color="auto" w:sz="4" w:space="0"/>
              <w:left w:val="single" w:color="auto" w:sz="4" w:space="0"/>
              <w:bottom w:val="single" w:color="auto" w:sz="4" w:space="0"/>
              <w:right w:val="single" w:color="auto" w:sz="4" w:space="0"/>
            </w:tcBorders>
            <w:shd w:val="clear" w:color="auto" w:fill="auto"/>
            <w:noWrap/>
          </w:tcPr>
          <w:p>
            <w:pPr>
              <w:spacing w:line="360" w:lineRule="auto"/>
              <w:jc w:val="center"/>
              <w:rPr>
                <w:rFonts w:ascii="宋体" w:hAnsi="宋体" w:cs="宋体"/>
                <w:sz w:val="18"/>
                <w:szCs w:val="18"/>
              </w:rPr>
            </w:pPr>
            <w:r>
              <w:rPr>
                <w:rFonts w:hint="eastAsia" w:ascii="宋体" w:hAnsi="宋体" w:cs="宋体"/>
                <w:sz w:val="18"/>
                <w:szCs w:val="18"/>
              </w:rPr>
              <w:t>MFZ/ABC4</w:t>
            </w:r>
          </w:p>
        </w:tc>
        <w:tc>
          <w:tcPr>
            <w:tcW w:w="1270" w:type="dxa"/>
            <w:tcBorders>
              <w:top w:val="single" w:color="auto" w:sz="4" w:space="0"/>
              <w:left w:val="single" w:color="auto" w:sz="4" w:space="0"/>
              <w:bottom w:val="single" w:color="auto" w:sz="4" w:space="0"/>
              <w:right w:val="single" w:color="auto" w:sz="4" w:space="0"/>
            </w:tcBorders>
            <w:shd w:val="clear" w:color="auto" w:fill="auto"/>
            <w:noWrap/>
          </w:tcPr>
          <w:p>
            <w:pPr>
              <w:spacing w:line="360" w:lineRule="auto"/>
              <w:jc w:val="center"/>
              <w:rPr>
                <w:rFonts w:ascii="宋体" w:hAnsi="宋体" w:cs="宋体"/>
                <w:sz w:val="18"/>
                <w:szCs w:val="18"/>
              </w:rPr>
            </w:pPr>
            <w:r>
              <w:rPr>
                <w:rFonts w:hint="eastAsia" w:ascii="宋体" w:hAnsi="宋体" w:cs="宋体"/>
                <w:sz w:val="18"/>
                <w:szCs w:val="18"/>
              </w:rPr>
              <w:t>火灾扑救</w:t>
            </w:r>
          </w:p>
        </w:tc>
        <w:tc>
          <w:tcPr>
            <w:tcW w:w="1080" w:type="dxa"/>
            <w:tcBorders>
              <w:top w:val="single" w:color="auto" w:sz="4" w:space="0"/>
              <w:left w:val="single" w:color="auto" w:sz="4" w:space="0"/>
              <w:bottom w:val="single" w:color="auto" w:sz="4" w:space="0"/>
              <w:right w:val="single" w:color="auto" w:sz="4" w:space="0"/>
            </w:tcBorders>
            <w:shd w:val="clear" w:color="auto" w:fill="auto"/>
            <w:noWrap/>
          </w:tcPr>
          <w:p>
            <w:pPr>
              <w:spacing w:line="360" w:lineRule="auto"/>
              <w:jc w:val="center"/>
              <w:rPr>
                <w:rFonts w:ascii="宋体" w:hAnsi="宋体" w:cs="宋体"/>
                <w:sz w:val="18"/>
                <w:szCs w:val="18"/>
              </w:rPr>
            </w:pPr>
            <w:r>
              <w:rPr>
                <w:rFonts w:hint="eastAsia" w:ascii="宋体" w:hAnsi="宋体" w:cs="宋体"/>
                <w:sz w:val="18"/>
                <w:szCs w:val="18"/>
              </w:rPr>
              <w:t>2</w:t>
            </w:r>
          </w:p>
        </w:tc>
        <w:tc>
          <w:tcPr>
            <w:tcW w:w="1590"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360" w:lineRule="auto"/>
              <w:jc w:val="center"/>
              <w:rPr>
                <w:rFonts w:ascii="宋体" w:hAnsi="宋体" w:cs="宋体"/>
                <w:sz w:val="18"/>
                <w:szCs w:val="18"/>
              </w:rPr>
            </w:pPr>
            <w:r>
              <w:rPr>
                <w:rFonts w:hint="eastAsia" w:cs="宋体"/>
                <w:sz w:val="18"/>
                <w:szCs w:val="18"/>
              </w:rPr>
              <w:t>低压配电室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trPr>
        <w:tc>
          <w:tcPr>
            <w:tcW w:w="624" w:type="dxa"/>
            <w:tcBorders>
              <w:top w:val="single" w:color="auto" w:sz="4" w:space="0"/>
              <w:left w:val="single" w:color="auto" w:sz="4" w:space="0"/>
              <w:bottom w:val="single" w:color="auto" w:sz="4" w:space="0"/>
              <w:right w:val="single" w:color="auto" w:sz="4" w:space="0"/>
            </w:tcBorders>
            <w:shd w:val="clear" w:color="auto" w:fill="auto"/>
            <w:noWrap/>
            <w:vAlign w:val="top"/>
          </w:tcPr>
          <w:p>
            <w:pPr>
              <w:spacing w:line="360" w:lineRule="auto"/>
              <w:jc w:val="center"/>
              <w:rPr>
                <w:rFonts w:hint="default" w:ascii="宋体" w:hAnsi="宋体" w:eastAsia="宋体" w:cs="宋体"/>
                <w:kern w:val="2"/>
                <w:sz w:val="18"/>
                <w:szCs w:val="18"/>
                <w:lang w:val="en-US" w:eastAsia="zh-CN" w:bidi="ar-SA"/>
              </w:rPr>
            </w:pPr>
            <w:r>
              <w:rPr>
                <w:rFonts w:hint="eastAsia" w:ascii="宋体" w:hAnsi="宋体" w:cs="宋体"/>
                <w:kern w:val="2"/>
                <w:sz w:val="18"/>
                <w:szCs w:val="18"/>
                <w:lang w:val="en-US" w:eastAsia="zh-CN" w:bidi="ar-SA"/>
              </w:rPr>
              <w:t>30</w:t>
            </w:r>
          </w:p>
        </w:tc>
        <w:tc>
          <w:tcPr>
            <w:tcW w:w="2260" w:type="dxa"/>
            <w:tcBorders>
              <w:top w:val="single" w:color="auto" w:sz="4" w:space="0"/>
              <w:left w:val="single" w:color="auto" w:sz="4" w:space="0"/>
              <w:bottom w:val="single" w:color="auto" w:sz="4" w:space="0"/>
              <w:right w:val="single" w:color="auto" w:sz="4" w:space="0"/>
            </w:tcBorders>
            <w:shd w:val="clear" w:color="auto" w:fill="auto"/>
            <w:noWrap/>
          </w:tcPr>
          <w:p>
            <w:pPr>
              <w:spacing w:line="340" w:lineRule="exact"/>
              <w:jc w:val="center"/>
              <w:rPr>
                <w:rFonts w:ascii="宋体" w:hAnsi="宋体" w:cs="宋体"/>
                <w:sz w:val="18"/>
                <w:szCs w:val="18"/>
              </w:rPr>
            </w:pPr>
            <w:r>
              <w:rPr>
                <w:rFonts w:hint="eastAsia" w:ascii="宋体" w:hAnsi="宋体" w:cs="宋体"/>
                <w:sz w:val="18"/>
                <w:szCs w:val="18"/>
              </w:rPr>
              <w:t>手提式二氧化碳灭火器</w:t>
            </w:r>
          </w:p>
        </w:tc>
        <w:tc>
          <w:tcPr>
            <w:tcW w:w="1770" w:type="dxa"/>
            <w:tcBorders>
              <w:top w:val="single" w:color="auto" w:sz="4" w:space="0"/>
              <w:left w:val="single" w:color="auto" w:sz="4" w:space="0"/>
              <w:bottom w:val="single" w:color="auto" w:sz="4" w:space="0"/>
              <w:right w:val="single" w:color="auto" w:sz="4" w:space="0"/>
            </w:tcBorders>
            <w:shd w:val="clear" w:color="auto" w:fill="auto"/>
            <w:noWrap/>
          </w:tcPr>
          <w:p>
            <w:pPr>
              <w:spacing w:line="340" w:lineRule="exact"/>
              <w:jc w:val="center"/>
              <w:rPr>
                <w:rFonts w:ascii="宋体" w:hAnsi="宋体" w:cs="宋体"/>
                <w:sz w:val="18"/>
                <w:szCs w:val="18"/>
              </w:rPr>
            </w:pPr>
            <w:r>
              <w:rPr>
                <w:rFonts w:hint="eastAsia" w:ascii="宋体" w:hAnsi="宋体" w:cs="宋体"/>
                <w:sz w:val="18"/>
                <w:szCs w:val="18"/>
              </w:rPr>
              <w:t>MT/3</w:t>
            </w:r>
          </w:p>
        </w:tc>
        <w:tc>
          <w:tcPr>
            <w:tcW w:w="1270" w:type="dxa"/>
            <w:tcBorders>
              <w:top w:val="single" w:color="auto" w:sz="4" w:space="0"/>
              <w:left w:val="single" w:color="auto" w:sz="4" w:space="0"/>
              <w:bottom w:val="single" w:color="auto" w:sz="4" w:space="0"/>
              <w:right w:val="single" w:color="auto" w:sz="4" w:space="0"/>
            </w:tcBorders>
            <w:shd w:val="clear" w:color="auto" w:fill="auto"/>
            <w:noWrap/>
          </w:tcPr>
          <w:p>
            <w:pPr>
              <w:spacing w:line="340" w:lineRule="exact"/>
              <w:jc w:val="center"/>
              <w:rPr>
                <w:rFonts w:ascii="宋体" w:hAnsi="宋体" w:cs="宋体"/>
                <w:sz w:val="18"/>
                <w:szCs w:val="18"/>
              </w:rPr>
            </w:pPr>
            <w:r>
              <w:rPr>
                <w:rFonts w:hint="eastAsia" w:ascii="宋体" w:hAnsi="宋体" w:cs="宋体"/>
                <w:sz w:val="18"/>
                <w:szCs w:val="18"/>
              </w:rPr>
              <w:t>火灾扑救</w:t>
            </w:r>
          </w:p>
        </w:tc>
        <w:tc>
          <w:tcPr>
            <w:tcW w:w="1080" w:type="dxa"/>
            <w:tcBorders>
              <w:top w:val="single" w:color="auto" w:sz="4" w:space="0"/>
              <w:left w:val="single" w:color="auto" w:sz="4" w:space="0"/>
              <w:bottom w:val="single" w:color="auto" w:sz="4" w:space="0"/>
              <w:right w:val="single" w:color="auto" w:sz="4" w:space="0"/>
            </w:tcBorders>
            <w:shd w:val="clear" w:color="auto" w:fill="auto"/>
            <w:noWrap/>
          </w:tcPr>
          <w:p>
            <w:pPr>
              <w:spacing w:line="340" w:lineRule="exact"/>
              <w:jc w:val="center"/>
              <w:rPr>
                <w:rFonts w:ascii="宋体" w:hAnsi="宋体" w:cs="宋体"/>
                <w:sz w:val="18"/>
                <w:szCs w:val="18"/>
              </w:rPr>
            </w:pPr>
            <w:r>
              <w:rPr>
                <w:rFonts w:hint="eastAsia" w:ascii="宋体" w:hAnsi="宋体" w:cs="宋体"/>
                <w:sz w:val="18"/>
                <w:szCs w:val="18"/>
              </w:rPr>
              <w:t>2</w:t>
            </w:r>
          </w:p>
        </w:tc>
        <w:tc>
          <w:tcPr>
            <w:tcW w:w="1590"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360" w:lineRule="auto"/>
              <w:jc w:val="center"/>
              <w:rPr>
                <w:rFonts w:ascii="宋体" w:hAnsi="宋体" w:cs="宋体"/>
                <w:sz w:val="18"/>
                <w:szCs w:val="18"/>
              </w:rPr>
            </w:pPr>
            <w:r>
              <w:rPr>
                <w:rFonts w:hint="eastAsia" w:cs="宋体"/>
                <w:sz w:val="18"/>
                <w:szCs w:val="18"/>
              </w:rPr>
              <w:t>高压配电室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trPr>
        <w:tc>
          <w:tcPr>
            <w:tcW w:w="624" w:type="dxa"/>
            <w:tcBorders>
              <w:top w:val="single" w:color="auto" w:sz="4" w:space="0"/>
              <w:left w:val="single" w:color="auto" w:sz="4" w:space="0"/>
              <w:bottom w:val="single" w:color="auto" w:sz="4" w:space="0"/>
              <w:right w:val="single" w:color="auto" w:sz="4" w:space="0"/>
            </w:tcBorders>
            <w:shd w:val="clear" w:color="auto" w:fill="auto"/>
            <w:noWrap/>
            <w:vAlign w:val="top"/>
          </w:tcPr>
          <w:p>
            <w:pPr>
              <w:spacing w:line="360" w:lineRule="auto"/>
              <w:jc w:val="center"/>
              <w:rPr>
                <w:rFonts w:hint="default" w:ascii="宋体" w:hAnsi="宋体" w:eastAsia="宋体" w:cs="宋体"/>
                <w:kern w:val="2"/>
                <w:sz w:val="18"/>
                <w:szCs w:val="18"/>
                <w:lang w:val="en-US" w:eastAsia="zh-CN" w:bidi="ar-SA"/>
              </w:rPr>
            </w:pPr>
            <w:r>
              <w:rPr>
                <w:rFonts w:hint="eastAsia" w:ascii="宋体" w:hAnsi="宋体" w:cs="宋体"/>
                <w:kern w:val="2"/>
                <w:sz w:val="18"/>
                <w:szCs w:val="18"/>
                <w:lang w:val="en-US" w:eastAsia="zh-CN" w:bidi="ar-SA"/>
              </w:rPr>
              <w:t>31</w:t>
            </w:r>
          </w:p>
        </w:tc>
        <w:tc>
          <w:tcPr>
            <w:tcW w:w="2260" w:type="dxa"/>
            <w:tcBorders>
              <w:top w:val="single" w:color="auto" w:sz="4" w:space="0"/>
              <w:left w:val="single" w:color="auto" w:sz="4" w:space="0"/>
              <w:bottom w:val="single" w:color="auto" w:sz="4" w:space="0"/>
              <w:right w:val="single" w:color="auto" w:sz="4" w:space="0"/>
            </w:tcBorders>
            <w:shd w:val="clear" w:color="auto" w:fill="auto"/>
            <w:noWrap/>
          </w:tcPr>
          <w:p>
            <w:pPr>
              <w:spacing w:line="360" w:lineRule="auto"/>
              <w:jc w:val="center"/>
              <w:rPr>
                <w:rFonts w:ascii="宋体" w:hAnsi="宋体" w:cs="宋体"/>
                <w:sz w:val="18"/>
                <w:szCs w:val="18"/>
              </w:rPr>
            </w:pPr>
            <w:r>
              <w:rPr>
                <w:rFonts w:hint="eastAsia" w:ascii="宋体" w:hAnsi="宋体" w:cs="宋体"/>
                <w:sz w:val="18"/>
                <w:szCs w:val="18"/>
              </w:rPr>
              <w:t>手提式干粉灭火器</w:t>
            </w:r>
          </w:p>
        </w:tc>
        <w:tc>
          <w:tcPr>
            <w:tcW w:w="1770" w:type="dxa"/>
            <w:tcBorders>
              <w:top w:val="single" w:color="auto" w:sz="4" w:space="0"/>
              <w:left w:val="single" w:color="auto" w:sz="4" w:space="0"/>
              <w:bottom w:val="single" w:color="auto" w:sz="4" w:space="0"/>
              <w:right w:val="single" w:color="auto" w:sz="4" w:space="0"/>
            </w:tcBorders>
            <w:shd w:val="clear" w:color="auto" w:fill="auto"/>
            <w:noWrap/>
          </w:tcPr>
          <w:p>
            <w:pPr>
              <w:spacing w:line="360" w:lineRule="auto"/>
              <w:jc w:val="center"/>
              <w:rPr>
                <w:rFonts w:ascii="宋体" w:hAnsi="宋体" w:cs="宋体"/>
                <w:sz w:val="18"/>
                <w:szCs w:val="18"/>
              </w:rPr>
            </w:pPr>
            <w:r>
              <w:rPr>
                <w:rFonts w:hint="eastAsia" w:ascii="宋体" w:hAnsi="宋体" w:cs="宋体"/>
                <w:sz w:val="18"/>
                <w:szCs w:val="18"/>
              </w:rPr>
              <w:t>MFZ/ABC4</w:t>
            </w:r>
          </w:p>
        </w:tc>
        <w:tc>
          <w:tcPr>
            <w:tcW w:w="1270" w:type="dxa"/>
            <w:tcBorders>
              <w:top w:val="single" w:color="auto" w:sz="4" w:space="0"/>
              <w:left w:val="single" w:color="auto" w:sz="4" w:space="0"/>
              <w:bottom w:val="single" w:color="auto" w:sz="4" w:space="0"/>
              <w:right w:val="single" w:color="auto" w:sz="4" w:space="0"/>
            </w:tcBorders>
            <w:shd w:val="clear" w:color="auto" w:fill="auto"/>
            <w:noWrap/>
          </w:tcPr>
          <w:p>
            <w:pPr>
              <w:spacing w:line="360" w:lineRule="auto"/>
              <w:jc w:val="center"/>
              <w:rPr>
                <w:rFonts w:ascii="宋体" w:hAnsi="宋体" w:cs="宋体"/>
                <w:sz w:val="18"/>
                <w:szCs w:val="18"/>
              </w:rPr>
            </w:pPr>
            <w:r>
              <w:rPr>
                <w:rFonts w:hint="eastAsia" w:ascii="宋体" w:hAnsi="宋体" w:cs="宋体"/>
                <w:sz w:val="18"/>
                <w:szCs w:val="18"/>
              </w:rPr>
              <w:t>火灾扑救</w:t>
            </w:r>
          </w:p>
        </w:tc>
        <w:tc>
          <w:tcPr>
            <w:tcW w:w="1080" w:type="dxa"/>
            <w:tcBorders>
              <w:top w:val="single" w:color="auto" w:sz="4" w:space="0"/>
              <w:left w:val="single" w:color="auto" w:sz="4" w:space="0"/>
              <w:bottom w:val="single" w:color="auto" w:sz="4" w:space="0"/>
              <w:right w:val="single" w:color="auto" w:sz="4" w:space="0"/>
            </w:tcBorders>
            <w:shd w:val="clear" w:color="auto" w:fill="auto"/>
            <w:noWrap/>
          </w:tcPr>
          <w:p>
            <w:pPr>
              <w:spacing w:line="340" w:lineRule="exact"/>
              <w:jc w:val="center"/>
              <w:rPr>
                <w:rFonts w:ascii="宋体" w:hAnsi="宋体" w:cs="宋体"/>
                <w:sz w:val="18"/>
                <w:szCs w:val="18"/>
              </w:rPr>
            </w:pPr>
            <w:r>
              <w:rPr>
                <w:rFonts w:hint="eastAsia" w:ascii="宋体" w:hAnsi="宋体" w:cs="宋体"/>
                <w:sz w:val="18"/>
                <w:szCs w:val="18"/>
              </w:rPr>
              <w:t>2</w:t>
            </w:r>
          </w:p>
        </w:tc>
        <w:tc>
          <w:tcPr>
            <w:tcW w:w="1590"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360" w:lineRule="auto"/>
              <w:jc w:val="center"/>
              <w:rPr>
                <w:rFonts w:ascii="宋体" w:hAnsi="宋体" w:cs="宋体"/>
                <w:sz w:val="18"/>
                <w:szCs w:val="18"/>
              </w:rPr>
            </w:pPr>
            <w:r>
              <w:rPr>
                <w:rFonts w:hint="eastAsia" w:cs="宋体"/>
                <w:sz w:val="18"/>
                <w:szCs w:val="18"/>
              </w:rPr>
              <w:t>中控室配电室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trPr>
        <w:tc>
          <w:tcPr>
            <w:tcW w:w="624" w:type="dxa"/>
            <w:tcBorders>
              <w:top w:val="single" w:color="auto" w:sz="4" w:space="0"/>
              <w:left w:val="single" w:color="auto" w:sz="4" w:space="0"/>
              <w:bottom w:val="single" w:color="auto" w:sz="4" w:space="0"/>
              <w:right w:val="single" w:color="auto" w:sz="4" w:space="0"/>
            </w:tcBorders>
            <w:shd w:val="clear" w:color="auto" w:fill="auto"/>
            <w:noWrap/>
            <w:vAlign w:val="top"/>
          </w:tcPr>
          <w:p>
            <w:pPr>
              <w:spacing w:line="360" w:lineRule="auto"/>
              <w:jc w:val="center"/>
              <w:rPr>
                <w:rFonts w:hint="default" w:ascii="宋体" w:hAnsi="宋体" w:eastAsia="宋体" w:cs="宋体"/>
                <w:kern w:val="2"/>
                <w:sz w:val="18"/>
                <w:szCs w:val="18"/>
                <w:lang w:val="en-US" w:eastAsia="zh-CN" w:bidi="ar-SA"/>
              </w:rPr>
            </w:pPr>
            <w:r>
              <w:rPr>
                <w:rFonts w:hint="eastAsia" w:ascii="宋体" w:hAnsi="宋体" w:cs="宋体"/>
                <w:kern w:val="2"/>
                <w:sz w:val="18"/>
                <w:szCs w:val="18"/>
                <w:lang w:val="en-US" w:eastAsia="zh-CN" w:bidi="ar-SA"/>
              </w:rPr>
              <w:t>32</w:t>
            </w:r>
          </w:p>
        </w:tc>
        <w:tc>
          <w:tcPr>
            <w:tcW w:w="2260" w:type="dxa"/>
            <w:tcBorders>
              <w:top w:val="single" w:color="auto" w:sz="4" w:space="0"/>
              <w:left w:val="single" w:color="auto" w:sz="4" w:space="0"/>
              <w:bottom w:val="single" w:color="auto" w:sz="4" w:space="0"/>
              <w:right w:val="single" w:color="auto" w:sz="4" w:space="0"/>
            </w:tcBorders>
            <w:shd w:val="clear" w:color="auto" w:fill="auto"/>
            <w:noWrap/>
          </w:tcPr>
          <w:p>
            <w:pPr>
              <w:spacing w:line="360" w:lineRule="auto"/>
              <w:jc w:val="center"/>
              <w:rPr>
                <w:rFonts w:ascii="宋体" w:hAnsi="宋体" w:cs="宋体"/>
                <w:sz w:val="18"/>
                <w:szCs w:val="18"/>
              </w:rPr>
            </w:pPr>
            <w:r>
              <w:rPr>
                <w:rFonts w:hint="eastAsia" w:ascii="宋体" w:hAnsi="宋体" w:cs="宋体"/>
                <w:sz w:val="18"/>
                <w:szCs w:val="18"/>
              </w:rPr>
              <w:t>手提式干粉灭火器</w:t>
            </w:r>
          </w:p>
        </w:tc>
        <w:tc>
          <w:tcPr>
            <w:tcW w:w="1770" w:type="dxa"/>
            <w:tcBorders>
              <w:top w:val="single" w:color="auto" w:sz="4" w:space="0"/>
              <w:left w:val="single" w:color="auto" w:sz="4" w:space="0"/>
              <w:bottom w:val="single" w:color="auto" w:sz="4" w:space="0"/>
              <w:right w:val="single" w:color="auto" w:sz="4" w:space="0"/>
            </w:tcBorders>
            <w:shd w:val="clear" w:color="auto" w:fill="auto"/>
            <w:noWrap/>
          </w:tcPr>
          <w:p>
            <w:pPr>
              <w:spacing w:line="360" w:lineRule="auto"/>
              <w:jc w:val="center"/>
              <w:rPr>
                <w:rFonts w:ascii="宋体" w:hAnsi="宋体" w:cs="宋体"/>
                <w:sz w:val="18"/>
                <w:szCs w:val="18"/>
              </w:rPr>
            </w:pPr>
            <w:r>
              <w:rPr>
                <w:rFonts w:hint="eastAsia" w:ascii="宋体" w:hAnsi="宋体" w:cs="宋体"/>
                <w:sz w:val="18"/>
                <w:szCs w:val="18"/>
              </w:rPr>
              <w:t>MFZ/ABC5</w:t>
            </w:r>
          </w:p>
        </w:tc>
        <w:tc>
          <w:tcPr>
            <w:tcW w:w="1270" w:type="dxa"/>
            <w:tcBorders>
              <w:top w:val="single" w:color="auto" w:sz="4" w:space="0"/>
              <w:left w:val="single" w:color="auto" w:sz="4" w:space="0"/>
              <w:bottom w:val="single" w:color="auto" w:sz="4" w:space="0"/>
              <w:right w:val="single" w:color="auto" w:sz="4" w:space="0"/>
            </w:tcBorders>
            <w:shd w:val="clear" w:color="auto" w:fill="auto"/>
            <w:noWrap/>
          </w:tcPr>
          <w:p>
            <w:pPr>
              <w:spacing w:line="360" w:lineRule="auto"/>
              <w:jc w:val="center"/>
              <w:rPr>
                <w:rFonts w:ascii="宋体" w:hAnsi="宋体" w:cs="宋体"/>
                <w:sz w:val="18"/>
                <w:szCs w:val="18"/>
              </w:rPr>
            </w:pPr>
            <w:r>
              <w:rPr>
                <w:rFonts w:hint="eastAsia" w:ascii="宋体" w:hAnsi="宋体" w:cs="宋体"/>
                <w:sz w:val="18"/>
                <w:szCs w:val="18"/>
              </w:rPr>
              <w:t>火灾扑救</w:t>
            </w:r>
          </w:p>
        </w:tc>
        <w:tc>
          <w:tcPr>
            <w:tcW w:w="1080" w:type="dxa"/>
            <w:tcBorders>
              <w:top w:val="single" w:color="auto" w:sz="4" w:space="0"/>
              <w:left w:val="single" w:color="auto" w:sz="4" w:space="0"/>
              <w:bottom w:val="single" w:color="auto" w:sz="4" w:space="0"/>
              <w:right w:val="single" w:color="auto" w:sz="4" w:space="0"/>
            </w:tcBorders>
            <w:shd w:val="clear" w:color="auto" w:fill="auto"/>
            <w:noWrap/>
          </w:tcPr>
          <w:p>
            <w:pPr>
              <w:spacing w:line="360" w:lineRule="auto"/>
              <w:jc w:val="center"/>
              <w:rPr>
                <w:rFonts w:ascii="宋体" w:hAnsi="宋体" w:cs="宋体"/>
                <w:sz w:val="18"/>
                <w:szCs w:val="18"/>
              </w:rPr>
            </w:pPr>
            <w:r>
              <w:rPr>
                <w:rFonts w:hint="eastAsia" w:ascii="宋体" w:hAnsi="宋体" w:cs="宋体"/>
                <w:sz w:val="18"/>
                <w:szCs w:val="18"/>
              </w:rPr>
              <w:t>2</w:t>
            </w:r>
          </w:p>
        </w:tc>
        <w:tc>
          <w:tcPr>
            <w:tcW w:w="1590"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360" w:lineRule="auto"/>
              <w:jc w:val="center"/>
              <w:rPr>
                <w:rFonts w:ascii="宋体" w:hAnsi="宋体" w:cs="宋体"/>
                <w:sz w:val="18"/>
                <w:szCs w:val="18"/>
              </w:rPr>
            </w:pPr>
            <w:r>
              <w:rPr>
                <w:rFonts w:hint="eastAsia" w:cs="宋体"/>
                <w:sz w:val="18"/>
                <w:szCs w:val="18"/>
              </w:rPr>
              <w:t>污水处理站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trPr>
        <w:tc>
          <w:tcPr>
            <w:tcW w:w="624" w:type="dxa"/>
            <w:tcBorders>
              <w:top w:val="single" w:color="auto" w:sz="4" w:space="0"/>
              <w:left w:val="single" w:color="auto" w:sz="4" w:space="0"/>
              <w:bottom w:val="single" w:color="auto" w:sz="4" w:space="0"/>
              <w:right w:val="single" w:color="auto" w:sz="4" w:space="0"/>
            </w:tcBorders>
            <w:shd w:val="clear" w:color="auto" w:fill="auto"/>
            <w:noWrap/>
            <w:vAlign w:val="top"/>
          </w:tcPr>
          <w:p>
            <w:pPr>
              <w:spacing w:line="360" w:lineRule="auto"/>
              <w:jc w:val="center"/>
              <w:rPr>
                <w:rFonts w:hint="default" w:ascii="宋体" w:hAnsi="宋体" w:eastAsia="宋体" w:cs="宋体"/>
                <w:kern w:val="2"/>
                <w:sz w:val="18"/>
                <w:szCs w:val="18"/>
                <w:lang w:val="en-US" w:eastAsia="zh-CN" w:bidi="ar-SA"/>
              </w:rPr>
            </w:pPr>
            <w:r>
              <w:rPr>
                <w:rFonts w:hint="eastAsia" w:ascii="宋体" w:hAnsi="宋体" w:cs="宋体"/>
                <w:kern w:val="2"/>
                <w:sz w:val="18"/>
                <w:szCs w:val="18"/>
                <w:lang w:val="en-US" w:eastAsia="zh-CN" w:bidi="ar-SA"/>
              </w:rPr>
              <w:t>33</w:t>
            </w:r>
          </w:p>
        </w:tc>
        <w:tc>
          <w:tcPr>
            <w:tcW w:w="2260" w:type="dxa"/>
            <w:tcBorders>
              <w:top w:val="single" w:color="auto" w:sz="4" w:space="0"/>
              <w:left w:val="single" w:color="auto" w:sz="4" w:space="0"/>
              <w:bottom w:val="single" w:color="auto" w:sz="4" w:space="0"/>
              <w:right w:val="single" w:color="auto" w:sz="4" w:space="0"/>
            </w:tcBorders>
            <w:shd w:val="clear" w:color="auto" w:fill="auto"/>
            <w:noWrap/>
          </w:tcPr>
          <w:p>
            <w:pPr>
              <w:spacing w:line="360" w:lineRule="auto"/>
              <w:jc w:val="center"/>
              <w:rPr>
                <w:rFonts w:ascii="宋体" w:hAnsi="宋体" w:cs="宋体"/>
                <w:sz w:val="18"/>
                <w:szCs w:val="18"/>
              </w:rPr>
            </w:pPr>
            <w:r>
              <w:rPr>
                <w:rFonts w:hint="eastAsia" w:ascii="宋体" w:hAnsi="宋体" w:cs="宋体"/>
                <w:bCs/>
                <w:sz w:val="18"/>
                <w:szCs w:val="18"/>
              </w:rPr>
              <w:t>消防工具柜</w:t>
            </w:r>
          </w:p>
        </w:tc>
        <w:tc>
          <w:tcPr>
            <w:tcW w:w="1770" w:type="dxa"/>
            <w:tcBorders>
              <w:top w:val="single" w:color="auto" w:sz="4" w:space="0"/>
              <w:left w:val="single" w:color="auto" w:sz="4" w:space="0"/>
              <w:bottom w:val="single" w:color="auto" w:sz="4" w:space="0"/>
              <w:right w:val="single" w:color="auto" w:sz="4" w:space="0"/>
            </w:tcBorders>
            <w:shd w:val="clear" w:color="auto" w:fill="auto"/>
            <w:noWrap/>
          </w:tcPr>
          <w:p>
            <w:pPr>
              <w:spacing w:line="360" w:lineRule="auto"/>
              <w:jc w:val="center"/>
              <w:rPr>
                <w:rFonts w:ascii="宋体" w:hAnsi="宋体" w:cs="宋体"/>
                <w:sz w:val="18"/>
                <w:szCs w:val="18"/>
              </w:rPr>
            </w:pPr>
          </w:p>
        </w:tc>
        <w:tc>
          <w:tcPr>
            <w:tcW w:w="1270" w:type="dxa"/>
            <w:tcBorders>
              <w:top w:val="single" w:color="auto" w:sz="4" w:space="0"/>
              <w:left w:val="single" w:color="auto" w:sz="4" w:space="0"/>
              <w:bottom w:val="single" w:color="auto" w:sz="4" w:space="0"/>
              <w:right w:val="single" w:color="auto" w:sz="4" w:space="0"/>
            </w:tcBorders>
            <w:shd w:val="clear" w:color="auto" w:fill="auto"/>
            <w:noWrap/>
          </w:tcPr>
          <w:p>
            <w:pPr>
              <w:spacing w:line="360" w:lineRule="auto"/>
              <w:jc w:val="center"/>
              <w:rPr>
                <w:rFonts w:ascii="宋体" w:hAnsi="宋体" w:cs="宋体"/>
                <w:sz w:val="18"/>
                <w:szCs w:val="18"/>
              </w:rPr>
            </w:pPr>
            <w:r>
              <w:rPr>
                <w:rFonts w:hint="eastAsia" w:ascii="宋体" w:hAnsi="宋体" w:cs="宋体"/>
                <w:sz w:val="18"/>
                <w:szCs w:val="18"/>
              </w:rPr>
              <w:t>设施存放</w:t>
            </w:r>
          </w:p>
        </w:tc>
        <w:tc>
          <w:tcPr>
            <w:tcW w:w="1080" w:type="dxa"/>
            <w:tcBorders>
              <w:top w:val="single" w:color="auto" w:sz="4" w:space="0"/>
              <w:left w:val="single" w:color="auto" w:sz="4" w:space="0"/>
              <w:bottom w:val="single" w:color="auto" w:sz="4" w:space="0"/>
              <w:right w:val="single" w:color="auto" w:sz="4" w:space="0"/>
            </w:tcBorders>
            <w:shd w:val="clear" w:color="auto" w:fill="auto"/>
            <w:noWrap/>
          </w:tcPr>
          <w:p>
            <w:pPr>
              <w:spacing w:line="360" w:lineRule="auto"/>
              <w:jc w:val="center"/>
              <w:rPr>
                <w:rFonts w:ascii="宋体" w:hAnsi="宋体" w:cs="宋体"/>
                <w:sz w:val="18"/>
                <w:szCs w:val="18"/>
              </w:rPr>
            </w:pPr>
            <w:r>
              <w:rPr>
                <w:rFonts w:hint="eastAsia" w:ascii="宋体" w:hAnsi="宋体" w:cs="宋体"/>
                <w:sz w:val="18"/>
                <w:szCs w:val="18"/>
              </w:rPr>
              <w:t>1</w:t>
            </w:r>
          </w:p>
        </w:tc>
        <w:tc>
          <w:tcPr>
            <w:tcW w:w="1590" w:type="dxa"/>
            <w:vMerge w:val="restart"/>
            <w:tcBorders>
              <w:top w:val="single" w:color="auto" w:sz="4" w:space="0"/>
              <w:left w:val="single" w:color="auto" w:sz="4" w:space="0"/>
              <w:right w:val="single" w:color="auto" w:sz="4" w:space="0"/>
            </w:tcBorders>
            <w:shd w:val="clear" w:color="auto" w:fill="auto"/>
            <w:noWrap/>
            <w:vAlign w:val="center"/>
          </w:tcPr>
          <w:p>
            <w:pPr>
              <w:spacing w:line="360" w:lineRule="auto"/>
              <w:jc w:val="center"/>
              <w:rPr>
                <w:rFonts w:ascii="宋体" w:hAnsi="宋体" w:cs="宋体"/>
                <w:sz w:val="18"/>
                <w:szCs w:val="18"/>
              </w:rPr>
            </w:pPr>
            <w:r>
              <w:rPr>
                <w:rFonts w:hint="eastAsia"/>
                <w:sz w:val="18"/>
                <w:szCs w:val="18"/>
              </w:rPr>
              <w:t>微型消防站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624" w:type="dxa"/>
            <w:tcBorders>
              <w:top w:val="single" w:color="auto" w:sz="4" w:space="0"/>
              <w:left w:val="single" w:color="auto" w:sz="4" w:space="0"/>
              <w:bottom w:val="single" w:color="auto" w:sz="4" w:space="0"/>
              <w:right w:val="single" w:color="auto" w:sz="4" w:space="0"/>
            </w:tcBorders>
            <w:shd w:val="clear" w:color="auto" w:fill="auto"/>
            <w:noWrap/>
            <w:vAlign w:val="top"/>
          </w:tcPr>
          <w:p>
            <w:pPr>
              <w:spacing w:line="360" w:lineRule="auto"/>
              <w:jc w:val="center"/>
              <w:rPr>
                <w:rFonts w:hint="default" w:ascii="宋体" w:hAnsi="宋体" w:eastAsia="宋体" w:cs="宋体"/>
                <w:kern w:val="2"/>
                <w:sz w:val="18"/>
                <w:szCs w:val="18"/>
                <w:lang w:val="en-US" w:eastAsia="zh-CN" w:bidi="ar-SA"/>
              </w:rPr>
            </w:pPr>
            <w:r>
              <w:rPr>
                <w:rFonts w:hint="eastAsia" w:ascii="宋体" w:hAnsi="宋体" w:cs="宋体"/>
                <w:kern w:val="2"/>
                <w:sz w:val="18"/>
                <w:szCs w:val="18"/>
                <w:lang w:val="en-US" w:eastAsia="zh-CN" w:bidi="ar-SA"/>
              </w:rPr>
              <w:t>34</w:t>
            </w:r>
          </w:p>
        </w:tc>
        <w:tc>
          <w:tcPr>
            <w:tcW w:w="2260" w:type="dxa"/>
            <w:tcBorders>
              <w:top w:val="single" w:color="auto" w:sz="4" w:space="0"/>
              <w:left w:val="single" w:color="auto" w:sz="4" w:space="0"/>
              <w:bottom w:val="single" w:color="auto" w:sz="4" w:space="0"/>
              <w:right w:val="single" w:color="auto" w:sz="4" w:space="0"/>
            </w:tcBorders>
            <w:shd w:val="clear" w:color="auto" w:fill="auto"/>
            <w:noWrap/>
          </w:tcPr>
          <w:p>
            <w:pPr>
              <w:spacing w:line="360" w:lineRule="auto"/>
              <w:rPr>
                <w:rFonts w:ascii="宋体" w:hAnsi="宋体" w:cs="宋体"/>
                <w:sz w:val="18"/>
                <w:szCs w:val="18"/>
              </w:rPr>
            </w:pPr>
            <w:r>
              <w:rPr>
                <w:rFonts w:hint="eastAsia" w:ascii="宋体" w:hAnsi="宋体" w:cs="宋体"/>
                <w:bCs/>
                <w:sz w:val="18"/>
                <w:szCs w:val="18"/>
              </w:rPr>
              <w:t>火灾报警控制器（联动型）</w:t>
            </w:r>
          </w:p>
        </w:tc>
        <w:tc>
          <w:tcPr>
            <w:tcW w:w="1770" w:type="dxa"/>
            <w:tcBorders>
              <w:top w:val="single" w:color="auto" w:sz="4" w:space="0"/>
              <w:left w:val="single" w:color="auto" w:sz="4" w:space="0"/>
              <w:bottom w:val="single" w:color="auto" w:sz="4" w:space="0"/>
              <w:right w:val="single" w:color="auto" w:sz="4" w:space="0"/>
            </w:tcBorders>
            <w:shd w:val="clear" w:color="auto" w:fill="auto"/>
            <w:noWrap/>
          </w:tcPr>
          <w:p>
            <w:pPr>
              <w:spacing w:line="360" w:lineRule="auto"/>
              <w:rPr>
                <w:rFonts w:ascii="宋体" w:hAnsi="宋体" w:cs="宋体"/>
                <w:sz w:val="18"/>
                <w:szCs w:val="18"/>
              </w:rPr>
            </w:pPr>
            <w:r>
              <w:rPr>
                <w:rFonts w:hint="eastAsia" w:ascii="宋体" w:hAnsi="宋体" w:cs="宋体"/>
                <w:sz w:val="18"/>
                <w:szCs w:val="18"/>
              </w:rPr>
              <w:t>JB-QT-GST5000</w:t>
            </w:r>
          </w:p>
        </w:tc>
        <w:tc>
          <w:tcPr>
            <w:tcW w:w="1270" w:type="dxa"/>
            <w:tcBorders>
              <w:top w:val="single" w:color="auto" w:sz="4" w:space="0"/>
              <w:left w:val="single" w:color="auto" w:sz="4" w:space="0"/>
              <w:bottom w:val="single" w:color="auto" w:sz="4" w:space="0"/>
              <w:right w:val="single" w:color="auto" w:sz="4" w:space="0"/>
            </w:tcBorders>
            <w:shd w:val="clear" w:color="auto" w:fill="auto"/>
            <w:noWrap/>
          </w:tcPr>
          <w:p>
            <w:pPr>
              <w:spacing w:line="360" w:lineRule="auto"/>
              <w:jc w:val="center"/>
              <w:rPr>
                <w:rFonts w:ascii="宋体" w:hAnsi="宋体" w:cs="宋体"/>
                <w:sz w:val="18"/>
                <w:szCs w:val="18"/>
              </w:rPr>
            </w:pPr>
            <w:r>
              <w:rPr>
                <w:rFonts w:hint="eastAsia" w:ascii="宋体" w:hAnsi="宋体" w:cs="宋体"/>
                <w:sz w:val="18"/>
                <w:szCs w:val="18"/>
              </w:rPr>
              <w:t>火灾预警</w:t>
            </w:r>
          </w:p>
        </w:tc>
        <w:tc>
          <w:tcPr>
            <w:tcW w:w="1080" w:type="dxa"/>
            <w:tcBorders>
              <w:top w:val="single" w:color="auto" w:sz="4" w:space="0"/>
              <w:left w:val="single" w:color="auto" w:sz="4" w:space="0"/>
              <w:bottom w:val="single" w:color="auto" w:sz="4" w:space="0"/>
              <w:right w:val="single" w:color="auto" w:sz="4" w:space="0"/>
            </w:tcBorders>
            <w:shd w:val="clear" w:color="auto" w:fill="auto"/>
            <w:noWrap/>
          </w:tcPr>
          <w:p>
            <w:pPr>
              <w:spacing w:line="360" w:lineRule="auto"/>
              <w:jc w:val="center"/>
              <w:rPr>
                <w:rFonts w:ascii="宋体" w:hAnsi="宋体" w:cs="宋体"/>
                <w:sz w:val="18"/>
                <w:szCs w:val="18"/>
              </w:rPr>
            </w:pPr>
            <w:r>
              <w:rPr>
                <w:rFonts w:hint="eastAsia" w:ascii="宋体" w:hAnsi="宋体" w:cs="宋体"/>
                <w:sz w:val="18"/>
                <w:szCs w:val="18"/>
              </w:rPr>
              <w:t>1</w:t>
            </w:r>
          </w:p>
        </w:tc>
        <w:tc>
          <w:tcPr>
            <w:tcW w:w="1590" w:type="dxa"/>
            <w:vMerge w:val="continue"/>
            <w:tcBorders>
              <w:left w:val="single" w:color="auto" w:sz="4" w:space="0"/>
              <w:bottom w:val="single" w:color="auto" w:sz="4" w:space="0"/>
              <w:right w:val="single" w:color="auto" w:sz="4" w:space="0"/>
            </w:tcBorders>
            <w:shd w:val="clear" w:color="auto" w:fill="auto"/>
            <w:noWrap/>
            <w:vAlign w:val="center"/>
          </w:tcPr>
          <w:p>
            <w:pPr>
              <w:spacing w:line="360" w:lineRule="auto"/>
              <w:jc w:val="center"/>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trPr>
        <w:tc>
          <w:tcPr>
            <w:tcW w:w="624" w:type="dxa"/>
            <w:tcBorders>
              <w:top w:val="single" w:color="auto" w:sz="4" w:space="0"/>
              <w:left w:val="single" w:color="auto" w:sz="4" w:space="0"/>
              <w:bottom w:val="single" w:color="auto" w:sz="4" w:space="0"/>
              <w:right w:val="single" w:color="auto" w:sz="4" w:space="0"/>
            </w:tcBorders>
            <w:shd w:val="clear" w:color="auto" w:fill="auto"/>
            <w:noWrap/>
            <w:vAlign w:val="top"/>
          </w:tcPr>
          <w:p>
            <w:pPr>
              <w:spacing w:line="360" w:lineRule="auto"/>
              <w:jc w:val="center"/>
              <w:rPr>
                <w:rFonts w:hint="default" w:ascii="宋体" w:hAnsi="宋体" w:eastAsia="宋体" w:cs="宋体"/>
                <w:kern w:val="2"/>
                <w:sz w:val="18"/>
                <w:szCs w:val="18"/>
                <w:lang w:val="en-US" w:eastAsia="zh-CN" w:bidi="ar-SA"/>
              </w:rPr>
            </w:pPr>
            <w:r>
              <w:rPr>
                <w:rFonts w:hint="eastAsia" w:ascii="宋体" w:hAnsi="宋体" w:cs="宋体"/>
                <w:kern w:val="2"/>
                <w:sz w:val="18"/>
                <w:szCs w:val="18"/>
                <w:lang w:val="en-US" w:eastAsia="zh-CN" w:bidi="ar-SA"/>
              </w:rPr>
              <w:t>35</w:t>
            </w:r>
          </w:p>
        </w:tc>
        <w:tc>
          <w:tcPr>
            <w:tcW w:w="2260" w:type="dxa"/>
            <w:tcBorders>
              <w:top w:val="single" w:color="auto" w:sz="4" w:space="0"/>
              <w:left w:val="single" w:color="auto" w:sz="4" w:space="0"/>
              <w:bottom w:val="single" w:color="auto" w:sz="4" w:space="0"/>
              <w:right w:val="single" w:color="auto" w:sz="4" w:space="0"/>
            </w:tcBorders>
            <w:shd w:val="clear" w:color="auto" w:fill="auto"/>
            <w:noWrap/>
          </w:tcPr>
          <w:p>
            <w:pPr>
              <w:spacing w:line="360" w:lineRule="auto"/>
              <w:jc w:val="center"/>
              <w:rPr>
                <w:rFonts w:ascii="宋体" w:hAnsi="宋体" w:cs="宋体"/>
                <w:sz w:val="18"/>
                <w:szCs w:val="18"/>
              </w:rPr>
            </w:pPr>
            <w:r>
              <w:rPr>
                <w:rFonts w:hint="eastAsia" w:ascii="宋体" w:hAnsi="宋体" w:cs="宋体"/>
                <w:bCs/>
                <w:sz w:val="18"/>
                <w:szCs w:val="18"/>
              </w:rPr>
              <w:t>消防泵</w:t>
            </w:r>
          </w:p>
        </w:tc>
        <w:tc>
          <w:tcPr>
            <w:tcW w:w="1770" w:type="dxa"/>
            <w:tcBorders>
              <w:top w:val="single" w:color="auto" w:sz="4" w:space="0"/>
              <w:left w:val="single" w:color="auto" w:sz="4" w:space="0"/>
              <w:bottom w:val="single" w:color="auto" w:sz="4" w:space="0"/>
              <w:right w:val="single" w:color="auto" w:sz="4" w:space="0"/>
            </w:tcBorders>
            <w:shd w:val="clear" w:color="auto" w:fill="auto"/>
            <w:noWrap/>
          </w:tcPr>
          <w:p>
            <w:pPr>
              <w:spacing w:line="360" w:lineRule="auto"/>
              <w:jc w:val="center"/>
              <w:rPr>
                <w:rFonts w:ascii="宋体" w:hAnsi="宋体" w:cs="宋体"/>
                <w:sz w:val="18"/>
                <w:szCs w:val="18"/>
              </w:rPr>
            </w:pPr>
            <w:r>
              <w:rPr>
                <w:rFonts w:hint="eastAsia" w:ascii="宋体" w:hAnsi="宋体" w:cs="宋体"/>
                <w:sz w:val="18"/>
                <w:szCs w:val="18"/>
              </w:rPr>
              <w:t>XBD40/40GL</w:t>
            </w:r>
          </w:p>
        </w:tc>
        <w:tc>
          <w:tcPr>
            <w:tcW w:w="1270" w:type="dxa"/>
            <w:tcBorders>
              <w:top w:val="single" w:color="auto" w:sz="4" w:space="0"/>
              <w:left w:val="single" w:color="auto" w:sz="4" w:space="0"/>
              <w:bottom w:val="single" w:color="auto" w:sz="4" w:space="0"/>
              <w:right w:val="single" w:color="auto" w:sz="4" w:space="0"/>
            </w:tcBorders>
            <w:shd w:val="clear" w:color="auto" w:fill="auto"/>
            <w:noWrap/>
          </w:tcPr>
          <w:p>
            <w:pPr>
              <w:spacing w:line="360" w:lineRule="auto"/>
              <w:jc w:val="center"/>
              <w:rPr>
                <w:rFonts w:ascii="宋体" w:hAnsi="宋体" w:cs="宋体"/>
                <w:sz w:val="18"/>
                <w:szCs w:val="18"/>
              </w:rPr>
            </w:pPr>
            <w:r>
              <w:rPr>
                <w:rFonts w:hint="eastAsia" w:ascii="宋体" w:hAnsi="宋体" w:cs="宋体"/>
                <w:sz w:val="18"/>
                <w:szCs w:val="18"/>
              </w:rPr>
              <w:t>消防应急</w:t>
            </w:r>
          </w:p>
        </w:tc>
        <w:tc>
          <w:tcPr>
            <w:tcW w:w="1080" w:type="dxa"/>
            <w:tcBorders>
              <w:top w:val="single" w:color="auto" w:sz="4" w:space="0"/>
              <w:left w:val="single" w:color="auto" w:sz="4" w:space="0"/>
              <w:bottom w:val="single" w:color="auto" w:sz="4" w:space="0"/>
              <w:right w:val="single" w:color="auto" w:sz="4" w:space="0"/>
            </w:tcBorders>
            <w:shd w:val="clear" w:color="auto" w:fill="auto"/>
            <w:noWrap/>
          </w:tcPr>
          <w:p>
            <w:pPr>
              <w:spacing w:line="360" w:lineRule="auto"/>
              <w:jc w:val="center"/>
              <w:rPr>
                <w:rFonts w:ascii="宋体" w:hAnsi="宋体" w:cs="宋体"/>
                <w:sz w:val="18"/>
                <w:szCs w:val="18"/>
              </w:rPr>
            </w:pPr>
            <w:r>
              <w:rPr>
                <w:rFonts w:hint="eastAsia" w:ascii="宋体" w:hAnsi="宋体" w:cs="宋体"/>
                <w:sz w:val="18"/>
                <w:szCs w:val="18"/>
              </w:rPr>
              <w:t>2</w:t>
            </w:r>
          </w:p>
        </w:tc>
        <w:tc>
          <w:tcPr>
            <w:tcW w:w="1590" w:type="dxa"/>
            <w:vMerge w:val="restart"/>
            <w:tcBorders>
              <w:top w:val="single" w:color="auto" w:sz="4" w:space="0"/>
              <w:left w:val="single" w:color="auto" w:sz="4" w:space="0"/>
              <w:right w:val="single" w:color="auto" w:sz="4" w:space="0"/>
            </w:tcBorders>
            <w:shd w:val="clear" w:color="auto" w:fill="auto"/>
            <w:noWrap/>
            <w:vAlign w:val="center"/>
          </w:tcPr>
          <w:p>
            <w:pPr>
              <w:spacing w:line="360" w:lineRule="auto"/>
              <w:jc w:val="center"/>
              <w:rPr>
                <w:rFonts w:ascii="宋体" w:hAnsi="宋体" w:cs="宋体"/>
                <w:sz w:val="18"/>
                <w:szCs w:val="18"/>
              </w:rPr>
            </w:pPr>
            <w:r>
              <w:rPr>
                <w:rFonts w:hint="eastAsia"/>
                <w:sz w:val="18"/>
                <w:szCs w:val="18"/>
              </w:rPr>
              <w:t>消防泵房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trPr>
        <w:tc>
          <w:tcPr>
            <w:tcW w:w="624" w:type="dxa"/>
            <w:tcBorders>
              <w:top w:val="single" w:color="auto" w:sz="4" w:space="0"/>
              <w:left w:val="single" w:color="auto" w:sz="4" w:space="0"/>
              <w:bottom w:val="single" w:color="auto" w:sz="4" w:space="0"/>
              <w:right w:val="single" w:color="auto" w:sz="4" w:space="0"/>
            </w:tcBorders>
            <w:shd w:val="clear" w:color="auto" w:fill="auto"/>
            <w:noWrap/>
            <w:vAlign w:val="top"/>
          </w:tcPr>
          <w:p>
            <w:pPr>
              <w:spacing w:line="360" w:lineRule="auto"/>
              <w:jc w:val="center"/>
              <w:rPr>
                <w:rFonts w:hint="default" w:ascii="宋体" w:hAnsi="宋体" w:eastAsia="宋体" w:cs="宋体"/>
                <w:kern w:val="2"/>
                <w:sz w:val="18"/>
                <w:szCs w:val="18"/>
                <w:lang w:val="en-US" w:eastAsia="zh-CN" w:bidi="ar-SA"/>
              </w:rPr>
            </w:pPr>
            <w:r>
              <w:rPr>
                <w:rFonts w:hint="eastAsia" w:ascii="宋体" w:hAnsi="宋体" w:cs="宋体"/>
                <w:kern w:val="2"/>
                <w:sz w:val="18"/>
                <w:szCs w:val="18"/>
                <w:lang w:val="en-US" w:eastAsia="zh-CN" w:bidi="ar-SA"/>
              </w:rPr>
              <w:t>36</w:t>
            </w:r>
          </w:p>
        </w:tc>
        <w:tc>
          <w:tcPr>
            <w:tcW w:w="2260" w:type="dxa"/>
            <w:tcBorders>
              <w:top w:val="single" w:color="auto" w:sz="4" w:space="0"/>
              <w:left w:val="single" w:color="auto" w:sz="4" w:space="0"/>
              <w:bottom w:val="single" w:color="auto" w:sz="4" w:space="0"/>
              <w:right w:val="single" w:color="auto" w:sz="4" w:space="0"/>
            </w:tcBorders>
            <w:shd w:val="clear" w:color="auto" w:fill="auto"/>
            <w:noWrap/>
          </w:tcPr>
          <w:p>
            <w:pPr>
              <w:spacing w:line="400" w:lineRule="exact"/>
              <w:jc w:val="center"/>
              <w:rPr>
                <w:rFonts w:ascii="宋体" w:hAnsi="宋体" w:cs="宋体"/>
                <w:bCs/>
                <w:sz w:val="18"/>
                <w:szCs w:val="18"/>
              </w:rPr>
            </w:pPr>
            <w:r>
              <w:rPr>
                <w:rFonts w:hint="eastAsia" w:ascii="宋体" w:hAnsi="宋体" w:cs="宋体"/>
                <w:sz w:val="18"/>
                <w:szCs w:val="18"/>
              </w:rPr>
              <w:t>消防锹</w:t>
            </w:r>
          </w:p>
        </w:tc>
        <w:tc>
          <w:tcPr>
            <w:tcW w:w="1770" w:type="dxa"/>
            <w:tcBorders>
              <w:top w:val="single" w:color="auto" w:sz="4" w:space="0"/>
              <w:left w:val="single" w:color="auto" w:sz="4" w:space="0"/>
              <w:bottom w:val="single" w:color="auto" w:sz="4" w:space="0"/>
              <w:right w:val="single" w:color="auto" w:sz="4" w:space="0"/>
            </w:tcBorders>
            <w:shd w:val="clear" w:color="auto" w:fill="auto"/>
            <w:noWrap/>
          </w:tcPr>
          <w:p>
            <w:pPr>
              <w:spacing w:line="360" w:lineRule="auto"/>
              <w:jc w:val="center"/>
              <w:rPr>
                <w:rFonts w:ascii="宋体" w:hAnsi="宋体" w:cs="宋体"/>
                <w:sz w:val="18"/>
                <w:szCs w:val="18"/>
              </w:rPr>
            </w:pPr>
          </w:p>
        </w:tc>
        <w:tc>
          <w:tcPr>
            <w:tcW w:w="1270" w:type="dxa"/>
            <w:tcBorders>
              <w:top w:val="single" w:color="auto" w:sz="4" w:space="0"/>
              <w:left w:val="single" w:color="auto" w:sz="4" w:space="0"/>
              <w:bottom w:val="single" w:color="auto" w:sz="4" w:space="0"/>
              <w:right w:val="single" w:color="auto" w:sz="4" w:space="0"/>
            </w:tcBorders>
            <w:shd w:val="clear" w:color="auto" w:fill="auto"/>
            <w:noWrap/>
          </w:tcPr>
          <w:p>
            <w:pPr>
              <w:spacing w:line="360" w:lineRule="auto"/>
              <w:jc w:val="center"/>
              <w:rPr>
                <w:rFonts w:ascii="宋体" w:hAnsi="宋体" w:cs="宋体"/>
                <w:sz w:val="18"/>
                <w:szCs w:val="18"/>
              </w:rPr>
            </w:pPr>
            <w:r>
              <w:rPr>
                <w:rFonts w:hint="eastAsia" w:ascii="宋体" w:hAnsi="宋体" w:cs="宋体"/>
                <w:sz w:val="18"/>
                <w:szCs w:val="18"/>
              </w:rPr>
              <w:t>消防应急</w:t>
            </w:r>
          </w:p>
        </w:tc>
        <w:tc>
          <w:tcPr>
            <w:tcW w:w="1080" w:type="dxa"/>
            <w:tcBorders>
              <w:top w:val="single" w:color="auto" w:sz="4" w:space="0"/>
              <w:left w:val="single" w:color="auto" w:sz="4" w:space="0"/>
              <w:bottom w:val="single" w:color="auto" w:sz="4" w:space="0"/>
              <w:right w:val="single" w:color="auto" w:sz="4" w:space="0"/>
            </w:tcBorders>
            <w:shd w:val="clear" w:color="auto" w:fill="auto"/>
            <w:noWrap/>
          </w:tcPr>
          <w:p>
            <w:pPr>
              <w:spacing w:line="360" w:lineRule="auto"/>
              <w:jc w:val="center"/>
              <w:rPr>
                <w:rFonts w:hint="eastAsia" w:ascii="宋体" w:hAnsi="宋体" w:eastAsia="宋体" w:cs="宋体"/>
                <w:sz w:val="18"/>
                <w:szCs w:val="18"/>
                <w:lang w:eastAsia="zh-CN"/>
              </w:rPr>
            </w:pPr>
            <w:r>
              <w:rPr>
                <w:rFonts w:hint="eastAsia" w:ascii="宋体" w:hAnsi="宋体" w:cs="宋体"/>
                <w:sz w:val="18"/>
                <w:szCs w:val="18"/>
                <w:lang w:val="en-US" w:eastAsia="zh-CN"/>
              </w:rPr>
              <w:t>2</w:t>
            </w:r>
          </w:p>
        </w:tc>
        <w:tc>
          <w:tcPr>
            <w:tcW w:w="1590" w:type="dxa"/>
            <w:vMerge w:val="continue"/>
            <w:tcBorders>
              <w:left w:val="single" w:color="auto" w:sz="4" w:space="0"/>
              <w:right w:val="single" w:color="auto" w:sz="4" w:space="0"/>
            </w:tcBorders>
            <w:shd w:val="clear" w:color="auto" w:fill="auto"/>
            <w:noWrap/>
            <w:vAlign w:val="center"/>
          </w:tcPr>
          <w:p>
            <w:pPr>
              <w:spacing w:line="360" w:lineRule="auto"/>
              <w:jc w:val="center"/>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trPr>
        <w:tc>
          <w:tcPr>
            <w:tcW w:w="624" w:type="dxa"/>
            <w:tcBorders>
              <w:top w:val="single" w:color="auto" w:sz="4" w:space="0"/>
              <w:left w:val="single" w:color="auto" w:sz="4" w:space="0"/>
              <w:bottom w:val="single" w:color="auto" w:sz="4" w:space="0"/>
              <w:right w:val="single" w:color="auto" w:sz="4" w:space="0"/>
            </w:tcBorders>
            <w:shd w:val="clear" w:color="auto" w:fill="auto"/>
            <w:noWrap/>
            <w:vAlign w:val="top"/>
          </w:tcPr>
          <w:p>
            <w:pPr>
              <w:spacing w:line="360" w:lineRule="auto"/>
              <w:jc w:val="center"/>
              <w:rPr>
                <w:rFonts w:hint="default" w:ascii="宋体" w:hAnsi="宋体" w:eastAsia="宋体" w:cs="宋体"/>
                <w:kern w:val="2"/>
                <w:sz w:val="18"/>
                <w:szCs w:val="18"/>
                <w:lang w:val="en-US" w:eastAsia="zh-CN" w:bidi="ar-SA"/>
              </w:rPr>
            </w:pPr>
            <w:r>
              <w:rPr>
                <w:rFonts w:hint="eastAsia" w:ascii="宋体" w:hAnsi="宋体" w:cs="宋体"/>
                <w:kern w:val="2"/>
                <w:sz w:val="18"/>
                <w:szCs w:val="18"/>
                <w:lang w:val="en-US" w:eastAsia="zh-CN" w:bidi="ar-SA"/>
              </w:rPr>
              <w:t>37</w:t>
            </w:r>
          </w:p>
        </w:tc>
        <w:tc>
          <w:tcPr>
            <w:tcW w:w="2260" w:type="dxa"/>
            <w:tcBorders>
              <w:top w:val="single" w:color="auto" w:sz="4" w:space="0"/>
              <w:left w:val="single" w:color="auto" w:sz="4" w:space="0"/>
              <w:bottom w:val="single" w:color="auto" w:sz="4" w:space="0"/>
              <w:right w:val="single" w:color="auto" w:sz="4" w:space="0"/>
            </w:tcBorders>
            <w:shd w:val="clear" w:color="auto" w:fill="auto"/>
            <w:noWrap/>
          </w:tcPr>
          <w:p>
            <w:pPr>
              <w:spacing w:line="400" w:lineRule="exact"/>
              <w:jc w:val="center"/>
              <w:rPr>
                <w:rFonts w:ascii="宋体" w:hAnsi="宋体" w:cs="宋体"/>
                <w:bCs/>
                <w:sz w:val="18"/>
                <w:szCs w:val="18"/>
              </w:rPr>
            </w:pPr>
            <w:r>
              <w:rPr>
                <w:rFonts w:hint="eastAsia" w:ascii="宋体" w:hAnsi="宋体" w:cs="宋体"/>
                <w:sz w:val="18"/>
                <w:szCs w:val="18"/>
              </w:rPr>
              <w:t>消防桶</w:t>
            </w:r>
          </w:p>
        </w:tc>
        <w:tc>
          <w:tcPr>
            <w:tcW w:w="1770" w:type="dxa"/>
            <w:tcBorders>
              <w:top w:val="single" w:color="auto" w:sz="4" w:space="0"/>
              <w:left w:val="single" w:color="auto" w:sz="4" w:space="0"/>
              <w:bottom w:val="single" w:color="auto" w:sz="4" w:space="0"/>
              <w:right w:val="single" w:color="auto" w:sz="4" w:space="0"/>
            </w:tcBorders>
            <w:shd w:val="clear" w:color="auto" w:fill="auto"/>
            <w:noWrap/>
          </w:tcPr>
          <w:p>
            <w:pPr>
              <w:spacing w:line="360" w:lineRule="auto"/>
              <w:jc w:val="center"/>
              <w:rPr>
                <w:rFonts w:ascii="宋体" w:hAnsi="宋体" w:cs="宋体"/>
                <w:sz w:val="18"/>
                <w:szCs w:val="18"/>
              </w:rPr>
            </w:pPr>
          </w:p>
        </w:tc>
        <w:tc>
          <w:tcPr>
            <w:tcW w:w="1270" w:type="dxa"/>
            <w:tcBorders>
              <w:top w:val="single" w:color="auto" w:sz="4" w:space="0"/>
              <w:left w:val="single" w:color="auto" w:sz="4" w:space="0"/>
              <w:bottom w:val="single" w:color="auto" w:sz="4" w:space="0"/>
              <w:right w:val="single" w:color="auto" w:sz="4" w:space="0"/>
            </w:tcBorders>
            <w:shd w:val="clear" w:color="auto" w:fill="auto"/>
            <w:noWrap/>
          </w:tcPr>
          <w:p>
            <w:pPr>
              <w:spacing w:line="360" w:lineRule="auto"/>
              <w:jc w:val="center"/>
              <w:rPr>
                <w:rFonts w:ascii="宋体" w:hAnsi="宋体" w:cs="宋体"/>
                <w:sz w:val="18"/>
                <w:szCs w:val="18"/>
              </w:rPr>
            </w:pPr>
            <w:r>
              <w:rPr>
                <w:rFonts w:hint="eastAsia" w:ascii="宋体" w:hAnsi="宋体" w:cs="宋体"/>
                <w:sz w:val="18"/>
                <w:szCs w:val="18"/>
              </w:rPr>
              <w:t>消防应急</w:t>
            </w:r>
          </w:p>
        </w:tc>
        <w:tc>
          <w:tcPr>
            <w:tcW w:w="1080" w:type="dxa"/>
            <w:tcBorders>
              <w:top w:val="single" w:color="auto" w:sz="4" w:space="0"/>
              <w:left w:val="single" w:color="auto" w:sz="4" w:space="0"/>
              <w:bottom w:val="single" w:color="auto" w:sz="4" w:space="0"/>
              <w:right w:val="single" w:color="auto" w:sz="4" w:space="0"/>
            </w:tcBorders>
            <w:shd w:val="clear" w:color="auto" w:fill="auto"/>
            <w:noWrap/>
          </w:tcPr>
          <w:p>
            <w:pPr>
              <w:spacing w:line="360" w:lineRule="auto"/>
              <w:jc w:val="center"/>
              <w:rPr>
                <w:rFonts w:ascii="宋体" w:hAnsi="宋体" w:cs="宋体"/>
                <w:sz w:val="18"/>
                <w:szCs w:val="18"/>
              </w:rPr>
            </w:pPr>
            <w:r>
              <w:rPr>
                <w:rFonts w:hint="eastAsia" w:ascii="宋体" w:hAnsi="宋体" w:cs="宋体"/>
                <w:sz w:val="18"/>
                <w:szCs w:val="18"/>
              </w:rPr>
              <w:t>2</w:t>
            </w:r>
          </w:p>
        </w:tc>
        <w:tc>
          <w:tcPr>
            <w:tcW w:w="1590" w:type="dxa"/>
            <w:vMerge w:val="continue"/>
            <w:tcBorders>
              <w:left w:val="single" w:color="auto" w:sz="4" w:space="0"/>
              <w:bottom w:val="single" w:color="auto" w:sz="4" w:space="0"/>
              <w:right w:val="single" w:color="auto" w:sz="4" w:space="0"/>
            </w:tcBorders>
            <w:shd w:val="clear" w:color="auto" w:fill="auto"/>
            <w:noWrap/>
            <w:vAlign w:val="center"/>
          </w:tcPr>
          <w:p>
            <w:pPr>
              <w:spacing w:line="360" w:lineRule="auto"/>
              <w:jc w:val="center"/>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trPr>
        <w:tc>
          <w:tcPr>
            <w:tcW w:w="624" w:type="dxa"/>
            <w:tcBorders>
              <w:top w:val="single" w:color="auto" w:sz="4" w:space="0"/>
              <w:left w:val="single" w:color="auto" w:sz="4" w:space="0"/>
              <w:bottom w:val="single" w:color="auto" w:sz="4" w:space="0"/>
              <w:right w:val="single" w:color="auto" w:sz="4" w:space="0"/>
            </w:tcBorders>
            <w:shd w:val="clear" w:color="auto" w:fill="auto"/>
            <w:noWrap/>
            <w:vAlign w:val="top"/>
          </w:tcPr>
          <w:p>
            <w:pPr>
              <w:spacing w:line="340" w:lineRule="exact"/>
              <w:jc w:val="center"/>
              <w:rPr>
                <w:rFonts w:hint="default" w:ascii="宋体" w:hAnsi="宋体" w:eastAsia="宋体" w:cs="宋体"/>
                <w:kern w:val="2"/>
                <w:sz w:val="18"/>
                <w:szCs w:val="18"/>
                <w:lang w:val="en-US" w:eastAsia="zh-CN" w:bidi="ar-SA"/>
              </w:rPr>
            </w:pPr>
            <w:r>
              <w:rPr>
                <w:rFonts w:hint="eastAsia" w:ascii="宋体" w:hAnsi="宋体" w:cs="宋体"/>
                <w:kern w:val="2"/>
                <w:sz w:val="18"/>
                <w:szCs w:val="18"/>
                <w:lang w:val="en-US" w:eastAsia="zh-CN" w:bidi="ar-SA"/>
              </w:rPr>
              <w:t>38</w:t>
            </w:r>
          </w:p>
        </w:tc>
        <w:tc>
          <w:tcPr>
            <w:tcW w:w="2260" w:type="dxa"/>
            <w:tcBorders>
              <w:top w:val="single" w:color="auto" w:sz="4" w:space="0"/>
              <w:left w:val="single" w:color="auto" w:sz="4" w:space="0"/>
              <w:bottom w:val="single" w:color="auto" w:sz="4" w:space="0"/>
              <w:right w:val="single" w:color="auto" w:sz="4" w:space="0"/>
            </w:tcBorders>
            <w:shd w:val="clear" w:color="auto" w:fill="auto"/>
            <w:noWrap/>
            <w:vAlign w:val="top"/>
          </w:tcPr>
          <w:p>
            <w:pPr>
              <w:spacing w:line="360" w:lineRule="auto"/>
              <w:jc w:val="center"/>
              <w:rPr>
                <w:rFonts w:ascii="宋体" w:hAnsi="宋体" w:cs="宋体"/>
                <w:sz w:val="18"/>
                <w:szCs w:val="18"/>
              </w:rPr>
            </w:pPr>
            <w:r>
              <w:rPr>
                <w:rFonts w:hint="eastAsia" w:ascii="宋体" w:hAnsi="宋体" w:cs="宋体"/>
                <w:sz w:val="18"/>
                <w:szCs w:val="18"/>
              </w:rPr>
              <w:t>手提式干粉灭火器</w:t>
            </w:r>
          </w:p>
        </w:tc>
        <w:tc>
          <w:tcPr>
            <w:tcW w:w="1770" w:type="dxa"/>
            <w:tcBorders>
              <w:top w:val="single" w:color="auto" w:sz="4" w:space="0"/>
              <w:left w:val="single" w:color="auto" w:sz="4" w:space="0"/>
              <w:bottom w:val="single" w:color="auto" w:sz="4" w:space="0"/>
              <w:right w:val="single" w:color="auto" w:sz="4" w:space="0"/>
            </w:tcBorders>
            <w:shd w:val="clear" w:color="auto" w:fill="auto"/>
            <w:noWrap/>
            <w:vAlign w:val="top"/>
          </w:tcPr>
          <w:p>
            <w:pPr>
              <w:spacing w:line="360" w:lineRule="auto"/>
              <w:jc w:val="center"/>
              <w:rPr>
                <w:rFonts w:ascii="宋体" w:hAnsi="宋体" w:cs="宋体"/>
                <w:sz w:val="18"/>
                <w:szCs w:val="18"/>
              </w:rPr>
            </w:pPr>
            <w:r>
              <w:rPr>
                <w:rFonts w:hint="eastAsia" w:ascii="宋体" w:hAnsi="宋体" w:cs="宋体"/>
                <w:sz w:val="18"/>
                <w:szCs w:val="18"/>
              </w:rPr>
              <w:t>MFZ/ABC5</w:t>
            </w:r>
          </w:p>
        </w:tc>
        <w:tc>
          <w:tcPr>
            <w:tcW w:w="1270" w:type="dxa"/>
            <w:tcBorders>
              <w:top w:val="single" w:color="auto" w:sz="4" w:space="0"/>
              <w:left w:val="single" w:color="auto" w:sz="4" w:space="0"/>
              <w:bottom w:val="single" w:color="auto" w:sz="4" w:space="0"/>
              <w:right w:val="single" w:color="auto" w:sz="4" w:space="0"/>
            </w:tcBorders>
            <w:shd w:val="clear" w:color="auto" w:fill="auto"/>
            <w:noWrap/>
          </w:tcPr>
          <w:p>
            <w:pPr>
              <w:spacing w:line="340" w:lineRule="exact"/>
              <w:jc w:val="center"/>
              <w:rPr>
                <w:rFonts w:ascii="宋体" w:hAnsi="宋体" w:cs="宋体"/>
                <w:sz w:val="18"/>
                <w:szCs w:val="18"/>
              </w:rPr>
            </w:pPr>
            <w:r>
              <w:rPr>
                <w:rFonts w:hint="eastAsia" w:ascii="宋体" w:hAnsi="宋体" w:cs="宋体"/>
                <w:sz w:val="18"/>
                <w:szCs w:val="18"/>
              </w:rPr>
              <w:t>火灾扑救</w:t>
            </w:r>
          </w:p>
        </w:tc>
        <w:tc>
          <w:tcPr>
            <w:tcW w:w="1080" w:type="dxa"/>
            <w:tcBorders>
              <w:top w:val="single" w:color="auto" w:sz="4" w:space="0"/>
              <w:left w:val="single" w:color="auto" w:sz="4" w:space="0"/>
              <w:bottom w:val="single" w:color="auto" w:sz="4" w:space="0"/>
              <w:right w:val="single" w:color="auto" w:sz="4" w:space="0"/>
            </w:tcBorders>
            <w:shd w:val="clear" w:color="auto" w:fill="auto"/>
            <w:noWrap/>
          </w:tcPr>
          <w:p>
            <w:pPr>
              <w:spacing w:line="360" w:lineRule="auto"/>
              <w:jc w:val="center"/>
              <w:rPr>
                <w:rFonts w:ascii="宋体" w:hAnsi="宋体" w:cs="宋体"/>
                <w:sz w:val="18"/>
                <w:szCs w:val="18"/>
              </w:rPr>
            </w:pPr>
            <w:r>
              <w:rPr>
                <w:rFonts w:hint="eastAsia" w:ascii="宋体" w:hAnsi="宋体" w:cs="宋体"/>
                <w:sz w:val="18"/>
                <w:szCs w:val="18"/>
              </w:rPr>
              <w:t>4</w:t>
            </w:r>
          </w:p>
        </w:tc>
        <w:tc>
          <w:tcPr>
            <w:tcW w:w="1590" w:type="dxa"/>
            <w:vMerge w:val="restart"/>
            <w:tcBorders>
              <w:top w:val="single" w:color="auto" w:sz="4" w:space="0"/>
              <w:left w:val="single" w:color="auto" w:sz="4" w:space="0"/>
              <w:right w:val="single" w:color="auto" w:sz="4" w:space="0"/>
            </w:tcBorders>
            <w:shd w:val="clear" w:color="auto" w:fill="auto"/>
            <w:noWrap/>
            <w:vAlign w:val="center"/>
          </w:tcPr>
          <w:p>
            <w:pPr>
              <w:spacing w:line="360" w:lineRule="auto"/>
              <w:jc w:val="center"/>
              <w:rPr>
                <w:rFonts w:ascii="宋体" w:hAnsi="宋体" w:cs="宋体"/>
                <w:sz w:val="18"/>
                <w:szCs w:val="18"/>
              </w:rPr>
            </w:pPr>
            <w:r>
              <w:rPr>
                <w:rFonts w:hint="eastAsia"/>
                <w:sz w:val="18"/>
                <w:szCs w:val="18"/>
              </w:rPr>
              <w:t>新消防泵房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trPr>
        <w:tc>
          <w:tcPr>
            <w:tcW w:w="624" w:type="dxa"/>
            <w:tcBorders>
              <w:top w:val="single" w:color="auto" w:sz="4" w:space="0"/>
              <w:left w:val="single" w:color="auto" w:sz="4" w:space="0"/>
              <w:bottom w:val="single" w:color="auto" w:sz="4" w:space="0"/>
              <w:right w:val="single" w:color="auto" w:sz="4" w:space="0"/>
            </w:tcBorders>
            <w:shd w:val="clear" w:color="auto" w:fill="auto"/>
            <w:noWrap/>
            <w:vAlign w:val="top"/>
          </w:tcPr>
          <w:p>
            <w:pPr>
              <w:spacing w:line="360" w:lineRule="auto"/>
              <w:jc w:val="center"/>
              <w:rPr>
                <w:rFonts w:hint="default" w:ascii="宋体" w:hAnsi="宋体" w:eastAsia="宋体" w:cs="宋体"/>
                <w:kern w:val="2"/>
                <w:sz w:val="18"/>
                <w:szCs w:val="18"/>
                <w:lang w:val="en-US" w:eastAsia="zh-CN" w:bidi="ar-SA"/>
              </w:rPr>
            </w:pPr>
            <w:r>
              <w:rPr>
                <w:rFonts w:hint="eastAsia" w:ascii="宋体" w:hAnsi="宋体" w:cs="宋体"/>
                <w:kern w:val="2"/>
                <w:sz w:val="18"/>
                <w:szCs w:val="18"/>
                <w:lang w:val="en-US" w:eastAsia="zh-CN" w:bidi="ar-SA"/>
              </w:rPr>
              <w:t>39</w:t>
            </w:r>
          </w:p>
        </w:tc>
        <w:tc>
          <w:tcPr>
            <w:tcW w:w="2260" w:type="dxa"/>
            <w:tcBorders>
              <w:top w:val="single" w:color="auto" w:sz="4" w:space="0"/>
              <w:left w:val="single" w:color="auto" w:sz="4" w:space="0"/>
              <w:bottom w:val="single" w:color="auto" w:sz="4" w:space="0"/>
              <w:right w:val="single" w:color="auto" w:sz="4" w:space="0"/>
            </w:tcBorders>
            <w:shd w:val="clear" w:color="auto" w:fill="auto"/>
            <w:noWrap/>
          </w:tcPr>
          <w:p>
            <w:pPr>
              <w:spacing w:line="360" w:lineRule="auto"/>
              <w:jc w:val="center"/>
              <w:rPr>
                <w:rFonts w:ascii="宋体" w:hAnsi="宋体" w:cs="宋体"/>
                <w:sz w:val="18"/>
                <w:szCs w:val="18"/>
              </w:rPr>
            </w:pPr>
            <w:r>
              <w:rPr>
                <w:rFonts w:hint="eastAsia" w:ascii="宋体" w:hAnsi="宋体" w:cs="宋体"/>
                <w:bCs/>
                <w:sz w:val="18"/>
                <w:szCs w:val="18"/>
              </w:rPr>
              <w:t>立式单级消防泵</w:t>
            </w:r>
          </w:p>
        </w:tc>
        <w:tc>
          <w:tcPr>
            <w:tcW w:w="1770" w:type="dxa"/>
            <w:tcBorders>
              <w:top w:val="single" w:color="auto" w:sz="4" w:space="0"/>
              <w:left w:val="single" w:color="auto" w:sz="4" w:space="0"/>
              <w:bottom w:val="single" w:color="auto" w:sz="4" w:space="0"/>
              <w:right w:val="single" w:color="auto" w:sz="4" w:space="0"/>
            </w:tcBorders>
            <w:shd w:val="clear" w:color="auto" w:fill="auto"/>
            <w:noWrap/>
          </w:tcPr>
          <w:p>
            <w:pPr>
              <w:spacing w:line="360" w:lineRule="auto"/>
              <w:jc w:val="center"/>
              <w:rPr>
                <w:rFonts w:ascii="宋体" w:hAnsi="宋体" w:cs="宋体"/>
                <w:sz w:val="18"/>
                <w:szCs w:val="18"/>
              </w:rPr>
            </w:pPr>
            <w:r>
              <w:rPr>
                <w:rFonts w:hint="eastAsia" w:ascii="宋体" w:hAnsi="宋体" w:cs="宋体"/>
                <w:sz w:val="18"/>
                <w:szCs w:val="18"/>
              </w:rPr>
              <w:t>XBD8.0/90G-YQL</w:t>
            </w:r>
          </w:p>
        </w:tc>
        <w:tc>
          <w:tcPr>
            <w:tcW w:w="1270" w:type="dxa"/>
            <w:tcBorders>
              <w:top w:val="single" w:color="auto" w:sz="4" w:space="0"/>
              <w:left w:val="single" w:color="auto" w:sz="4" w:space="0"/>
              <w:bottom w:val="single" w:color="auto" w:sz="4" w:space="0"/>
              <w:right w:val="single" w:color="auto" w:sz="4" w:space="0"/>
            </w:tcBorders>
            <w:shd w:val="clear" w:color="auto" w:fill="auto"/>
            <w:noWrap/>
          </w:tcPr>
          <w:p>
            <w:pPr>
              <w:spacing w:line="360" w:lineRule="auto"/>
              <w:jc w:val="center"/>
              <w:rPr>
                <w:rFonts w:ascii="宋体" w:hAnsi="宋体" w:cs="宋体"/>
                <w:sz w:val="18"/>
                <w:szCs w:val="18"/>
              </w:rPr>
            </w:pPr>
            <w:r>
              <w:rPr>
                <w:rFonts w:hint="eastAsia" w:ascii="宋体" w:hAnsi="宋体" w:cs="宋体"/>
                <w:sz w:val="18"/>
                <w:szCs w:val="18"/>
              </w:rPr>
              <w:t>消防应急</w:t>
            </w:r>
          </w:p>
        </w:tc>
        <w:tc>
          <w:tcPr>
            <w:tcW w:w="1080" w:type="dxa"/>
            <w:tcBorders>
              <w:top w:val="single" w:color="auto" w:sz="4" w:space="0"/>
              <w:left w:val="single" w:color="auto" w:sz="4" w:space="0"/>
              <w:bottom w:val="single" w:color="auto" w:sz="4" w:space="0"/>
              <w:right w:val="single" w:color="auto" w:sz="4" w:space="0"/>
            </w:tcBorders>
            <w:shd w:val="clear" w:color="auto" w:fill="auto"/>
            <w:noWrap/>
          </w:tcPr>
          <w:p>
            <w:pPr>
              <w:spacing w:line="340" w:lineRule="exact"/>
              <w:jc w:val="center"/>
              <w:rPr>
                <w:rFonts w:ascii="宋体" w:hAnsi="宋体" w:cs="宋体"/>
                <w:sz w:val="18"/>
                <w:szCs w:val="18"/>
              </w:rPr>
            </w:pPr>
            <w:r>
              <w:rPr>
                <w:rFonts w:hint="eastAsia" w:ascii="宋体" w:hAnsi="宋体" w:cs="宋体"/>
                <w:sz w:val="18"/>
                <w:szCs w:val="18"/>
              </w:rPr>
              <w:t>2</w:t>
            </w:r>
          </w:p>
        </w:tc>
        <w:tc>
          <w:tcPr>
            <w:tcW w:w="1590" w:type="dxa"/>
            <w:vMerge w:val="continue"/>
            <w:tcBorders>
              <w:left w:val="single" w:color="auto" w:sz="4" w:space="0"/>
              <w:bottom w:val="single" w:color="auto" w:sz="4" w:space="0"/>
              <w:right w:val="single" w:color="auto" w:sz="4" w:space="0"/>
            </w:tcBorders>
            <w:shd w:val="clear" w:color="auto" w:fill="auto"/>
            <w:noWrap/>
          </w:tcPr>
          <w:p>
            <w:pPr>
              <w:spacing w:line="340" w:lineRule="exact"/>
              <w:jc w:val="center"/>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trPr>
        <w:tc>
          <w:tcPr>
            <w:tcW w:w="624" w:type="dxa"/>
            <w:tcBorders>
              <w:top w:val="single" w:color="auto" w:sz="4" w:space="0"/>
              <w:left w:val="single" w:color="auto" w:sz="4" w:space="0"/>
              <w:bottom w:val="single" w:color="auto" w:sz="4" w:space="0"/>
              <w:right w:val="single" w:color="auto" w:sz="4" w:space="0"/>
            </w:tcBorders>
            <w:shd w:val="clear" w:color="auto" w:fill="auto"/>
            <w:noWrap/>
            <w:vAlign w:val="top"/>
          </w:tcPr>
          <w:p>
            <w:pPr>
              <w:spacing w:line="340" w:lineRule="exact"/>
              <w:jc w:val="center"/>
              <w:rPr>
                <w:rFonts w:hint="default" w:ascii="宋体" w:hAnsi="宋体" w:eastAsia="宋体" w:cs="宋体"/>
                <w:kern w:val="2"/>
                <w:sz w:val="18"/>
                <w:szCs w:val="18"/>
                <w:lang w:val="en-US" w:eastAsia="zh-CN" w:bidi="ar-SA"/>
              </w:rPr>
            </w:pPr>
            <w:r>
              <w:rPr>
                <w:rFonts w:hint="eastAsia" w:ascii="宋体" w:hAnsi="宋体" w:cs="宋体"/>
                <w:kern w:val="2"/>
                <w:sz w:val="18"/>
                <w:szCs w:val="18"/>
                <w:lang w:val="en-US" w:eastAsia="zh-CN" w:bidi="ar-SA"/>
              </w:rPr>
              <w:t>40</w:t>
            </w:r>
          </w:p>
        </w:tc>
        <w:tc>
          <w:tcPr>
            <w:tcW w:w="2260"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360" w:lineRule="auto"/>
              <w:jc w:val="center"/>
              <w:rPr>
                <w:rFonts w:ascii="宋体" w:hAnsi="宋体" w:cs="宋体"/>
                <w:bCs/>
                <w:sz w:val="18"/>
                <w:szCs w:val="18"/>
              </w:rPr>
            </w:pPr>
            <w:r>
              <w:rPr>
                <w:rFonts w:hint="eastAsia" w:ascii="宋体" w:hAnsi="宋体" w:cs="宋体"/>
                <w:bCs/>
                <w:sz w:val="18"/>
                <w:szCs w:val="18"/>
                <w:lang w:eastAsia="zh-CN"/>
              </w:rPr>
              <w:t>消防</w:t>
            </w:r>
            <w:r>
              <w:rPr>
                <w:rFonts w:hint="eastAsia" w:ascii="宋体" w:hAnsi="宋体" w:cs="宋体"/>
                <w:bCs/>
                <w:sz w:val="18"/>
                <w:szCs w:val="18"/>
              </w:rPr>
              <w:t>水泵接合器</w:t>
            </w:r>
          </w:p>
        </w:tc>
        <w:tc>
          <w:tcPr>
            <w:tcW w:w="1770"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360" w:lineRule="auto"/>
              <w:jc w:val="center"/>
              <w:rPr>
                <w:rFonts w:ascii="宋体" w:hAnsi="宋体" w:cs="宋体"/>
                <w:sz w:val="18"/>
                <w:szCs w:val="18"/>
              </w:rPr>
            </w:pPr>
          </w:p>
        </w:tc>
        <w:tc>
          <w:tcPr>
            <w:tcW w:w="1270"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360" w:lineRule="auto"/>
              <w:jc w:val="center"/>
              <w:rPr>
                <w:rFonts w:ascii="宋体" w:hAnsi="宋体" w:cs="宋体"/>
                <w:sz w:val="18"/>
                <w:szCs w:val="18"/>
              </w:rPr>
            </w:pPr>
            <w:r>
              <w:rPr>
                <w:rFonts w:hint="eastAsia" w:ascii="宋体" w:hAnsi="宋体" w:cs="宋体"/>
                <w:sz w:val="18"/>
                <w:szCs w:val="18"/>
              </w:rPr>
              <w:t>消防应急</w:t>
            </w:r>
          </w:p>
        </w:tc>
        <w:tc>
          <w:tcPr>
            <w:tcW w:w="1080"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360" w:lineRule="auto"/>
              <w:jc w:val="center"/>
              <w:rPr>
                <w:rFonts w:ascii="宋体" w:hAnsi="宋体" w:cs="宋体"/>
                <w:sz w:val="18"/>
                <w:szCs w:val="18"/>
              </w:rPr>
            </w:pPr>
            <w:r>
              <w:rPr>
                <w:rFonts w:hint="eastAsia" w:ascii="宋体" w:hAnsi="宋体" w:cs="宋体"/>
                <w:sz w:val="18"/>
                <w:szCs w:val="18"/>
              </w:rPr>
              <w:t>1</w:t>
            </w:r>
          </w:p>
        </w:tc>
        <w:tc>
          <w:tcPr>
            <w:tcW w:w="1590" w:type="dxa"/>
            <w:tcBorders>
              <w:top w:val="single" w:color="auto" w:sz="4" w:space="0"/>
              <w:left w:val="single" w:color="auto" w:sz="4" w:space="0"/>
              <w:bottom w:val="single" w:color="auto" w:sz="4" w:space="0"/>
              <w:right w:val="single" w:color="auto" w:sz="4" w:space="0"/>
            </w:tcBorders>
            <w:shd w:val="clear" w:color="auto" w:fill="auto"/>
            <w:noWrap/>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sz w:val="18"/>
                <w:szCs w:val="18"/>
                <w:lang w:eastAsia="zh-CN"/>
              </w:rPr>
            </w:pPr>
            <w:r>
              <w:rPr>
                <w:rFonts w:hint="eastAsia" w:cs="宋体"/>
                <w:sz w:val="18"/>
                <w:szCs w:val="18"/>
                <w:lang w:eastAsia="zh-CN"/>
              </w:rPr>
              <w:t>邻氯苯腈车间西侧路旁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trPr>
        <w:tc>
          <w:tcPr>
            <w:tcW w:w="624" w:type="dxa"/>
            <w:tcBorders>
              <w:top w:val="single" w:color="auto" w:sz="4" w:space="0"/>
              <w:left w:val="single" w:color="auto" w:sz="4" w:space="0"/>
              <w:bottom w:val="single" w:color="auto" w:sz="4" w:space="0"/>
              <w:right w:val="single" w:color="auto" w:sz="4" w:space="0"/>
            </w:tcBorders>
            <w:shd w:val="clear" w:color="auto" w:fill="auto"/>
            <w:noWrap/>
            <w:vAlign w:val="top"/>
          </w:tcPr>
          <w:p>
            <w:pPr>
              <w:spacing w:line="340" w:lineRule="exact"/>
              <w:jc w:val="center"/>
              <w:rPr>
                <w:rFonts w:hint="default" w:ascii="宋体" w:hAnsi="宋体" w:eastAsia="宋体" w:cs="宋体"/>
                <w:kern w:val="2"/>
                <w:sz w:val="18"/>
                <w:szCs w:val="18"/>
                <w:lang w:val="en-US" w:eastAsia="zh-CN" w:bidi="ar-SA"/>
              </w:rPr>
            </w:pPr>
            <w:r>
              <w:rPr>
                <w:rFonts w:hint="eastAsia" w:ascii="宋体" w:hAnsi="宋体" w:cs="宋体"/>
                <w:kern w:val="2"/>
                <w:sz w:val="18"/>
                <w:szCs w:val="18"/>
                <w:lang w:val="en-US" w:eastAsia="zh-CN" w:bidi="ar-SA"/>
              </w:rPr>
              <w:t>41</w:t>
            </w:r>
          </w:p>
        </w:tc>
        <w:tc>
          <w:tcPr>
            <w:tcW w:w="2260"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360" w:lineRule="auto"/>
              <w:jc w:val="center"/>
              <w:rPr>
                <w:rFonts w:ascii="宋体" w:hAnsi="宋体" w:eastAsia="宋体" w:cs="宋体"/>
                <w:bCs/>
                <w:kern w:val="2"/>
                <w:sz w:val="18"/>
                <w:szCs w:val="18"/>
                <w:lang w:val="en-US" w:eastAsia="zh-CN" w:bidi="ar-SA"/>
              </w:rPr>
            </w:pPr>
            <w:r>
              <w:rPr>
                <w:rFonts w:hint="eastAsia" w:ascii="宋体" w:hAnsi="宋体" w:cs="宋体"/>
                <w:bCs/>
                <w:sz w:val="18"/>
                <w:szCs w:val="18"/>
                <w:lang w:eastAsia="zh-CN"/>
              </w:rPr>
              <w:t>消防</w:t>
            </w:r>
            <w:r>
              <w:rPr>
                <w:rFonts w:hint="eastAsia" w:ascii="宋体" w:hAnsi="宋体" w:cs="宋体"/>
                <w:bCs/>
                <w:sz w:val="18"/>
                <w:szCs w:val="18"/>
              </w:rPr>
              <w:t>水泵接合器</w:t>
            </w:r>
          </w:p>
        </w:tc>
        <w:tc>
          <w:tcPr>
            <w:tcW w:w="1770"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360" w:lineRule="auto"/>
              <w:jc w:val="center"/>
              <w:rPr>
                <w:rFonts w:ascii="宋体" w:hAnsi="宋体" w:eastAsia="宋体" w:cs="宋体"/>
                <w:kern w:val="2"/>
                <w:sz w:val="18"/>
                <w:szCs w:val="18"/>
                <w:lang w:val="en-US" w:eastAsia="zh-CN" w:bidi="ar-SA"/>
              </w:rPr>
            </w:pPr>
          </w:p>
        </w:tc>
        <w:tc>
          <w:tcPr>
            <w:tcW w:w="1270"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360" w:lineRule="auto"/>
              <w:jc w:val="center"/>
              <w:rPr>
                <w:rFonts w:ascii="宋体" w:hAnsi="宋体" w:eastAsia="宋体" w:cs="宋体"/>
                <w:kern w:val="2"/>
                <w:sz w:val="18"/>
                <w:szCs w:val="18"/>
                <w:lang w:val="en-US" w:eastAsia="zh-CN" w:bidi="ar-SA"/>
              </w:rPr>
            </w:pPr>
            <w:r>
              <w:rPr>
                <w:rFonts w:hint="eastAsia" w:ascii="宋体" w:hAnsi="宋体" w:cs="宋体"/>
                <w:sz w:val="18"/>
                <w:szCs w:val="18"/>
              </w:rPr>
              <w:t>消防应急</w:t>
            </w:r>
          </w:p>
        </w:tc>
        <w:tc>
          <w:tcPr>
            <w:tcW w:w="1080"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360" w:lineRule="auto"/>
              <w:jc w:val="center"/>
              <w:rPr>
                <w:rFonts w:ascii="宋体" w:hAnsi="宋体" w:eastAsia="宋体" w:cs="宋体"/>
                <w:kern w:val="2"/>
                <w:sz w:val="18"/>
                <w:szCs w:val="18"/>
                <w:lang w:val="en-US" w:eastAsia="zh-CN" w:bidi="ar-SA"/>
              </w:rPr>
            </w:pPr>
            <w:r>
              <w:rPr>
                <w:rFonts w:hint="eastAsia" w:ascii="宋体" w:hAnsi="宋体" w:cs="宋体"/>
                <w:sz w:val="18"/>
                <w:szCs w:val="18"/>
              </w:rPr>
              <w:t>1</w:t>
            </w:r>
          </w:p>
        </w:tc>
        <w:tc>
          <w:tcPr>
            <w:tcW w:w="1590" w:type="dxa"/>
            <w:tcBorders>
              <w:top w:val="single" w:color="auto" w:sz="4" w:space="0"/>
              <w:left w:val="single" w:color="auto" w:sz="4" w:space="0"/>
              <w:bottom w:val="single" w:color="auto" w:sz="4" w:space="0"/>
              <w:right w:val="single" w:color="auto" w:sz="4" w:space="0"/>
            </w:tcBorders>
            <w:shd w:val="clear" w:color="auto" w:fill="auto"/>
            <w:noWrap/>
          </w:tcPr>
          <w:p>
            <w:pPr>
              <w:spacing w:line="360" w:lineRule="auto"/>
              <w:jc w:val="center"/>
              <w:rPr>
                <w:rFonts w:hint="eastAsia" w:ascii="宋体" w:hAnsi="宋体" w:eastAsia="宋体" w:cs="宋体"/>
                <w:sz w:val="18"/>
                <w:szCs w:val="18"/>
                <w:lang w:eastAsia="zh-CN"/>
              </w:rPr>
            </w:pPr>
            <w:r>
              <w:rPr>
                <w:rFonts w:hint="eastAsia" w:ascii="宋体" w:hAnsi="宋体" w:cs="宋体"/>
                <w:sz w:val="18"/>
                <w:szCs w:val="18"/>
                <w:lang w:eastAsia="zh-CN"/>
              </w:rPr>
              <w:t>新精馏一层西侧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trPr>
        <w:tc>
          <w:tcPr>
            <w:tcW w:w="624"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340" w:lineRule="exact"/>
              <w:jc w:val="center"/>
              <w:rPr>
                <w:rFonts w:hint="eastAsia" w:ascii="宋体" w:hAnsi="宋体" w:eastAsia="宋体" w:cs="宋体"/>
                <w:kern w:val="2"/>
                <w:sz w:val="18"/>
                <w:szCs w:val="18"/>
                <w:lang w:val="en-US" w:eastAsia="zh-CN" w:bidi="ar-SA"/>
              </w:rPr>
            </w:pPr>
            <w:r>
              <w:rPr>
                <w:rFonts w:hint="eastAsia" w:ascii="宋体" w:hAnsi="宋体" w:cs="宋体"/>
                <w:kern w:val="2"/>
                <w:sz w:val="18"/>
                <w:szCs w:val="18"/>
                <w:lang w:val="en-US" w:eastAsia="zh-CN" w:bidi="ar-SA"/>
              </w:rPr>
              <w:t>42</w:t>
            </w:r>
          </w:p>
        </w:tc>
        <w:tc>
          <w:tcPr>
            <w:tcW w:w="2260" w:type="dxa"/>
            <w:tcBorders>
              <w:top w:val="single" w:color="auto" w:sz="4" w:space="0"/>
              <w:left w:val="single" w:color="auto" w:sz="4" w:space="0"/>
              <w:bottom w:val="single" w:color="auto" w:sz="4" w:space="0"/>
              <w:right w:val="single" w:color="auto" w:sz="4" w:space="0"/>
            </w:tcBorders>
            <w:shd w:val="clear" w:color="auto" w:fill="auto"/>
            <w:noWrap/>
            <w:vAlign w:val="top"/>
          </w:tcPr>
          <w:p>
            <w:pPr>
              <w:spacing w:line="340" w:lineRule="exact"/>
              <w:jc w:val="center"/>
              <w:rPr>
                <w:rFonts w:hint="eastAsia" w:ascii="宋体" w:hAnsi="宋体" w:eastAsia="宋体" w:cs="宋体"/>
                <w:kern w:val="2"/>
                <w:sz w:val="18"/>
                <w:szCs w:val="18"/>
                <w:lang w:val="en-US" w:eastAsia="zh-CN" w:bidi="ar-SA"/>
              </w:rPr>
            </w:pPr>
            <w:r>
              <w:rPr>
                <w:rFonts w:hint="eastAsia" w:ascii="宋体" w:hAnsi="宋体" w:cs="宋体"/>
                <w:sz w:val="18"/>
                <w:szCs w:val="18"/>
              </w:rPr>
              <w:t>手提式二氧化碳灭火器</w:t>
            </w:r>
          </w:p>
        </w:tc>
        <w:tc>
          <w:tcPr>
            <w:tcW w:w="1770" w:type="dxa"/>
            <w:tcBorders>
              <w:top w:val="single" w:color="auto" w:sz="4" w:space="0"/>
              <w:left w:val="single" w:color="auto" w:sz="4" w:space="0"/>
              <w:bottom w:val="single" w:color="auto" w:sz="4" w:space="0"/>
              <w:right w:val="single" w:color="auto" w:sz="4" w:space="0"/>
            </w:tcBorders>
            <w:shd w:val="clear" w:color="auto" w:fill="auto"/>
            <w:noWrap/>
            <w:vAlign w:val="top"/>
          </w:tcPr>
          <w:p>
            <w:pPr>
              <w:spacing w:line="340" w:lineRule="exact"/>
              <w:jc w:val="center"/>
              <w:rPr>
                <w:rFonts w:hint="eastAsia" w:ascii="宋体" w:hAnsi="宋体" w:eastAsia="宋体" w:cs="宋体"/>
                <w:kern w:val="2"/>
                <w:sz w:val="18"/>
                <w:szCs w:val="18"/>
                <w:lang w:val="en-US" w:eastAsia="zh-CN" w:bidi="ar-SA"/>
              </w:rPr>
            </w:pPr>
            <w:r>
              <w:rPr>
                <w:rFonts w:hint="eastAsia" w:ascii="宋体" w:hAnsi="宋体" w:cs="宋体"/>
                <w:sz w:val="18"/>
                <w:szCs w:val="18"/>
              </w:rPr>
              <w:t>MT/3</w:t>
            </w:r>
          </w:p>
        </w:tc>
        <w:tc>
          <w:tcPr>
            <w:tcW w:w="1270" w:type="dxa"/>
            <w:tcBorders>
              <w:top w:val="single" w:color="auto" w:sz="4" w:space="0"/>
              <w:left w:val="single" w:color="auto" w:sz="4" w:space="0"/>
              <w:bottom w:val="single" w:color="auto" w:sz="4" w:space="0"/>
              <w:right w:val="single" w:color="auto" w:sz="4" w:space="0"/>
            </w:tcBorders>
            <w:shd w:val="clear" w:color="auto" w:fill="auto"/>
            <w:noWrap/>
            <w:vAlign w:val="top"/>
          </w:tcPr>
          <w:p>
            <w:pPr>
              <w:spacing w:line="340" w:lineRule="exact"/>
              <w:jc w:val="center"/>
              <w:rPr>
                <w:rFonts w:hint="eastAsia" w:ascii="宋体" w:hAnsi="宋体" w:eastAsia="宋体" w:cs="宋体"/>
                <w:kern w:val="2"/>
                <w:sz w:val="18"/>
                <w:szCs w:val="18"/>
                <w:lang w:val="en-US" w:eastAsia="zh-CN" w:bidi="ar-SA"/>
              </w:rPr>
            </w:pPr>
            <w:r>
              <w:rPr>
                <w:rFonts w:hint="eastAsia" w:ascii="宋体" w:hAnsi="宋体" w:cs="宋体"/>
                <w:sz w:val="18"/>
                <w:szCs w:val="18"/>
              </w:rPr>
              <w:t>火灾扑救</w:t>
            </w:r>
          </w:p>
        </w:tc>
        <w:tc>
          <w:tcPr>
            <w:tcW w:w="1080" w:type="dxa"/>
            <w:tcBorders>
              <w:top w:val="single" w:color="auto" w:sz="4" w:space="0"/>
              <w:left w:val="single" w:color="auto" w:sz="4" w:space="0"/>
              <w:bottom w:val="single" w:color="auto" w:sz="4" w:space="0"/>
              <w:right w:val="single" w:color="auto" w:sz="4" w:space="0"/>
            </w:tcBorders>
            <w:shd w:val="clear" w:color="auto" w:fill="auto"/>
            <w:noWrap/>
            <w:vAlign w:val="top"/>
          </w:tcPr>
          <w:p>
            <w:pPr>
              <w:spacing w:line="360" w:lineRule="auto"/>
              <w:jc w:val="center"/>
              <w:rPr>
                <w:rFonts w:hint="eastAsia" w:ascii="宋体" w:hAnsi="宋体" w:eastAsia="宋体" w:cs="宋体"/>
                <w:kern w:val="2"/>
                <w:sz w:val="18"/>
                <w:szCs w:val="18"/>
                <w:lang w:val="en-US" w:eastAsia="zh-CN" w:bidi="ar-SA"/>
              </w:rPr>
            </w:pPr>
            <w:r>
              <w:rPr>
                <w:rFonts w:hint="eastAsia" w:ascii="宋体" w:hAnsi="宋体" w:cs="宋体"/>
                <w:sz w:val="18"/>
                <w:szCs w:val="18"/>
              </w:rPr>
              <w:t>4</w:t>
            </w:r>
          </w:p>
        </w:tc>
        <w:tc>
          <w:tcPr>
            <w:tcW w:w="1590" w:type="dxa"/>
            <w:tcBorders>
              <w:top w:val="single" w:color="auto" w:sz="4" w:space="0"/>
              <w:left w:val="single" w:color="auto" w:sz="4" w:space="0"/>
              <w:bottom w:val="single" w:color="auto" w:sz="4" w:space="0"/>
              <w:right w:val="single" w:color="auto" w:sz="4" w:space="0"/>
            </w:tcBorders>
            <w:shd w:val="clear" w:color="auto" w:fill="auto"/>
            <w:noWrap/>
            <w:vAlign w:val="top"/>
          </w:tcPr>
          <w:p>
            <w:pPr>
              <w:spacing w:line="360" w:lineRule="auto"/>
              <w:jc w:val="center"/>
              <w:rPr>
                <w:rFonts w:hint="eastAsia" w:ascii="宋体" w:hAnsi="宋体" w:eastAsia="宋体" w:cs="宋体"/>
                <w:kern w:val="2"/>
                <w:sz w:val="18"/>
                <w:szCs w:val="18"/>
                <w:lang w:val="en-US" w:eastAsia="zh-CN" w:bidi="ar-SA"/>
              </w:rPr>
            </w:pPr>
            <w:r>
              <w:rPr>
                <w:rFonts w:hint="eastAsia" w:cs="宋体"/>
                <w:sz w:val="18"/>
                <w:szCs w:val="18"/>
              </w:rPr>
              <w:t>中控室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trPr>
        <w:tc>
          <w:tcPr>
            <w:tcW w:w="624" w:type="dxa"/>
            <w:tcBorders>
              <w:top w:val="single" w:color="auto" w:sz="4" w:space="0"/>
              <w:left w:val="single" w:color="auto" w:sz="4" w:space="0"/>
              <w:bottom w:val="single" w:color="auto" w:sz="4" w:space="0"/>
              <w:right w:val="single" w:color="auto" w:sz="4" w:space="0"/>
            </w:tcBorders>
            <w:shd w:val="clear" w:color="auto" w:fill="auto"/>
            <w:noWrap/>
            <w:vAlign w:val="top"/>
          </w:tcPr>
          <w:p>
            <w:pPr>
              <w:spacing w:line="340" w:lineRule="exact"/>
              <w:jc w:val="center"/>
              <w:rPr>
                <w:rFonts w:hint="default" w:ascii="宋体" w:hAnsi="宋体" w:eastAsia="宋体" w:cs="宋体"/>
                <w:kern w:val="2"/>
                <w:sz w:val="18"/>
                <w:szCs w:val="18"/>
                <w:lang w:val="en-US" w:eastAsia="zh-CN" w:bidi="ar-SA"/>
              </w:rPr>
            </w:pPr>
            <w:r>
              <w:rPr>
                <w:rFonts w:hint="eastAsia" w:ascii="宋体" w:hAnsi="宋体" w:cs="宋体"/>
                <w:kern w:val="2"/>
                <w:sz w:val="18"/>
                <w:szCs w:val="18"/>
                <w:lang w:val="en-US" w:eastAsia="zh-CN" w:bidi="ar-SA"/>
              </w:rPr>
              <w:t>43</w:t>
            </w:r>
          </w:p>
        </w:tc>
        <w:tc>
          <w:tcPr>
            <w:tcW w:w="2260"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340" w:lineRule="exact"/>
              <w:jc w:val="center"/>
              <w:rPr>
                <w:rFonts w:ascii="宋体" w:hAnsi="宋体" w:cs="宋体"/>
                <w:sz w:val="18"/>
                <w:szCs w:val="18"/>
              </w:rPr>
            </w:pPr>
            <w:r>
              <w:rPr>
                <w:rFonts w:hint="eastAsia" w:ascii="宋体" w:hAnsi="宋体" w:cs="宋体"/>
                <w:sz w:val="18"/>
                <w:szCs w:val="18"/>
              </w:rPr>
              <w:t>地上消火栓</w:t>
            </w:r>
          </w:p>
        </w:tc>
        <w:tc>
          <w:tcPr>
            <w:tcW w:w="1770"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340" w:lineRule="exact"/>
              <w:jc w:val="center"/>
              <w:rPr>
                <w:rFonts w:ascii="宋体" w:hAnsi="宋体" w:cs="宋体"/>
                <w:sz w:val="18"/>
                <w:szCs w:val="18"/>
              </w:rPr>
            </w:pPr>
            <w:r>
              <w:rPr>
                <w:rFonts w:hint="eastAsia" w:ascii="宋体" w:hAnsi="宋体" w:cs="宋体"/>
                <w:sz w:val="18"/>
                <w:szCs w:val="18"/>
              </w:rPr>
              <w:t>SS100/65-1.6</w:t>
            </w:r>
          </w:p>
        </w:tc>
        <w:tc>
          <w:tcPr>
            <w:tcW w:w="1270"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340" w:lineRule="exact"/>
              <w:jc w:val="center"/>
              <w:rPr>
                <w:rFonts w:ascii="宋体" w:hAnsi="宋体" w:cs="宋体"/>
                <w:sz w:val="18"/>
                <w:szCs w:val="18"/>
              </w:rPr>
            </w:pPr>
            <w:r>
              <w:rPr>
                <w:rFonts w:hint="eastAsia" w:ascii="宋体" w:hAnsi="宋体" w:cs="宋体"/>
                <w:sz w:val="18"/>
                <w:szCs w:val="18"/>
              </w:rPr>
              <w:t>消防应急</w:t>
            </w:r>
          </w:p>
        </w:tc>
        <w:tc>
          <w:tcPr>
            <w:tcW w:w="1080"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340" w:lineRule="exact"/>
              <w:jc w:val="center"/>
              <w:rPr>
                <w:rFonts w:ascii="宋体" w:hAnsi="宋体" w:cs="宋体"/>
                <w:sz w:val="18"/>
                <w:szCs w:val="18"/>
              </w:rPr>
            </w:pPr>
            <w:r>
              <w:rPr>
                <w:rFonts w:hint="eastAsia" w:ascii="宋体" w:hAnsi="宋体" w:cs="宋体"/>
                <w:sz w:val="18"/>
                <w:szCs w:val="18"/>
              </w:rPr>
              <w:t>2</w:t>
            </w:r>
          </w:p>
        </w:tc>
        <w:tc>
          <w:tcPr>
            <w:tcW w:w="159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ascii="宋体" w:hAnsi="宋体" w:cs="宋体"/>
                <w:sz w:val="18"/>
                <w:szCs w:val="18"/>
              </w:rPr>
            </w:pPr>
            <w:r>
              <w:rPr>
                <w:rFonts w:hint="eastAsia" w:cs="宋体"/>
                <w:sz w:val="18"/>
                <w:szCs w:val="18"/>
              </w:rPr>
              <w:t>材料库和新危废仓库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trPr>
        <w:tc>
          <w:tcPr>
            <w:tcW w:w="624" w:type="dxa"/>
            <w:tcBorders>
              <w:top w:val="single" w:color="auto" w:sz="4" w:space="0"/>
              <w:left w:val="single" w:color="auto" w:sz="4" w:space="0"/>
              <w:bottom w:val="single" w:color="auto" w:sz="4" w:space="0"/>
              <w:right w:val="single" w:color="auto" w:sz="4" w:space="0"/>
            </w:tcBorders>
            <w:shd w:val="clear" w:color="auto" w:fill="auto"/>
            <w:noWrap/>
            <w:vAlign w:val="top"/>
          </w:tcPr>
          <w:p>
            <w:pPr>
              <w:spacing w:line="340" w:lineRule="exact"/>
              <w:jc w:val="center"/>
              <w:rPr>
                <w:rFonts w:hint="default" w:ascii="宋体" w:hAnsi="宋体" w:eastAsia="宋体" w:cs="宋体"/>
                <w:kern w:val="2"/>
                <w:sz w:val="18"/>
                <w:szCs w:val="18"/>
                <w:lang w:val="en-US" w:eastAsia="zh-CN" w:bidi="ar-SA"/>
              </w:rPr>
            </w:pPr>
            <w:r>
              <w:rPr>
                <w:rFonts w:hint="eastAsia" w:ascii="宋体" w:hAnsi="宋体" w:cs="宋体"/>
                <w:kern w:val="2"/>
                <w:sz w:val="18"/>
                <w:szCs w:val="18"/>
                <w:lang w:val="en-US" w:eastAsia="zh-CN" w:bidi="ar-SA"/>
              </w:rPr>
              <w:t>44</w:t>
            </w:r>
          </w:p>
        </w:tc>
        <w:tc>
          <w:tcPr>
            <w:tcW w:w="2260" w:type="dxa"/>
            <w:tcBorders>
              <w:top w:val="single" w:color="auto" w:sz="4" w:space="0"/>
              <w:left w:val="single" w:color="auto" w:sz="4" w:space="0"/>
              <w:bottom w:val="single" w:color="auto" w:sz="4" w:space="0"/>
              <w:right w:val="single" w:color="auto" w:sz="4" w:space="0"/>
            </w:tcBorders>
            <w:shd w:val="clear" w:color="auto" w:fill="auto"/>
            <w:noWrap/>
          </w:tcPr>
          <w:p>
            <w:pPr>
              <w:spacing w:line="340" w:lineRule="exact"/>
              <w:jc w:val="center"/>
              <w:rPr>
                <w:rFonts w:ascii="宋体" w:hAnsi="宋体" w:cs="宋体"/>
                <w:sz w:val="18"/>
                <w:szCs w:val="18"/>
              </w:rPr>
            </w:pPr>
            <w:r>
              <w:rPr>
                <w:rFonts w:hint="eastAsia" w:ascii="宋体" w:hAnsi="宋体" w:cs="宋体"/>
                <w:sz w:val="18"/>
                <w:szCs w:val="18"/>
              </w:rPr>
              <w:t>消防水炮</w:t>
            </w:r>
          </w:p>
        </w:tc>
        <w:tc>
          <w:tcPr>
            <w:tcW w:w="1770" w:type="dxa"/>
            <w:tcBorders>
              <w:top w:val="single" w:color="auto" w:sz="4" w:space="0"/>
              <w:left w:val="single" w:color="auto" w:sz="4" w:space="0"/>
              <w:bottom w:val="single" w:color="auto" w:sz="4" w:space="0"/>
              <w:right w:val="single" w:color="auto" w:sz="4" w:space="0"/>
            </w:tcBorders>
            <w:shd w:val="clear" w:color="auto" w:fill="auto"/>
            <w:noWrap/>
          </w:tcPr>
          <w:p>
            <w:pPr>
              <w:spacing w:line="340" w:lineRule="exact"/>
              <w:jc w:val="center"/>
              <w:rPr>
                <w:rFonts w:ascii="宋体" w:hAnsi="宋体" w:cs="宋体"/>
                <w:sz w:val="18"/>
                <w:szCs w:val="18"/>
              </w:rPr>
            </w:pPr>
          </w:p>
        </w:tc>
        <w:tc>
          <w:tcPr>
            <w:tcW w:w="1270" w:type="dxa"/>
            <w:tcBorders>
              <w:top w:val="single" w:color="auto" w:sz="4" w:space="0"/>
              <w:left w:val="single" w:color="auto" w:sz="4" w:space="0"/>
              <w:bottom w:val="single" w:color="auto" w:sz="4" w:space="0"/>
              <w:right w:val="single" w:color="auto" w:sz="4" w:space="0"/>
            </w:tcBorders>
            <w:shd w:val="clear" w:color="auto" w:fill="auto"/>
            <w:noWrap/>
          </w:tcPr>
          <w:p>
            <w:pPr>
              <w:spacing w:line="340" w:lineRule="exact"/>
              <w:jc w:val="center"/>
              <w:rPr>
                <w:rFonts w:ascii="宋体" w:hAnsi="宋体" w:cs="宋体"/>
                <w:sz w:val="18"/>
                <w:szCs w:val="18"/>
              </w:rPr>
            </w:pPr>
            <w:r>
              <w:rPr>
                <w:rFonts w:hint="eastAsia" w:ascii="宋体" w:hAnsi="宋体" w:cs="宋体"/>
                <w:sz w:val="18"/>
                <w:szCs w:val="18"/>
              </w:rPr>
              <w:t>消防应急</w:t>
            </w:r>
          </w:p>
        </w:tc>
        <w:tc>
          <w:tcPr>
            <w:tcW w:w="1080" w:type="dxa"/>
            <w:tcBorders>
              <w:top w:val="single" w:color="auto" w:sz="4" w:space="0"/>
              <w:left w:val="single" w:color="auto" w:sz="4" w:space="0"/>
              <w:bottom w:val="single" w:color="auto" w:sz="4" w:space="0"/>
              <w:right w:val="single" w:color="auto" w:sz="4" w:space="0"/>
            </w:tcBorders>
            <w:shd w:val="clear" w:color="auto" w:fill="auto"/>
            <w:noWrap/>
          </w:tcPr>
          <w:p>
            <w:pPr>
              <w:spacing w:line="340" w:lineRule="exact"/>
              <w:jc w:val="center"/>
              <w:rPr>
                <w:rFonts w:ascii="宋体" w:hAnsi="宋体" w:cs="宋体"/>
                <w:sz w:val="18"/>
                <w:szCs w:val="18"/>
              </w:rPr>
            </w:pPr>
            <w:r>
              <w:rPr>
                <w:rFonts w:hint="eastAsia" w:ascii="宋体" w:hAnsi="宋体" w:cs="宋体"/>
                <w:sz w:val="18"/>
                <w:szCs w:val="18"/>
              </w:rPr>
              <w:t>1</w:t>
            </w:r>
          </w:p>
        </w:tc>
        <w:tc>
          <w:tcPr>
            <w:tcW w:w="1590" w:type="dxa"/>
            <w:tcBorders>
              <w:top w:val="single" w:color="auto" w:sz="4" w:space="0"/>
              <w:left w:val="single" w:color="auto" w:sz="4" w:space="0"/>
              <w:bottom w:val="single" w:color="auto" w:sz="4" w:space="0"/>
              <w:right w:val="single" w:color="auto" w:sz="4" w:space="0"/>
            </w:tcBorders>
            <w:shd w:val="clear" w:color="auto" w:fill="auto"/>
            <w:noWrap/>
          </w:tcPr>
          <w:p>
            <w:pPr>
              <w:spacing w:line="360" w:lineRule="auto"/>
              <w:jc w:val="center"/>
              <w:rPr>
                <w:rFonts w:ascii="宋体" w:hAnsi="宋体" w:cs="宋体"/>
                <w:sz w:val="18"/>
                <w:szCs w:val="18"/>
              </w:rPr>
            </w:pPr>
            <w:r>
              <w:rPr>
                <w:rFonts w:hint="eastAsia" w:cs="宋体"/>
                <w:sz w:val="18"/>
                <w:szCs w:val="18"/>
              </w:rPr>
              <w:t>循环水池西侧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trPr>
        <w:tc>
          <w:tcPr>
            <w:tcW w:w="624"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340" w:lineRule="exact"/>
              <w:jc w:val="center"/>
              <w:rPr>
                <w:rFonts w:hint="default" w:ascii="宋体" w:hAnsi="宋体" w:eastAsia="宋体" w:cs="宋体"/>
                <w:kern w:val="2"/>
                <w:sz w:val="18"/>
                <w:szCs w:val="18"/>
                <w:lang w:val="en-US" w:eastAsia="zh-CN" w:bidi="ar-SA"/>
              </w:rPr>
            </w:pPr>
            <w:r>
              <w:rPr>
                <w:rFonts w:hint="eastAsia" w:ascii="宋体" w:hAnsi="宋体" w:cs="宋体"/>
                <w:kern w:val="2"/>
                <w:sz w:val="18"/>
                <w:szCs w:val="18"/>
                <w:lang w:val="en-US" w:eastAsia="zh-CN" w:bidi="ar-SA"/>
              </w:rPr>
              <w:t>45</w:t>
            </w:r>
          </w:p>
        </w:tc>
        <w:tc>
          <w:tcPr>
            <w:tcW w:w="2260" w:type="dxa"/>
            <w:tcBorders>
              <w:top w:val="single" w:color="auto" w:sz="4" w:space="0"/>
              <w:left w:val="single" w:color="auto" w:sz="4" w:space="0"/>
              <w:bottom w:val="single" w:color="auto" w:sz="4" w:space="0"/>
              <w:right w:val="single" w:color="auto" w:sz="4" w:space="0"/>
            </w:tcBorders>
            <w:shd w:val="clear" w:color="auto" w:fill="auto"/>
            <w:noWrap/>
          </w:tcPr>
          <w:p>
            <w:pPr>
              <w:spacing w:line="340" w:lineRule="exact"/>
              <w:jc w:val="center"/>
              <w:rPr>
                <w:rFonts w:ascii="宋体" w:hAnsi="宋体" w:cs="宋体"/>
                <w:sz w:val="18"/>
                <w:szCs w:val="18"/>
              </w:rPr>
            </w:pPr>
            <w:r>
              <w:rPr>
                <w:rFonts w:hint="eastAsia" w:ascii="宋体" w:hAnsi="宋体" w:cs="宋体"/>
                <w:sz w:val="18"/>
                <w:szCs w:val="18"/>
              </w:rPr>
              <w:t>地上消火栓</w:t>
            </w:r>
          </w:p>
        </w:tc>
        <w:tc>
          <w:tcPr>
            <w:tcW w:w="1770" w:type="dxa"/>
            <w:tcBorders>
              <w:top w:val="single" w:color="auto" w:sz="4" w:space="0"/>
              <w:left w:val="single" w:color="auto" w:sz="4" w:space="0"/>
              <w:bottom w:val="single" w:color="auto" w:sz="4" w:space="0"/>
              <w:right w:val="single" w:color="auto" w:sz="4" w:space="0"/>
            </w:tcBorders>
            <w:shd w:val="clear" w:color="auto" w:fill="auto"/>
            <w:noWrap/>
          </w:tcPr>
          <w:p>
            <w:pPr>
              <w:spacing w:line="340" w:lineRule="exact"/>
              <w:jc w:val="center"/>
              <w:rPr>
                <w:rFonts w:ascii="宋体" w:hAnsi="宋体" w:cs="宋体"/>
                <w:sz w:val="18"/>
                <w:szCs w:val="18"/>
              </w:rPr>
            </w:pPr>
            <w:r>
              <w:rPr>
                <w:rFonts w:hint="eastAsia" w:ascii="宋体" w:hAnsi="宋体" w:cs="宋体"/>
                <w:sz w:val="18"/>
                <w:szCs w:val="18"/>
              </w:rPr>
              <w:t>SS100/65-1.6</w:t>
            </w:r>
          </w:p>
        </w:tc>
        <w:tc>
          <w:tcPr>
            <w:tcW w:w="1270" w:type="dxa"/>
            <w:tcBorders>
              <w:top w:val="single" w:color="auto" w:sz="4" w:space="0"/>
              <w:left w:val="single" w:color="auto" w:sz="4" w:space="0"/>
              <w:bottom w:val="single" w:color="auto" w:sz="4" w:space="0"/>
              <w:right w:val="single" w:color="auto" w:sz="4" w:space="0"/>
            </w:tcBorders>
            <w:shd w:val="clear" w:color="auto" w:fill="auto"/>
            <w:noWrap/>
          </w:tcPr>
          <w:p>
            <w:pPr>
              <w:spacing w:line="340" w:lineRule="exact"/>
              <w:jc w:val="center"/>
              <w:rPr>
                <w:rFonts w:ascii="宋体" w:hAnsi="宋体" w:cs="宋体"/>
                <w:sz w:val="18"/>
                <w:szCs w:val="18"/>
              </w:rPr>
            </w:pPr>
            <w:r>
              <w:rPr>
                <w:rFonts w:hint="eastAsia" w:ascii="宋体" w:hAnsi="宋体" w:cs="宋体"/>
                <w:sz w:val="18"/>
                <w:szCs w:val="18"/>
              </w:rPr>
              <w:t>消防应急</w:t>
            </w:r>
          </w:p>
        </w:tc>
        <w:tc>
          <w:tcPr>
            <w:tcW w:w="1080" w:type="dxa"/>
            <w:tcBorders>
              <w:top w:val="single" w:color="auto" w:sz="4" w:space="0"/>
              <w:left w:val="single" w:color="auto" w:sz="4" w:space="0"/>
              <w:bottom w:val="single" w:color="auto" w:sz="4" w:space="0"/>
              <w:right w:val="single" w:color="auto" w:sz="4" w:space="0"/>
            </w:tcBorders>
            <w:shd w:val="clear" w:color="auto" w:fill="auto"/>
            <w:noWrap/>
          </w:tcPr>
          <w:p>
            <w:pPr>
              <w:spacing w:line="340" w:lineRule="exact"/>
              <w:jc w:val="center"/>
              <w:rPr>
                <w:rFonts w:hint="eastAsia" w:ascii="宋体" w:hAnsi="宋体" w:eastAsia="宋体" w:cs="宋体"/>
                <w:sz w:val="18"/>
                <w:szCs w:val="18"/>
                <w:lang w:eastAsia="zh-CN"/>
              </w:rPr>
            </w:pPr>
            <w:r>
              <w:rPr>
                <w:rFonts w:hint="eastAsia" w:ascii="宋体" w:hAnsi="宋体" w:cs="宋体"/>
                <w:sz w:val="18"/>
                <w:szCs w:val="18"/>
                <w:lang w:val="en-US" w:eastAsia="zh-CN"/>
              </w:rPr>
              <w:t>1</w:t>
            </w:r>
          </w:p>
        </w:tc>
        <w:tc>
          <w:tcPr>
            <w:tcW w:w="1590" w:type="dxa"/>
            <w:tcBorders>
              <w:top w:val="single" w:color="auto" w:sz="4" w:space="0"/>
              <w:left w:val="single" w:color="auto" w:sz="4" w:space="0"/>
              <w:bottom w:val="single" w:color="auto" w:sz="4" w:space="0"/>
              <w:right w:val="single" w:color="auto" w:sz="4" w:space="0"/>
            </w:tcBorders>
            <w:shd w:val="clear" w:color="auto" w:fill="auto"/>
            <w:noWrap/>
          </w:tcPr>
          <w:p>
            <w:pPr>
              <w:spacing w:line="360" w:lineRule="auto"/>
              <w:jc w:val="center"/>
              <w:rPr>
                <w:rFonts w:ascii="宋体" w:hAnsi="宋体" w:cs="宋体"/>
                <w:sz w:val="18"/>
                <w:szCs w:val="18"/>
              </w:rPr>
            </w:pPr>
            <w:r>
              <w:rPr>
                <w:rFonts w:hint="eastAsia" w:cs="宋体"/>
                <w:sz w:val="18"/>
                <w:szCs w:val="18"/>
              </w:rPr>
              <w:t>邻氯苯腈罐区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trPr>
        <w:tc>
          <w:tcPr>
            <w:tcW w:w="624" w:type="dxa"/>
            <w:tcBorders>
              <w:top w:val="single" w:color="auto" w:sz="4" w:space="0"/>
              <w:left w:val="single" w:color="auto" w:sz="4" w:space="0"/>
              <w:bottom w:val="single" w:color="auto" w:sz="4" w:space="0"/>
              <w:right w:val="single" w:color="auto" w:sz="4" w:space="0"/>
            </w:tcBorders>
            <w:shd w:val="clear" w:color="auto" w:fill="auto"/>
            <w:noWrap/>
            <w:vAlign w:val="top"/>
          </w:tcPr>
          <w:p>
            <w:pPr>
              <w:spacing w:line="340" w:lineRule="exact"/>
              <w:jc w:val="center"/>
              <w:rPr>
                <w:rFonts w:hint="default" w:ascii="宋体" w:hAnsi="宋体" w:eastAsia="宋体" w:cs="宋体"/>
                <w:kern w:val="2"/>
                <w:sz w:val="18"/>
                <w:szCs w:val="18"/>
                <w:lang w:val="en-US" w:eastAsia="zh-CN" w:bidi="ar-SA"/>
              </w:rPr>
            </w:pPr>
            <w:r>
              <w:rPr>
                <w:rFonts w:hint="eastAsia" w:ascii="宋体" w:hAnsi="宋体" w:cs="宋体"/>
                <w:kern w:val="2"/>
                <w:sz w:val="18"/>
                <w:szCs w:val="18"/>
                <w:lang w:val="en-US" w:eastAsia="zh-CN" w:bidi="ar-SA"/>
              </w:rPr>
              <w:t>46</w:t>
            </w:r>
          </w:p>
        </w:tc>
        <w:tc>
          <w:tcPr>
            <w:tcW w:w="2260"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340" w:lineRule="exact"/>
              <w:jc w:val="center"/>
              <w:rPr>
                <w:rFonts w:ascii="宋体" w:hAnsi="宋体" w:cs="宋体"/>
                <w:sz w:val="18"/>
                <w:szCs w:val="18"/>
              </w:rPr>
            </w:pPr>
            <w:r>
              <w:rPr>
                <w:rFonts w:hint="eastAsia" w:ascii="宋体" w:hAnsi="宋体" w:cs="宋体"/>
                <w:sz w:val="18"/>
                <w:szCs w:val="18"/>
              </w:rPr>
              <w:t>地上消火栓</w:t>
            </w:r>
          </w:p>
        </w:tc>
        <w:tc>
          <w:tcPr>
            <w:tcW w:w="1770"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340" w:lineRule="exact"/>
              <w:jc w:val="center"/>
              <w:rPr>
                <w:rFonts w:ascii="宋体" w:hAnsi="宋体" w:cs="宋体"/>
                <w:sz w:val="18"/>
                <w:szCs w:val="18"/>
              </w:rPr>
            </w:pPr>
            <w:r>
              <w:rPr>
                <w:rFonts w:hint="eastAsia" w:ascii="宋体" w:hAnsi="宋体" w:cs="宋体"/>
                <w:sz w:val="18"/>
                <w:szCs w:val="18"/>
              </w:rPr>
              <w:t>SS100/65-1.6</w:t>
            </w:r>
          </w:p>
        </w:tc>
        <w:tc>
          <w:tcPr>
            <w:tcW w:w="1270"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340" w:lineRule="exact"/>
              <w:jc w:val="center"/>
              <w:rPr>
                <w:rFonts w:ascii="宋体" w:hAnsi="宋体" w:cs="宋体"/>
                <w:sz w:val="18"/>
                <w:szCs w:val="18"/>
              </w:rPr>
            </w:pPr>
            <w:r>
              <w:rPr>
                <w:rFonts w:hint="eastAsia" w:ascii="宋体" w:hAnsi="宋体" w:cs="宋体"/>
                <w:sz w:val="18"/>
                <w:szCs w:val="18"/>
              </w:rPr>
              <w:t>消防应急</w:t>
            </w:r>
          </w:p>
        </w:tc>
        <w:tc>
          <w:tcPr>
            <w:tcW w:w="1080"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340" w:lineRule="exact"/>
              <w:jc w:val="center"/>
              <w:rPr>
                <w:rFonts w:ascii="宋体" w:hAnsi="宋体" w:cs="宋体"/>
                <w:sz w:val="18"/>
                <w:szCs w:val="18"/>
              </w:rPr>
            </w:pPr>
            <w:r>
              <w:rPr>
                <w:rFonts w:hint="eastAsia" w:ascii="宋体" w:hAnsi="宋体" w:cs="宋体"/>
                <w:sz w:val="18"/>
                <w:szCs w:val="18"/>
              </w:rPr>
              <w:t>4</w:t>
            </w:r>
          </w:p>
        </w:tc>
        <w:tc>
          <w:tcPr>
            <w:tcW w:w="159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ascii="宋体" w:hAnsi="宋体" w:cs="宋体"/>
                <w:sz w:val="18"/>
                <w:szCs w:val="18"/>
              </w:rPr>
            </w:pPr>
            <w:r>
              <w:rPr>
                <w:rFonts w:hint="eastAsia" w:cs="宋体"/>
                <w:sz w:val="18"/>
                <w:szCs w:val="18"/>
              </w:rPr>
              <w:t>厂区中央空地西干道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trPr>
        <w:tc>
          <w:tcPr>
            <w:tcW w:w="624" w:type="dxa"/>
            <w:tcBorders>
              <w:top w:val="single" w:color="auto" w:sz="4" w:space="0"/>
              <w:left w:val="single" w:color="auto" w:sz="4" w:space="0"/>
              <w:bottom w:val="single" w:color="auto" w:sz="4" w:space="0"/>
              <w:right w:val="single" w:color="auto" w:sz="4" w:space="0"/>
            </w:tcBorders>
            <w:shd w:val="clear" w:color="auto" w:fill="auto"/>
            <w:noWrap/>
            <w:vAlign w:val="top"/>
          </w:tcPr>
          <w:p>
            <w:pPr>
              <w:spacing w:line="340" w:lineRule="exact"/>
              <w:jc w:val="center"/>
              <w:rPr>
                <w:rFonts w:hint="default" w:ascii="宋体" w:hAnsi="宋体" w:eastAsia="宋体" w:cs="宋体"/>
                <w:kern w:val="2"/>
                <w:sz w:val="18"/>
                <w:szCs w:val="18"/>
                <w:lang w:val="en-US" w:eastAsia="zh-CN" w:bidi="ar-SA"/>
              </w:rPr>
            </w:pPr>
            <w:r>
              <w:rPr>
                <w:rFonts w:hint="eastAsia" w:ascii="宋体" w:hAnsi="宋体" w:cs="宋体"/>
                <w:sz w:val="18"/>
                <w:szCs w:val="18"/>
                <w:lang w:val="en-US" w:eastAsia="zh-CN"/>
              </w:rPr>
              <w:t>47</w:t>
            </w:r>
          </w:p>
        </w:tc>
        <w:tc>
          <w:tcPr>
            <w:tcW w:w="2260" w:type="dxa"/>
            <w:tcBorders>
              <w:top w:val="single" w:color="auto" w:sz="4" w:space="0"/>
              <w:left w:val="single" w:color="auto" w:sz="4" w:space="0"/>
              <w:bottom w:val="single" w:color="auto" w:sz="4" w:space="0"/>
              <w:right w:val="single" w:color="auto" w:sz="4" w:space="0"/>
            </w:tcBorders>
            <w:shd w:val="clear" w:color="auto" w:fill="auto"/>
            <w:noWrap/>
          </w:tcPr>
          <w:p>
            <w:pPr>
              <w:spacing w:line="360" w:lineRule="auto"/>
              <w:jc w:val="center"/>
              <w:rPr>
                <w:rFonts w:ascii="宋体" w:hAnsi="宋体" w:cs="宋体"/>
                <w:sz w:val="18"/>
                <w:szCs w:val="18"/>
              </w:rPr>
            </w:pPr>
            <w:r>
              <w:rPr>
                <w:rFonts w:hint="eastAsia" w:ascii="宋体" w:hAnsi="宋体" w:cs="宋体"/>
                <w:sz w:val="18"/>
                <w:szCs w:val="18"/>
              </w:rPr>
              <w:t>手提式干粉灭火器</w:t>
            </w:r>
          </w:p>
        </w:tc>
        <w:tc>
          <w:tcPr>
            <w:tcW w:w="1770" w:type="dxa"/>
            <w:tcBorders>
              <w:top w:val="single" w:color="auto" w:sz="4" w:space="0"/>
              <w:left w:val="single" w:color="auto" w:sz="4" w:space="0"/>
              <w:bottom w:val="single" w:color="auto" w:sz="4" w:space="0"/>
              <w:right w:val="single" w:color="auto" w:sz="4" w:space="0"/>
            </w:tcBorders>
            <w:shd w:val="clear" w:color="auto" w:fill="auto"/>
            <w:noWrap/>
          </w:tcPr>
          <w:p>
            <w:pPr>
              <w:spacing w:line="360" w:lineRule="auto"/>
              <w:jc w:val="center"/>
              <w:rPr>
                <w:rFonts w:ascii="宋体" w:hAnsi="宋体" w:cs="宋体"/>
                <w:sz w:val="18"/>
                <w:szCs w:val="18"/>
              </w:rPr>
            </w:pPr>
            <w:r>
              <w:rPr>
                <w:rFonts w:hint="eastAsia" w:ascii="宋体" w:hAnsi="宋体" w:cs="宋体"/>
                <w:sz w:val="18"/>
                <w:szCs w:val="18"/>
              </w:rPr>
              <w:t>MFZ/ABC5</w:t>
            </w:r>
          </w:p>
        </w:tc>
        <w:tc>
          <w:tcPr>
            <w:tcW w:w="1270" w:type="dxa"/>
            <w:tcBorders>
              <w:top w:val="single" w:color="auto" w:sz="4" w:space="0"/>
              <w:left w:val="single" w:color="auto" w:sz="4" w:space="0"/>
              <w:bottom w:val="single" w:color="auto" w:sz="4" w:space="0"/>
              <w:right w:val="single" w:color="auto" w:sz="4" w:space="0"/>
            </w:tcBorders>
            <w:shd w:val="clear" w:color="auto" w:fill="auto"/>
            <w:noWrap/>
          </w:tcPr>
          <w:p>
            <w:pPr>
              <w:spacing w:line="360" w:lineRule="auto"/>
              <w:jc w:val="center"/>
              <w:rPr>
                <w:rFonts w:ascii="宋体" w:hAnsi="宋体" w:cs="宋体"/>
                <w:sz w:val="18"/>
                <w:szCs w:val="18"/>
              </w:rPr>
            </w:pPr>
            <w:r>
              <w:rPr>
                <w:rFonts w:hint="eastAsia" w:ascii="宋体" w:hAnsi="宋体" w:cs="宋体"/>
                <w:sz w:val="18"/>
                <w:szCs w:val="18"/>
              </w:rPr>
              <w:t>火灾扑救</w:t>
            </w:r>
          </w:p>
        </w:tc>
        <w:tc>
          <w:tcPr>
            <w:tcW w:w="1080" w:type="dxa"/>
            <w:tcBorders>
              <w:top w:val="single" w:color="auto" w:sz="4" w:space="0"/>
              <w:left w:val="single" w:color="auto" w:sz="4" w:space="0"/>
              <w:bottom w:val="single" w:color="auto" w:sz="4" w:space="0"/>
              <w:right w:val="single" w:color="auto" w:sz="4" w:space="0"/>
            </w:tcBorders>
            <w:shd w:val="clear" w:color="auto" w:fill="auto"/>
            <w:noWrap/>
          </w:tcPr>
          <w:p>
            <w:pPr>
              <w:spacing w:line="340" w:lineRule="exact"/>
              <w:jc w:val="center"/>
              <w:rPr>
                <w:rFonts w:ascii="宋体" w:hAnsi="宋体" w:cs="宋体"/>
                <w:sz w:val="18"/>
                <w:szCs w:val="18"/>
              </w:rPr>
            </w:pPr>
            <w:r>
              <w:rPr>
                <w:rFonts w:hint="eastAsia" w:ascii="宋体" w:hAnsi="宋体" w:cs="宋体"/>
                <w:sz w:val="18"/>
                <w:szCs w:val="18"/>
              </w:rPr>
              <w:t>6</w:t>
            </w:r>
          </w:p>
        </w:tc>
        <w:tc>
          <w:tcPr>
            <w:tcW w:w="159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宋体" w:hAnsi="宋体" w:cs="宋体"/>
                <w:sz w:val="18"/>
                <w:szCs w:val="18"/>
              </w:rPr>
            </w:pPr>
            <w:r>
              <w:rPr>
                <w:rFonts w:hint="eastAsia" w:cs="宋体"/>
                <w:sz w:val="18"/>
                <w:szCs w:val="18"/>
              </w:rPr>
              <w:t>材料库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trPr>
        <w:tc>
          <w:tcPr>
            <w:tcW w:w="624" w:type="dxa"/>
            <w:tcBorders>
              <w:top w:val="single" w:color="auto" w:sz="4" w:space="0"/>
              <w:left w:val="single" w:color="auto" w:sz="4" w:space="0"/>
              <w:bottom w:val="single" w:color="auto" w:sz="4" w:space="0"/>
              <w:right w:val="single" w:color="auto" w:sz="4" w:space="0"/>
            </w:tcBorders>
            <w:shd w:val="clear" w:color="auto" w:fill="auto"/>
            <w:noWrap/>
          </w:tcPr>
          <w:p>
            <w:pPr>
              <w:spacing w:line="340" w:lineRule="exact"/>
              <w:jc w:val="center"/>
              <w:rPr>
                <w:rFonts w:hint="default" w:ascii="宋体" w:hAnsi="宋体" w:eastAsia="宋体" w:cs="宋体"/>
                <w:sz w:val="18"/>
                <w:szCs w:val="18"/>
                <w:lang w:val="en-US" w:eastAsia="zh-CN"/>
              </w:rPr>
            </w:pPr>
            <w:r>
              <w:rPr>
                <w:rFonts w:hint="eastAsia" w:ascii="宋体" w:hAnsi="宋体" w:cs="宋体"/>
                <w:sz w:val="18"/>
                <w:szCs w:val="18"/>
                <w:lang w:val="en-US" w:eastAsia="zh-CN"/>
              </w:rPr>
              <w:t>48</w:t>
            </w:r>
          </w:p>
        </w:tc>
        <w:tc>
          <w:tcPr>
            <w:tcW w:w="2260" w:type="dxa"/>
            <w:tcBorders>
              <w:top w:val="single" w:color="auto" w:sz="4" w:space="0"/>
              <w:left w:val="single" w:color="auto" w:sz="4" w:space="0"/>
              <w:bottom w:val="single" w:color="auto" w:sz="4" w:space="0"/>
              <w:right w:val="single" w:color="auto" w:sz="4" w:space="0"/>
            </w:tcBorders>
            <w:shd w:val="clear" w:color="auto" w:fill="auto"/>
            <w:noWrap/>
          </w:tcPr>
          <w:p>
            <w:pPr>
              <w:spacing w:line="360" w:lineRule="auto"/>
              <w:jc w:val="center"/>
              <w:rPr>
                <w:rFonts w:ascii="宋体" w:hAnsi="宋体" w:cs="宋体"/>
                <w:sz w:val="18"/>
                <w:szCs w:val="18"/>
              </w:rPr>
            </w:pPr>
            <w:r>
              <w:rPr>
                <w:rFonts w:hint="eastAsia" w:ascii="宋体" w:hAnsi="宋体" w:cs="宋体"/>
                <w:sz w:val="18"/>
                <w:szCs w:val="18"/>
              </w:rPr>
              <w:t>手提式干粉灭火器</w:t>
            </w:r>
          </w:p>
        </w:tc>
        <w:tc>
          <w:tcPr>
            <w:tcW w:w="1770" w:type="dxa"/>
            <w:tcBorders>
              <w:top w:val="single" w:color="auto" w:sz="4" w:space="0"/>
              <w:left w:val="single" w:color="auto" w:sz="4" w:space="0"/>
              <w:bottom w:val="single" w:color="auto" w:sz="4" w:space="0"/>
              <w:right w:val="single" w:color="auto" w:sz="4" w:space="0"/>
            </w:tcBorders>
            <w:shd w:val="clear" w:color="auto" w:fill="auto"/>
            <w:noWrap/>
          </w:tcPr>
          <w:p>
            <w:pPr>
              <w:spacing w:line="360" w:lineRule="auto"/>
              <w:jc w:val="center"/>
              <w:rPr>
                <w:rFonts w:ascii="宋体" w:hAnsi="宋体" w:cs="宋体"/>
                <w:sz w:val="18"/>
                <w:szCs w:val="18"/>
              </w:rPr>
            </w:pPr>
            <w:r>
              <w:rPr>
                <w:rFonts w:hint="eastAsia" w:ascii="宋体" w:hAnsi="宋体" w:cs="宋体"/>
                <w:sz w:val="18"/>
                <w:szCs w:val="18"/>
              </w:rPr>
              <w:t>MFZ/ABC5</w:t>
            </w:r>
          </w:p>
        </w:tc>
        <w:tc>
          <w:tcPr>
            <w:tcW w:w="1270" w:type="dxa"/>
            <w:tcBorders>
              <w:top w:val="single" w:color="auto" w:sz="4" w:space="0"/>
              <w:left w:val="single" w:color="auto" w:sz="4" w:space="0"/>
              <w:bottom w:val="single" w:color="auto" w:sz="4" w:space="0"/>
              <w:right w:val="single" w:color="auto" w:sz="4" w:space="0"/>
            </w:tcBorders>
            <w:shd w:val="clear" w:color="auto" w:fill="auto"/>
            <w:noWrap/>
          </w:tcPr>
          <w:p>
            <w:pPr>
              <w:spacing w:line="360" w:lineRule="auto"/>
              <w:jc w:val="center"/>
              <w:rPr>
                <w:rFonts w:ascii="宋体" w:hAnsi="宋体" w:cs="宋体"/>
                <w:sz w:val="18"/>
                <w:szCs w:val="18"/>
              </w:rPr>
            </w:pPr>
            <w:r>
              <w:rPr>
                <w:rFonts w:hint="eastAsia" w:ascii="宋体" w:hAnsi="宋体" w:cs="宋体"/>
                <w:sz w:val="18"/>
                <w:szCs w:val="18"/>
              </w:rPr>
              <w:t>火灾扑救</w:t>
            </w:r>
          </w:p>
        </w:tc>
        <w:tc>
          <w:tcPr>
            <w:tcW w:w="1080" w:type="dxa"/>
            <w:tcBorders>
              <w:top w:val="single" w:color="auto" w:sz="4" w:space="0"/>
              <w:left w:val="single" w:color="auto" w:sz="4" w:space="0"/>
              <w:bottom w:val="single" w:color="auto" w:sz="4" w:space="0"/>
              <w:right w:val="single" w:color="auto" w:sz="4" w:space="0"/>
            </w:tcBorders>
            <w:shd w:val="clear" w:color="auto" w:fill="auto"/>
            <w:noWrap/>
          </w:tcPr>
          <w:p>
            <w:pPr>
              <w:spacing w:line="340" w:lineRule="exact"/>
              <w:jc w:val="center"/>
              <w:rPr>
                <w:rFonts w:ascii="宋体" w:hAnsi="宋体" w:cs="宋体"/>
                <w:sz w:val="18"/>
                <w:szCs w:val="18"/>
              </w:rPr>
            </w:pPr>
            <w:r>
              <w:rPr>
                <w:rFonts w:hint="eastAsia" w:ascii="宋体" w:hAnsi="宋体" w:cs="宋体"/>
                <w:sz w:val="18"/>
                <w:szCs w:val="18"/>
              </w:rPr>
              <w:t>2</w:t>
            </w:r>
          </w:p>
        </w:tc>
        <w:tc>
          <w:tcPr>
            <w:tcW w:w="159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宋体" w:hAnsi="宋体" w:cs="宋体"/>
                <w:sz w:val="18"/>
                <w:szCs w:val="18"/>
              </w:rPr>
            </w:pPr>
            <w:r>
              <w:rPr>
                <w:rFonts w:hint="eastAsia" w:cs="宋体"/>
                <w:sz w:val="18"/>
                <w:szCs w:val="18"/>
              </w:rPr>
              <w:t>空压机房</w:t>
            </w:r>
          </w:p>
        </w:tc>
      </w:tr>
    </w:tbl>
    <w:p>
      <w:pPr>
        <w:widowControl/>
        <w:spacing w:line="360" w:lineRule="auto"/>
        <w:textAlignment w:val="baseline"/>
        <w:rPr>
          <w:rFonts w:ascii="宋体" w:hAnsi="宋体"/>
          <w:sz w:val="24"/>
        </w:rPr>
      </w:pPr>
    </w:p>
    <w:p>
      <w:pPr>
        <w:pStyle w:val="2"/>
        <w:numPr>
          <w:ilvl w:val="0"/>
          <w:numId w:val="4"/>
        </w:numPr>
        <w:spacing w:before="0" w:after="0" w:line="25" w:lineRule="atLeast"/>
        <w:rPr>
          <w:rFonts w:ascii="宋体" w:hAnsi="宋体"/>
          <w:sz w:val="30"/>
          <w:szCs w:val="30"/>
        </w:rPr>
      </w:pPr>
      <w:bookmarkStart w:id="102" w:name="_Toc523396145"/>
      <w:r>
        <w:rPr>
          <w:rFonts w:hint="eastAsia" w:ascii="宋体" w:hAnsi="宋体"/>
          <w:sz w:val="30"/>
          <w:szCs w:val="30"/>
        </w:rPr>
        <w:t>自评标准的适应性分析情况</w:t>
      </w:r>
      <w:bookmarkEnd w:id="100"/>
      <w:bookmarkEnd w:id="101"/>
      <w:bookmarkEnd w:id="102"/>
    </w:p>
    <w:p>
      <w:pPr>
        <w:adjustRightInd w:val="0"/>
        <w:snapToGrid w:val="0"/>
        <w:spacing w:line="360" w:lineRule="auto"/>
        <w:rPr>
          <w:rFonts w:ascii="宋体" w:hAnsi="宋体"/>
          <w:bCs/>
          <w:snapToGrid w:val="0"/>
          <w:kern w:val="0"/>
          <w:sz w:val="24"/>
        </w:rPr>
      </w:pPr>
      <w:r>
        <w:rPr>
          <w:rFonts w:hint="eastAsia" w:ascii="宋体" w:hAnsi="宋体"/>
          <w:bCs/>
          <w:snapToGrid w:val="0"/>
          <w:kern w:val="0"/>
          <w:sz w:val="24"/>
        </w:rPr>
        <w:t xml:space="preserve">     1、</w:t>
      </w:r>
      <w:r>
        <w:rPr>
          <w:rFonts w:hint="eastAsia" w:ascii="宋体" w:hAnsi="宋体"/>
          <w:sz w:val="24"/>
        </w:rPr>
        <w:t>本公司从事危化品生产，涉及安全生产行政许可,证书编号（鄂）WH安许证【</w:t>
      </w:r>
      <w:r>
        <w:rPr>
          <w:rFonts w:hint="eastAsia" w:ascii="宋体" w:hAnsi="宋体"/>
          <w:sz w:val="24"/>
          <w:lang w:val="en-US" w:eastAsia="zh-CN"/>
        </w:rPr>
        <w:t>2021</w:t>
      </w:r>
      <w:r>
        <w:rPr>
          <w:rFonts w:hint="eastAsia" w:ascii="宋体" w:hAnsi="宋体"/>
          <w:sz w:val="24"/>
        </w:rPr>
        <w:t>】</w:t>
      </w:r>
      <w:r>
        <w:rPr>
          <w:rFonts w:hint="eastAsia" w:ascii="宋体" w:hAnsi="宋体"/>
          <w:sz w:val="24"/>
          <w:lang w:val="en-US" w:eastAsia="zh-CN"/>
        </w:rPr>
        <w:t>1078</w:t>
      </w:r>
      <w:r>
        <w:rPr>
          <w:rFonts w:hint="eastAsia" w:ascii="宋体" w:hAnsi="宋体"/>
          <w:sz w:val="24"/>
        </w:rPr>
        <w:t>号,有效期从20</w:t>
      </w:r>
      <w:r>
        <w:rPr>
          <w:rFonts w:hint="eastAsia" w:ascii="宋体" w:hAnsi="宋体"/>
          <w:sz w:val="24"/>
          <w:lang w:val="en-US" w:eastAsia="zh-CN"/>
        </w:rPr>
        <w:t>22</w:t>
      </w:r>
      <w:r>
        <w:rPr>
          <w:rFonts w:hint="eastAsia" w:ascii="宋体" w:hAnsi="宋体"/>
          <w:sz w:val="24"/>
        </w:rPr>
        <w:t>年</w:t>
      </w:r>
      <w:r>
        <w:rPr>
          <w:rFonts w:hint="eastAsia" w:ascii="宋体" w:hAnsi="宋体"/>
          <w:sz w:val="24"/>
          <w:lang w:val="en-US" w:eastAsia="zh-CN"/>
        </w:rPr>
        <w:t>01</w:t>
      </w:r>
      <w:r>
        <w:rPr>
          <w:rFonts w:hint="eastAsia" w:ascii="宋体" w:hAnsi="宋体"/>
          <w:sz w:val="24"/>
        </w:rPr>
        <w:t>月</w:t>
      </w:r>
      <w:r>
        <w:rPr>
          <w:rFonts w:hint="eastAsia" w:ascii="宋体" w:hAnsi="宋体"/>
          <w:sz w:val="24"/>
          <w:lang w:val="en-US" w:eastAsia="zh-CN"/>
        </w:rPr>
        <w:t>04</w:t>
      </w:r>
      <w:r>
        <w:rPr>
          <w:rFonts w:hint="eastAsia" w:ascii="宋体" w:hAnsi="宋体"/>
          <w:sz w:val="24"/>
        </w:rPr>
        <w:t>日至202</w:t>
      </w:r>
      <w:r>
        <w:rPr>
          <w:rFonts w:hint="eastAsia" w:ascii="宋体" w:hAnsi="宋体"/>
          <w:sz w:val="24"/>
          <w:lang w:val="en-US" w:eastAsia="zh-CN"/>
        </w:rPr>
        <w:t>5</w:t>
      </w:r>
      <w:r>
        <w:rPr>
          <w:rFonts w:hint="eastAsia" w:ascii="宋体" w:hAnsi="宋体"/>
          <w:sz w:val="24"/>
        </w:rPr>
        <w:t>年</w:t>
      </w:r>
      <w:r>
        <w:rPr>
          <w:rFonts w:hint="eastAsia" w:ascii="宋体" w:hAnsi="宋体"/>
          <w:sz w:val="24"/>
          <w:lang w:val="en-US" w:eastAsia="zh-CN"/>
        </w:rPr>
        <w:t>01</w:t>
      </w:r>
      <w:r>
        <w:rPr>
          <w:rFonts w:hint="eastAsia" w:ascii="宋体" w:hAnsi="宋体"/>
          <w:sz w:val="24"/>
        </w:rPr>
        <w:t>月</w:t>
      </w:r>
      <w:r>
        <w:rPr>
          <w:rFonts w:hint="eastAsia" w:ascii="宋体" w:hAnsi="宋体"/>
          <w:sz w:val="24"/>
          <w:lang w:val="en-US" w:eastAsia="zh-CN"/>
        </w:rPr>
        <w:t>03</w:t>
      </w:r>
      <w:r>
        <w:rPr>
          <w:rFonts w:hint="eastAsia" w:ascii="宋体" w:hAnsi="宋体"/>
          <w:sz w:val="24"/>
        </w:rPr>
        <w:t>日；</w:t>
      </w:r>
    </w:p>
    <w:p>
      <w:pPr>
        <w:adjustRightInd w:val="0"/>
        <w:snapToGrid w:val="0"/>
        <w:spacing w:line="360" w:lineRule="auto"/>
        <w:ind w:firstLine="480" w:firstLineChars="200"/>
        <w:rPr>
          <w:rFonts w:ascii="宋体" w:hAnsi="宋体"/>
          <w:bCs/>
          <w:snapToGrid w:val="0"/>
          <w:kern w:val="0"/>
          <w:sz w:val="24"/>
        </w:rPr>
      </w:pPr>
      <w:r>
        <w:rPr>
          <w:rFonts w:hint="eastAsia" w:ascii="宋体" w:hAnsi="宋体"/>
          <w:bCs/>
          <w:snapToGrid w:val="0"/>
          <w:kern w:val="0"/>
          <w:sz w:val="24"/>
        </w:rPr>
        <w:t xml:space="preserve"> 2、</w:t>
      </w:r>
      <w:r>
        <w:rPr>
          <w:rFonts w:hAnsi="宋体"/>
          <w:sz w:val="24"/>
        </w:rPr>
        <w:t>本公司在申请评审的前</w:t>
      </w:r>
      <w:r>
        <w:rPr>
          <w:rFonts w:hint="eastAsia" w:hAnsi="宋体"/>
          <w:sz w:val="24"/>
        </w:rPr>
        <w:t>一</w:t>
      </w:r>
      <w:r>
        <w:rPr>
          <w:rFonts w:hAnsi="宋体"/>
          <w:sz w:val="24"/>
        </w:rPr>
        <w:t>年内，未发生安全生产死亡事故；</w:t>
      </w:r>
    </w:p>
    <w:p>
      <w:pPr>
        <w:adjustRightInd w:val="0"/>
        <w:snapToGrid w:val="0"/>
        <w:spacing w:line="360" w:lineRule="auto"/>
        <w:ind w:firstLine="480" w:firstLineChars="200"/>
        <w:rPr>
          <w:rFonts w:ascii="宋体" w:hAnsi="宋体"/>
          <w:bCs/>
          <w:snapToGrid w:val="0"/>
          <w:color w:val="auto"/>
          <w:kern w:val="0"/>
          <w:sz w:val="24"/>
        </w:rPr>
      </w:pPr>
      <w:r>
        <w:rPr>
          <w:rFonts w:hint="eastAsia" w:ascii="宋体" w:hAnsi="宋体"/>
          <w:bCs/>
          <w:snapToGrid w:val="0"/>
          <w:kern w:val="0"/>
          <w:sz w:val="24"/>
        </w:rPr>
        <w:t xml:space="preserve"> 3</w:t>
      </w:r>
      <w:r>
        <w:rPr>
          <w:rFonts w:hint="eastAsia" w:ascii="宋体" w:hAnsi="宋体"/>
          <w:bCs/>
          <w:snapToGrid w:val="0"/>
          <w:color w:val="auto"/>
          <w:kern w:val="0"/>
          <w:sz w:val="24"/>
        </w:rPr>
        <w:t>、本公司建立并有效运行安全生产隐患排查治理体系，安环部通过定期自查，限期自改，及时</w:t>
      </w:r>
      <w:r>
        <w:rPr>
          <w:rFonts w:hint="eastAsia" w:ascii="宋体" w:hAnsi="宋体"/>
          <w:bCs/>
          <w:snapToGrid w:val="0"/>
          <w:color w:val="auto"/>
          <w:kern w:val="0"/>
          <w:sz w:val="24"/>
          <w:lang w:eastAsia="zh-CN"/>
        </w:rPr>
        <w:t>形成闭环</w:t>
      </w:r>
      <w:r>
        <w:rPr>
          <w:rFonts w:hint="eastAsia" w:ascii="宋体" w:hAnsi="宋体"/>
          <w:bCs/>
          <w:snapToGrid w:val="0"/>
          <w:color w:val="auto"/>
          <w:kern w:val="0"/>
          <w:sz w:val="24"/>
        </w:rPr>
        <w:t>管理要求,详情见第二章第六项。</w:t>
      </w:r>
    </w:p>
    <w:p>
      <w:pPr>
        <w:adjustRightInd w:val="0"/>
        <w:snapToGrid w:val="0"/>
        <w:spacing w:line="360" w:lineRule="auto"/>
        <w:ind w:firstLine="480" w:firstLineChars="200"/>
        <w:rPr>
          <w:rFonts w:ascii="宋体" w:hAnsi="宋体"/>
          <w:kern w:val="0"/>
          <w:sz w:val="24"/>
        </w:rPr>
      </w:pPr>
      <w:r>
        <w:rPr>
          <w:rFonts w:hint="eastAsia" w:ascii="宋体" w:hAnsi="宋体"/>
          <w:sz w:val="24"/>
        </w:rPr>
        <w:t xml:space="preserve"> 4、</w:t>
      </w:r>
      <w:r>
        <w:rPr>
          <w:rFonts w:hint="eastAsia" w:ascii="宋体" w:hAnsi="宋体"/>
          <w:snapToGrid w:val="0"/>
          <w:kern w:val="0"/>
          <w:sz w:val="24"/>
        </w:rPr>
        <w:t>本公司主要</w:t>
      </w:r>
      <w:r>
        <w:rPr>
          <w:rFonts w:hint="eastAsia" w:ascii="宋体" w:hAnsi="宋体"/>
          <w:sz w:val="24"/>
        </w:rPr>
        <w:t>从事邻氯苯腈生产，</w:t>
      </w:r>
      <w:r>
        <w:rPr>
          <w:rFonts w:hint="eastAsia" w:ascii="宋体" w:hAnsi="宋体"/>
          <w:snapToGrid w:val="0"/>
          <w:kern w:val="0"/>
          <w:sz w:val="24"/>
        </w:rPr>
        <w:t>使用的原料主要有邻氯甲苯、氯化铵</w:t>
      </w:r>
      <w:r>
        <w:rPr>
          <w:rFonts w:hint="eastAsia" w:ascii="宋体" w:hAnsi="宋体"/>
          <w:bCs/>
          <w:kern w:val="44"/>
          <w:sz w:val="24"/>
        </w:rPr>
        <w:t>等</w:t>
      </w:r>
      <w:r>
        <w:rPr>
          <w:rFonts w:hint="eastAsia" w:ascii="宋体" w:hAnsi="宋体"/>
          <w:snapToGrid w:val="0"/>
          <w:kern w:val="0"/>
          <w:sz w:val="24"/>
        </w:rPr>
        <w:t>。根据《</w:t>
      </w:r>
      <w:r>
        <w:rPr>
          <w:rFonts w:hint="eastAsia" w:ascii="宋体" w:hAnsi="宋体"/>
          <w:bCs/>
          <w:snapToGrid w:val="0"/>
          <w:kern w:val="0"/>
          <w:sz w:val="24"/>
        </w:rPr>
        <w:t>国民经济行业分类与代码》（GB/4754-2011）规定，本企业属于危化品使用行业，故满足《国家安全监管总局关于印发企业安全生产标准化评审工作管理办法（试行）的通知》（安监总办〔2014〕49号）、</w:t>
      </w:r>
      <w:r>
        <w:rPr>
          <w:rFonts w:hint="eastAsia" w:ascii="宋体" w:hAnsi="宋体"/>
          <w:kern w:val="0"/>
          <w:sz w:val="24"/>
        </w:rPr>
        <w:t>《国家安全监管总局关于印发危险化学品从业单位安全生产标准化评审标准的通知》（安监总管三〔2011〕93号）</w:t>
      </w:r>
      <w:r>
        <w:rPr>
          <w:rFonts w:hint="eastAsia" w:ascii="宋体" w:hAnsi="宋体"/>
          <w:bCs/>
          <w:snapToGrid w:val="0"/>
          <w:kern w:val="0"/>
          <w:sz w:val="24"/>
        </w:rPr>
        <w:t>的适用范围。故</w:t>
      </w:r>
      <w:r>
        <w:rPr>
          <w:rFonts w:hint="eastAsia" w:ascii="宋体" w:hAnsi="宋体"/>
          <w:snapToGrid w:val="0"/>
          <w:kern w:val="0"/>
          <w:sz w:val="24"/>
        </w:rPr>
        <w:t>本次自评选用的标准为</w:t>
      </w:r>
      <w:r>
        <w:rPr>
          <w:rFonts w:hint="eastAsia" w:ascii="宋体" w:hAnsi="宋体"/>
          <w:kern w:val="0"/>
          <w:sz w:val="24"/>
        </w:rPr>
        <w:t>《国家安全监管总局关于印发危险化学品从业单位安全生产标准化评审标准的通知》（安监总管三〔2011〕93号）</w:t>
      </w:r>
      <w:r>
        <w:rPr>
          <w:rFonts w:hint="eastAsia" w:ascii="宋体" w:hAnsi="宋体"/>
          <w:bCs/>
          <w:snapToGrid w:val="0"/>
          <w:kern w:val="0"/>
          <w:sz w:val="24"/>
        </w:rPr>
        <w:t>中的评分标准</w:t>
      </w:r>
      <w:r>
        <w:rPr>
          <w:rFonts w:hint="eastAsia" w:ascii="宋体" w:hAnsi="宋体"/>
          <w:snapToGrid w:val="0"/>
          <w:kern w:val="0"/>
          <w:sz w:val="24"/>
        </w:rPr>
        <w:t>。</w:t>
      </w:r>
    </w:p>
    <w:p>
      <w:pPr>
        <w:pStyle w:val="2"/>
        <w:spacing w:before="0" w:after="0" w:line="25" w:lineRule="atLeast"/>
        <w:rPr>
          <w:rFonts w:ascii="宋体" w:hAnsi="宋体"/>
          <w:sz w:val="30"/>
          <w:szCs w:val="30"/>
        </w:rPr>
      </w:pPr>
      <w:bookmarkStart w:id="103" w:name="_Toc523396146"/>
      <w:bookmarkStart w:id="104" w:name="_Toc432195107"/>
      <w:bookmarkStart w:id="105" w:name="_Toc18926"/>
      <w:r>
        <w:rPr>
          <w:rFonts w:hint="eastAsia" w:ascii="宋体" w:hAnsi="宋体"/>
          <w:sz w:val="30"/>
          <w:szCs w:val="30"/>
        </w:rPr>
        <w:t>四、自评程序及方法</w:t>
      </w:r>
      <w:bookmarkEnd w:id="103"/>
      <w:bookmarkEnd w:id="104"/>
      <w:bookmarkEnd w:id="105"/>
    </w:p>
    <w:p>
      <w:pPr>
        <w:pStyle w:val="3"/>
        <w:spacing w:before="0" w:after="0" w:line="25" w:lineRule="atLeast"/>
        <w:rPr>
          <w:rFonts w:ascii="宋体" w:hAnsi="宋体"/>
          <w:sz w:val="28"/>
          <w:szCs w:val="28"/>
        </w:rPr>
      </w:pPr>
      <w:bookmarkStart w:id="106" w:name="_Toc12407"/>
      <w:bookmarkStart w:id="107" w:name="_Toc523396147"/>
      <w:bookmarkStart w:id="108" w:name="_Toc432195108"/>
      <w:r>
        <w:rPr>
          <w:rFonts w:hint="eastAsia" w:ascii="宋体" w:hAnsi="宋体"/>
          <w:sz w:val="28"/>
          <w:szCs w:val="28"/>
        </w:rPr>
        <w:t>（一）自评范围</w:t>
      </w:r>
      <w:bookmarkEnd w:id="106"/>
      <w:bookmarkEnd w:id="107"/>
      <w:bookmarkEnd w:id="108"/>
    </w:p>
    <w:p>
      <w:pPr>
        <w:adjustRightInd w:val="0"/>
        <w:snapToGrid w:val="0"/>
        <w:spacing w:line="360" w:lineRule="auto"/>
        <w:ind w:firstLine="480" w:firstLineChars="200"/>
        <w:rPr>
          <w:rFonts w:ascii="宋体" w:hAnsi="宋体"/>
          <w:bCs/>
          <w:snapToGrid w:val="0"/>
          <w:kern w:val="0"/>
          <w:sz w:val="24"/>
        </w:rPr>
      </w:pPr>
      <w:bookmarkStart w:id="109" w:name="_Toc29892"/>
      <w:bookmarkStart w:id="110" w:name="_Toc22959"/>
      <w:bookmarkStart w:id="111" w:name="_Toc523396148"/>
      <w:bookmarkStart w:id="112" w:name="_Toc27032"/>
      <w:bookmarkStart w:id="113" w:name="_Toc432195109"/>
      <w:r>
        <w:rPr>
          <w:rFonts w:hint="eastAsia" w:ascii="宋体" w:hAnsi="宋体"/>
          <w:bCs/>
          <w:snapToGrid w:val="0"/>
          <w:kern w:val="0"/>
          <w:sz w:val="24"/>
        </w:rPr>
        <w:t>本公司内所有生产经营活动，包括公司相关安全管理制度、法律法规、顾客、供应方和承包方提供的材料、技术、成品、进入生产现场的所有人员、所有机械设备和机具、在公司管理范围内的办公及生活的设施及活动进行自评。</w:t>
      </w:r>
      <w:bookmarkEnd w:id="109"/>
      <w:bookmarkEnd w:id="110"/>
      <w:bookmarkEnd w:id="111"/>
      <w:bookmarkEnd w:id="112"/>
    </w:p>
    <w:p>
      <w:pPr>
        <w:pStyle w:val="3"/>
        <w:spacing w:before="0" w:after="0" w:line="25" w:lineRule="atLeast"/>
        <w:rPr>
          <w:rFonts w:ascii="宋体" w:hAnsi="宋体"/>
          <w:sz w:val="28"/>
          <w:szCs w:val="28"/>
        </w:rPr>
      </w:pPr>
      <w:bookmarkStart w:id="114" w:name="_Toc523396149"/>
      <w:bookmarkStart w:id="115" w:name="_Toc25297"/>
      <w:r>
        <w:rPr>
          <w:rFonts w:hint="eastAsia" w:ascii="宋体" w:hAnsi="宋体"/>
          <w:sz w:val="28"/>
          <w:szCs w:val="28"/>
        </w:rPr>
        <w:t>（二）自评依据</w:t>
      </w:r>
      <w:bookmarkEnd w:id="113"/>
      <w:bookmarkEnd w:id="114"/>
      <w:bookmarkEnd w:id="115"/>
    </w:p>
    <w:p>
      <w:pPr>
        <w:adjustRightInd w:val="0"/>
        <w:snapToGrid w:val="0"/>
        <w:spacing w:line="360" w:lineRule="auto"/>
        <w:ind w:firstLine="480" w:firstLineChars="200"/>
        <w:rPr>
          <w:rFonts w:ascii="宋体" w:hAnsi="宋体"/>
          <w:bCs/>
          <w:snapToGrid w:val="0"/>
          <w:kern w:val="0"/>
          <w:sz w:val="24"/>
        </w:rPr>
      </w:pPr>
      <w:bookmarkStart w:id="116" w:name="OLE_LINK3"/>
      <w:r>
        <w:rPr>
          <w:rFonts w:hint="eastAsia" w:ascii="宋体" w:hAnsi="宋体"/>
          <w:bCs/>
          <w:snapToGrid w:val="0"/>
          <w:kern w:val="0"/>
          <w:sz w:val="24"/>
        </w:rPr>
        <w:t>1、《</w:t>
      </w:r>
      <w:bookmarkStart w:id="117" w:name="OLE_LINK6"/>
      <w:bookmarkStart w:id="118" w:name="OLE_LINK5"/>
      <w:r>
        <w:rPr>
          <w:rFonts w:hint="eastAsia" w:ascii="宋体" w:hAnsi="宋体"/>
          <w:bCs/>
          <w:snapToGrid w:val="0"/>
          <w:kern w:val="0"/>
          <w:sz w:val="24"/>
        </w:rPr>
        <w:t>中华人民共和国安全生产法</w:t>
      </w:r>
      <w:bookmarkEnd w:id="117"/>
      <w:bookmarkEnd w:id="118"/>
      <w:r>
        <w:rPr>
          <w:rFonts w:hint="eastAsia" w:ascii="宋体" w:hAnsi="宋体"/>
          <w:bCs/>
          <w:snapToGrid w:val="0"/>
          <w:kern w:val="0"/>
          <w:sz w:val="24"/>
        </w:rPr>
        <w:t>》中华人民共和国主席令〔</w:t>
      </w:r>
      <w:r>
        <w:rPr>
          <w:rFonts w:ascii="宋体" w:hAnsi="宋体"/>
          <w:bCs/>
          <w:snapToGrid w:val="0"/>
          <w:kern w:val="0"/>
          <w:sz w:val="24"/>
        </w:rPr>
        <w:t>20</w:t>
      </w:r>
      <w:r>
        <w:rPr>
          <w:rFonts w:hint="eastAsia" w:ascii="宋体" w:hAnsi="宋体"/>
          <w:bCs/>
          <w:snapToGrid w:val="0"/>
          <w:kern w:val="0"/>
          <w:sz w:val="24"/>
          <w:lang w:val="en-US" w:eastAsia="zh-CN"/>
        </w:rPr>
        <w:t>21</w:t>
      </w:r>
      <w:r>
        <w:rPr>
          <w:rFonts w:hint="eastAsia" w:ascii="宋体" w:hAnsi="宋体"/>
          <w:bCs/>
          <w:snapToGrid w:val="0"/>
          <w:kern w:val="0"/>
          <w:sz w:val="24"/>
        </w:rPr>
        <w:t>〕第</w:t>
      </w:r>
      <w:r>
        <w:rPr>
          <w:rFonts w:hint="eastAsia" w:ascii="宋体" w:hAnsi="宋体"/>
          <w:bCs/>
          <w:snapToGrid w:val="0"/>
          <w:kern w:val="0"/>
          <w:sz w:val="24"/>
          <w:lang w:val="en-US" w:eastAsia="zh-CN"/>
        </w:rPr>
        <w:t>88</w:t>
      </w:r>
      <w:r>
        <w:rPr>
          <w:rFonts w:hint="eastAsia" w:ascii="宋体" w:hAnsi="宋体"/>
          <w:bCs/>
          <w:snapToGrid w:val="0"/>
          <w:kern w:val="0"/>
          <w:sz w:val="24"/>
        </w:rPr>
        <w:t>号；</w:t>
      </w:r>
    </w:p>
    <w:p>
      <w:pPr>
        <w:adjustRightInd w:val="0"/>
        <w:snapToGrid w:val="0"/>
        <w:spacing w:line="360" w:lineRule="auto"/>
        <w:ind w:firstLine="480" w:firstLineChars="200"/>
        <w:rPr>
          <w:rFonts w:ascii="宋体" w:hAnsi="宋体"/>
          <w:bCs/>
          <w:snapToGrid w:val="0"/>
          <w:kern w:val="0"/>
          <w:sz w:val="24"/>
        </w:rPr>
      </w:pPr>
      <w:r>
        <w:rPr>
          <w:rFonts w:hint="eastAsia" w:ascii="宋体" w:hAnsi="宋体"/>
          <w:bCs/>
          <w:snapToGrid w:val="0"/>
          <w:kern w:val="0"/>
          <w:sz w:val="24"/>
        </w:rPr>
        <w:t>2、《中华人民共和国职业病防治法》中华人民共和国主席令〔</w:t>
      </w:r>
      <w:r>
        <w:rPr>
          <w:rFonts w:ascii="宋体" w:hAnsi="宋体"/>
          <w:bCs/>
          <w:snapToGrid w:val="0"/>
          <w:kern w:val="0"/>
          <w:sz w:val="24"/>
        </w:rPr>
        <w:t>201</w:t>
      </w:r>
      <w:r>
        <w:rPr>
          <w:rFonts w:hint="eastAsia" w:ascii="宋体" w:hAnsi="宋体"/>
          <w:bCs/>
          <w:snapToGrid w:val="0"/>
          <w:kern w:val="0"/>
          <w:sz w:val="24"/>
        </w:rPr>
        <w:t>8〕第24号；</w:t>
      </w:r>
    </w:p>
    <w:p>
      <w:pPr>
        <w:adjustRightInd w:val="0"/>
        <w:snapToGrid w:val="0"/>
        <w:spacing w:line="360" w:lineRule="auto"/>
        <w:ind w:firstLine="480" w:firstLineChars="200"/>
        <w:rPr>
          <w:rFonts w:ascii="宋体" w:hAnsi="宋体"/>
          <w:bCs/>
          <w:snapToGrid w:val="0"/>
          <w:kern w:val="0"/>
          <w:sz w:val="24"/>
        </w:rPr>
      </w:pPr>
      <w:r>
        <w:rPr>
          <w:rFonts w:hint="eastAsia" w:ascii="宋体" w:hAnsi="宋体"/>
          <w:bCs/>
          <w:snapToGrid w:val="0"/>
          <w:kern w:val="0"/>
          <w:sz w:val="24"/>
        </w:rPr>
        <w:t>3、《</w:t>
      </w:r>
      <w:bookmarkStart w:id="119" w:name="OLE_LINK7"/>
      <w:bookmarkStart w:id="120" w:name="OLE_LINK8"/>
      <w:r>
        <w:rPr>
          <w:rFonts w:hint="eastAsia" w:ascii="宋体" w:hAnsi="宋体"/>
          <w:bCs/>
          <w:snapToGrid w:val="0"/>
          <w:kern w:val="0"/>
          <w:sz w:val="24"/>
        </w:rPr>
        <w:t>危险化学品安全管理条例</w:t>
      </w:r>
      <w:bookmarkEnd w:id="119"/>
      <w:bookmarkEnd w:id="120"/>
      <w:r>
        <w:rPr>
          <w:rFonts w:hint="eastAsia" w:ascii="宋体" w:hAnsi="宋体"/>
          <w:bCs/>
          <w:snapToGrid w:val="0"/>
          <w:kern w:val="0"/>
          <w:sz w:val="24"/>
        </w:rPr>
        <w:t>》国务院令〔</w:t>
      </w:r>
      <w:r>
        <w:rPr>
          <w:rFonts w:ascii="宋体" w:hAnsi="宋体"/>
          <w:bCs/>
          <w:snapToGrid w:val="0"/>
          <w:kern w:val="0"/>
          <w:sz w:val="24"/>
        </w:rPr>
        <w:t>201</w:t>
      </w:r>
      <w:r>
        <w:rPr>
          <w:rFonts w:hint="eastAsia" w:ascii="宋体" w:hAnsi="宋体"/>
          <w:bCs/>
          <w:snapToGrid w:val="0"/>
          <w:kern w:val="0"/>
          <w:sz w:val="24"/>
        </w:rPr>
        <w:t>3〕第645号；</w:t>
      </w:r>
    </w:p>
    <w:p>
      <w:pPr>
        <w:adjustRightInd w:val="0"/>
        <w:snapToGrid w:val="0"/>
        <w:spacing w:line="360" w:lineRule="auto"/>
        <w:ind w:firstLine="480" w:firstLineChars="200"/>
        <w:rPr>
          <w:rFonts w:ascii="宋体" w:hAnsi="宋体"/>
          <w:bCs/>
          <w:snapToGrid w:val="0"/>
          <w:kern w:val="0"/>
          <w:sz w:val="24"/>
        </w:rPr>
      </w:pPr>
      <w:r>
        <w:rPr>
          <w:rFonts w:hint="eastAsia" w:ascii="宋体" w:hAnsi="宋体"/>
          <w:bCs/>
          <w:snapToGrid w:val="0"/>
          <w:kern w:val="0"/>
          <w:sz w:val="24"/>
        </w:rPr>
        <w:t>4、《国务院关于进一步加强企业安全生产工作的通知》国发〔</w:t>
      </w:r>
      <w:r>
        <w:rPr>
          <w:rFonts w:ascii="宋体" w:hAnsi="宋体"/>
          <w:bCs/>
          <w:snapToGrid w:val="0"/>
          <w:kern w:val="0"/>
          <w:sz w:val="24"/>
        </w:rPr>
        <w:t>2010</w:t>
      </w:r>
      <w:r>
        <w:rPr>
          <w:rFonts w:hint="eastAsia" w:ascii="宋体" w:hAnsi="宋体"/>
          <w:bCs/>
          <w:snapToGrid w:val="0"/>
          <w:kern w:val="0"/>
          <w:sz w:val="24"/>
        </w:rPr>
        <w:t>〕</w:t>
      </w:r>
      <w:r>
        <w:rPr>
          <w:rFonts w:ascii="宋体" w:hAnsi="宋体"/>
          <w:bCs/>
          <w:snapToGrid w:val="0"/>
          <w:kern w:val="0"/>
          <w:sz w:val="24"/>
        </w:rPr>
        <w:t>23</w:t>
      </w:r>
      <w:r>
        <w:rPr>
          <w:rFonts w:hint="eastAsia" w:ascii="宋体" w:hAnsi="宋体"/>
          <w:bCs/>
          <w:snapToGrid w:val="0"/>
          <w:kern w:val="0"/>
          <w:sz w:val="24"/>
        </w:rPr>
        <w:t>号；</w:t>
      </w:r>
    </w:p>
    <w:p>
      <w:pPr>
        <w:adjustRightInd w:val="0"/>
        <w:snapToGrid w:val="0"/>
        <w:spacing w:line="360" w:lineRule="auto"/>
        <w:ind w:firstLine="480" w:firstLineChars="200"/>
        <w:rPr>
          <w:rFonts w:ascii="宋体" w:hAnsi="宋体"/>
          <w:bCs/>
          <w:snapToGrid w:val="0"/>
          <w:kern w:val="0"/>
          <w:sz w:val="24"/>
        </w:rPr>
      </w:pPr>
      <w:r>
        <w:rPr>
          <w:rFonts w:hint="eastAsia" w:ascii="宋体" w:hAnsi="宋体"/>
          <w:bCs/>
          <w:snapToGrid w:val="0"/>
          <w:kern w:val="0"/>
          <w:sz w:val="24"/>
        </w:rPr>
        <w:t>5、《</w:t>
      </w:r>
      <w:bookmarkStart w:id="121" w:name="OLE_LINK10"/>
      <w:bookmarkStart w:id="122" w:name="OLE_LINK9"/>
      <w:r>
        <w:rPr>
          <w:rFonts w:hint="eastAsia" w:ascii="宋体" w:hAnsi="宋体"/>
          <w:bCs/>
          <w:snapToGrid w:val="0"/>
          <w:kern w:val="0"/>
          <w:sz w:val="24"/>
        </w:rPr>
        <w:t>企业安全生产标准化基本规范</w:t>
      </w:r>
      <w:bookmarkEnd w:id="121"/>
      <w:bookmarkEnd w:id="122"/>
      <w:r>
        <w:rPr>
          <w:rFonts w:hint="eastAsia" w:ascii="宋体" w:hAnsi="宋体"/>
          <w:bCs/>
          <w:snapToGrid w:val="0"/>
          <w:kern w:val="0"/>
          <w:sz w:val="24"/>
        </w:rPr>
        <w:t>》（</w:t>
      </w:r>
      <w:r>
        <w:rPr>
          <w:rFonts w:ascii="宋体" w:hAnsi="宋体"/>
          <w:bCs/>
          <w:snapToGrid w:val="0"/>
          <w:kern w:val="0"/>
          <w:sz w:val="24"/>
        </w:rPr>
        <w:t>G</w:t>
      </w:r>
      <w:r>
        <w:rPr>
          <w:rFonts w:hint="eastAsia" w:ascii="宋体" w:hAnsi="宋体"/>
          <w:bCs/>
          <w:snapToGrid w:val="0"/>
          <w:kern w:val="0"/>
          <w:sz w:val="24"/>
        </w:rPr>
        <w:t>B</w:t>
      </w:r>
      <w:r>
        <w:rPr>
          <w:rFonts w:ascii="宋体" w:hAnsi="宋体"/>
          <w:bCs/>
          <w:snapToGrid w:val="0"/>
          <w:kern w:val="0"/>
          <w:sz w:val="24"/>
        </w:rPr>
        <w:t>/T33000-2016</w:t>
      </w:r>
      <w:r>
        <w:rPr>
          <w:rFonts w:hint="eastAsia" w:ascii="宋体" w:hAnsi="宋体"/>
          <w:bCs/>
          <w:snapToGrid w:val="0"/>
          <w:kern w:val="0"/>
          <w:sz w:val="24"/>
        </w:rPr>
        <w:t>）；</w:t>
      </w:r>
    </w:p>
    <w:p>
      <w:pPr>
        <w:adjustRightInd w:val="0"/>
        <w:snapToGrid w:val="0"/>
        <w:spacing w:line="360" w:lineRule="auto"/>
        <w:ind w:firstLine="480" w:firstLineChars="200"/>
        <w:rPr>
          <w:rFonts w:ascii="宋体" w:hAnsi="宋体"/>
          <w:bCs/>
          <w:snapToGrid w:val="0"/>
          <w:kern w:val="0"/>
          <w:sz w:val="24"/>
        </w:rPr>
      </w:pPr>
      <w:r>
        <w:rPr>
          <w:rFonts w:hint="eastAsia" w:ascii="宋体" w:hAnsi="宋体"/>
          <w:bCs/>
          <w:snapToGrid w:val="0"/>
          <w:kern w:val="0"/>
          <w:sz w:val="24"/>
        </w:rPr>
        <w:t>6、《</w:t>
      </w:r>
      <w:bookmarkStart w:id="123" w:name="OLE_LINK11"/>
      <w:bookmarkStart w:id="124" w:name="OLE_LINK12"/>
      <w:r>
        <w:rPr>
          <w:rFonts w:hint="eastAsia" w:ascii="宋体" w:hAnsi="宋体"/>
          <w:bCs/>
          <w:snapToGrid w:val="0"/>
          <w:kern w:val="0"/>
          <w:sz w:val="24"/>
        </w:rPr>
        <w:t>国民经济行业分类</w:t>
      </w:r>
      <w:bookmarkEnd w:id="123"/>
      <w:bookmarkEnd w:id="124"/>
      <w:r>
        <w:rPr>
          <w:rFonts w:hint="eastAsia" w:ascii="宋体" w:hAnsi="宋体"/>
          <w:bCs/>
          <w:snapToGrid w:val="0"/>
          <w:kern w:val="0"/>
          <w:sz w:val="24"/>
        </w:rPr>
        <w:t>》（</w:t>
      </w:r>
      <w:r>
        <w:rPr>
          <w:rFonts w:ascii="宋体" w:hAnsi="宋体"/>
          <w:bCs/>
          <w:snapToGrid w:val="0"/>
          <w:kern w:val="0"/>
          <w:sz w:val="24"/>
        </w:rPr>
        <w:t>GB/T4754-201</w:t>
      </w:r>
      <w:r>
        <w:rPr>
          <w:rFonts w:hint="eastAsia" w:ascii="宋体" w:hAnsi="宋体"/>
          <w:bCs/>
          <w:snapToGrid w:val="0"/>
          <w:kern w:val="0"/>
          <w:sz w:val="24"/>
        </w:rPr>
        <w:t>7）；</w:t>
      </w:r>
    </w:p>
    <w:p>
      <w:pPr>
        <w:adjustRightInd w:val="0"/>
        <w:snapToGrid w:val="0"/>
        <w:spacing w:line="360" w:lineRule="auto"/>
        <w:ind w:firstLine="480" w:firstLineChars="200"/>
        <w:rPr>
          <w:rFonts w:ascii="宋体" w:hAnsi="宋体"/>
          <w:bCs/>
          <w:snapToGrid w:val="0"/>
          <w:kern w:val="0"/>
          <w:sz w:val="24"/>
        </w:rPr>
      </w:pPr>
      <w:r>
        <w:rPr>
          <w:rFonts w:hint="eastAsia" w:ascii="宋体" w:hAnsi="宋体"/>
          <w:bCs/>
          <w:snapToGrid w:val="0"/>
          <w:kern w:val="0"/>
          <w:sz w:val="24"/>
        </w:rPr>
        <w:t>7、《</w:t>
      </w:r>
      <w:bookmarkStart w:id="125" w:name="OLE_LINK14"/>
      <w:bookmarkStart w:id="126" w:name="OLE_LINK13"/>
      <w:r>
        <w:rPr>
          <w:rFonts w:hint="eastAsia" w:ascii="宋体" w:hAnsi="宋体"/>
          <w:bCs/>
          <w:snapToGrid w:val="0"/>
          <w:kern w:val="0"/>
          <w:sz w:val="24"/>
        </w:rPr>
        <w:t>危险化学品重大危险源辨识</w:t>
      </w:r>
      <w:bookmarkEnd w:id="125"/>
      <w:bookmarkEnd w:id="126"/>
      <w:r>
        <w:rPr>
          <w:rFonts w:hint="eastAsia" w:ascii="宋体" w:hAnsi="宋体"/>
          <w:bCs/>
          <w:snapToGrid w:val="0"/>
          <w:kern w:val="0"/>
          <w:sz w:val="24"/>
        </w:rPr>
        <w:t>》</w:t>
      </w:r>
      <w:r>
        <w:rPr>
          <w:rFonts w:ascii="宋体" w:hAnsi="宋体"/>
          <w:bCs/>
          <w:snapToGrid w:val="0"/>
          <w:kern w:val="0"/>
          <w:sz w:val="24"/>
        </w:rPr>
        <w:t>(GB18218-20</w:t>
      </w:r>
      <w:r>
        <w:rPr>
          <w:rFonts w:hint="eastAsia" w:ascii="宋体" w:hAnsi="宋体"/>
          <w:bCs/>
          <w:snapToGrid w:val="0"/>
          <w:kern w:val="0"/>
          <w:sz w:val="24"/>
        </w:rPr>
        <w:t>18</w:t>
      </w:r>
      <w:r>
        <w:rPr>
          <w:rFonts w:ascii="宋体" w:hAnsi="宋体"/>
          <w:bCs/>
          <w:snapToGrid w:val="0"/>
          <w:kern w:val="0"/>
          <w:sz w:val="24"/>
        </w:rPr>
        <w:t>)</w:t>
      </w:r>
      <w:r>
        <w:rPr>
          <w:rFonts w:hint="eastAsia" w:ascii="宋体" w:hAnsi="宋体"/>
          <w:bCs/>
          <w:snapToGrid w:val="0"/>
          <w:kern w:val="0"/>
          <w:sz w:val="24"/>
        </w:rPr>
        <w:t>；</w:t>
      </w:r>
    </w:p>
    <w:p>
      <w:pPr>
        <w:adjustRightInd w:val="0"/>
        <w:snapToGrid w:val="0"/>
        <w:spacing w:line="360" w:lineRule="auto"/>
        <w:ind w:firstLine="480" w:firstLineChars="200"/>
        <w:rPr>
          <w:rFonts w:ascii="宋体" w:hAnsi="宋体"/>
          <w:bCs/>
          <w:snapToGrid w:val="0"/>
          <w:kern w:val="0"/>
          <w:sz w:val="24"/>
        </w:rPr>
      </w:pPr>
      <w:r>
        <w:rPr>
          <w:rFonts w:hint="eastAsia" w:ascii="宋体" w:hAnsi="宋体"/>
          <w:bCs/>
          <w:snapToGrid w:val="0"/>
          <w:kern w:val="0"/>
          <w:sz w:val="24"/>
        </w:rPr>
        <w:t>8、《</w:t>
      </w:r>
      <w:bookmarkStart w:id="127" w:name="OLE_LINK15"/>
      <w:bookmarkStart w:id="128" w:name="OLE_LINK16"/>
      <w:r>
        <w:rPr>
          <w:rFonts w:hint="eastAsia" w:ascii="宋体" w:hAnsi="宋体"/>
          <w:bCs/>
          <w:snapToGrid w:val="0"/>
          <w:kern w:val="0"/>
          <w:sz w:val="24"/>
        </w:rPr>
        <w:t>危险化学品从业单位安全标准化通用规范</w:t>
      </w:r>
      <w:bookmarkEnd w:id="127"/>
      <w:bookmarkEnd w:id="128"/>
      <w:r>
        <w:rPr>
          <w:rFonts w:hint="eastAsia" w:ascii="宋体" w:hAnsi="宋体"/>
          <w:bCs/>
          <w:snapToGrid w:val="0"/>
          <w:kern w:val="0"/>
          <w:sz w:val="24"/>
        </w:rPr>
        <w:t>》（</w:t>
      </w:r>
      <w:r>
        <w:rPr>
          <w:rFonts w:ascii="宋体" w:hAnsi="宋体"/>
          <w:bCs/>
          <w:snapToGrid w:val="0"/>
          <w:kern w:val="0"/>
          <w:sz w:val="24"/>
        </w:rPr>
        <w:t>AQ3013-2008</w:t>
      </w:r>
      <w:r>
        <w:rPr>
          <w:rFonts w:hint="eastAsia" w:ascii="宋体" w:hAnsi="宋体"/>
          <w:bCs/>
          <w:snapToGrid w:val="0"/>
          <w:kern w:val="0"/>
          <w:sz w:val="24"/>
        </w:rPr>
        <w:t>）；</w:t>
      </w:r>
    </w:p>
    <w:p>
      <w:pPr>
        <w:adjustRightInd w:val="0"/>
        <w:snapToGrid w:val="0"/>
        <w:spacing w:line="360" w:lineRule="auto"/>
        <w:ind w:firstLine="480" w:firstLineChars="200"/>
        <w:rPr>
          <w:rFonts w:ascii="宋体" w:hAnsi="宋体"/>
          <w:bCs/>
          <w:snapToGrid w:val="0"/>
          <w:kern w:val="0"/>
          <w:sz w:val="24"/>
        </w:rPr>
      </w:pPr>
      <w:r>
        <w:rPr>
          <w:rFonts w:hint="eastAsia" w:ascii="宋体" w:hAnsi="宋体"/>
          <w:bCs/>
          <w:snapToGrid w:val="0"/>
          <w:kern w:val="0"/>
          <w:sz w:val="24"/>
        </w:rPr>
        <w:t>9、《</w:t>
      </w:r>
      <w:bookmarkStart w:id="129" w:name="OLE_LINK18"/>
      <w:bookmarkStart w:id="130" w:name="OLE_LINK17"/>
      <w:r>
        <w:rPr>
          <w:rFonts w:hint="eastAsia" w:ascii="宋体" w:hAnsi="宋体"/>
          <w:bCs/>
          <w:snapToGrid w:val="0"/>
          <w:kern w:val="0"/>
          <w:sz w:val="24"/>
        </w:rPr>
        <w:t>危险化学品目录</w:t>
      </w:r>
      <w:bookmarkEnd w:id="129"/>
      <w:bookmarkEnd w:id="130"/>
      <w:r>
        <w:rPr>
          <w:rFonts w:hint="eastAsia" w:ascii="宋体" w:hAnsi="宋体"/>
          <w:bCs/>
          <w:snapToGrid w:val="0"/>
          <w:kern w:val="0"/>
          <w:sz w:val="24"/>
        </w:rPr>
        <w:t>》（</w:t>
      </w:r>
      <w:r>
        <w:rPr>
          <w:rFonts w:ascii="宋体" w:hAnsi="宋体"/>
          <w:bCs/>
          <w:snapToGrid w:val="0"/>
          <w:kern w:val="0"/>
          <w:sz w:val="24"/>
        </w:rPr>
        <w:t>20</w:t>
      </w:r>
      <w:r>
        <w:rPr>
          <w:rFonts w:hint="eastAsia" w:ascii="宋体" w:hAnsi="宋体"/>
          <w:bCs/>
          <w:snapToGrid w:val="0"/>
          <w:kern w:val="0"/>
          <w:sz w:val="24"/>
          <w:lang w:val="en-US" w:eastAsia="zh-CN"/>
        </w:rPr>
        <w:t>15</w:t>
      </w:r>
      <w:r>
        <w:rPr>
          <w:rFonts w:hint="eastAsia" w:ascii="宋体" w:hAnsi="宋体"/>
          <w:bCs/>
          <w:snapToGrid w:val="0"/>
          <w:kern w:val="0"/>
          <w:sz w:val="24"/>
        </w:rPr>
        <w:t>年版）；</w:t>
      </w:r>
    </w:p>
    <w:p>
      <w:pPr>
        <w:adjustRightInd w:val="0"/>
        <w:snapToGrid w:val="0"/>
        <w:spacing w:line="360" w:lineRule="auto"/>
        <w:ind w:firstLine="480" w:firstLineChars="200"/>
        <w:rPr>
          <w:rFonts w:ascii="宋体" w:hAnsi="宋体"/>
          <w:bCs/>
          <w:snapToGrid w:val="0"/>
          <w:kern w:val="0"/>
          <w:sz w:val="24"/>
        </w:rPr>
      </w:pPr>
      <w:r>
        <w:rPr>
          <w:rFonts w:hint="eastAsia" w:ascii="宋体" w:hAnsi="宋体"/>
          <w:bCs/>
          <w:snapToGrid w:val="0"/>
          <w:kern w:val="0"/>
          <w:sz w:val="24"/>
        </w:rPr>
        <w:t>10、《</w:t>
      </w:r>
      <w:bookmarkStart w:id="131" w:name="OLE_LINK20"/>
      <w:bookmarkStart w:id="132" w:name="OLE_LINK19"/>
      <w:r>
        <w:rPr>
          <w:rFonts w:hint="eastAsia" w:ascii="宋体" w:hAnsi="宋体"/>
          <w:bCs/>
          <w:snapToGrid w:val="0"/>
          <w:kern w:val="0"/>
          <w:sz w:val="24"/>
        </w:rPr>
        <w:t>国务院安委会关于深入开展企业安全生产标准化建设的指导意见</w:t>
      </w:r>
      <w:bookmarkEnd w:id="131"/>
      <w:bookmarkEnd w:id="132"/>
      <w:r>
        <w:rPr>
          <w:rFonts w:hint="eastAsia" w:ascii="宋体" w:hAnsi="宋体"/>
          <w:bCs/>
          <w:snapToGrid w:val="0"/>
          <w:kern w:val="0"/>
          <w:sz w:val="24"/>
        </w:rPr>
        <w:t>》安委〔</w:t>
      </w:r>
      <w:r>
        <w:rPr>
          <w:rFonts w:ascii="宋体" w:hAnsi="宋体"/>
          <w:bCs/>
          <w:snapToGrid w:val="0"/>
          <w:kern w:val="0"/>
          <w:sz w:val="24"/>
        </w:rPr>
        <w:t>2011</w:t>
      </w:r>
      <w:r>
        <w:rPr>
          <w:rFonts w:hint="eastAsia" w:ascii="宋体" w:hAnsi="宋体"/>
          <w:bCs/>
          <w:snapToGrid w:val="0"/>
          <w:kern w:val="0"/>
          <w:sz w:val="24"/>
        </w:rPr>
        <w:t>〕</w:t>
      </w:r>
      <w:r>
        <w:rPr>
          <w:rFonts w:ascii="宋体" w:hAnsi="宋体"/>
          <w:bCs/>
          <w:snapToGrid w:val="0"/>
          <w:kern w:val="0"/>
          <w:sz w:val="24"/>
        </w:rPr>
        <w:t>4</w:t>
      </w:r>
      <w:r>
        <w:rPr>
          <w:rFonts w:hint="eastAsia" w:ascii="宋体" w:hAnsi="宋体"/>
          <w:bCs/>
          <w:snapToGrid w:val="0"/>
          <w:kern w:val="0"/>
          <w:sz w:val="24"/>
        </w:rPr>
        <w:t>号；</w:t>
      </w:r>
    </w:p>
    <w:p>
      <w:pPr>
        <w:adjustRightInd w:val="0"/>
        <w:snapToGrid w:val="0"/>
        <w:spacing w:line="360" w:lineRule="auto"/>
        <w:ind w:firstLine="480" w:firstLineChars="200"/>
        <w:rPr>
          <w:rFonts w:ascii="宋体" w:hAnsi="宋体"/>
          <w:bCs/>
          <w:snapToGrid w:val="0"/>
          <w:kern w:val="0"/>
          <w:sz w:val="24"/>
        </w:rPr>
      </w:pPr>
      <w:r>
        <w:rPr>
          <w:rFonts w:hint="eastAsia" w:ascii="宋体" w:hAnsi="宋体"/>
          <w:bCs/>
          <w:snapToGrid w:val="0"/>
          <w:kern w:val="0"/>
          <w:sz w:val="24"/>
        </w:rPr>
        <w:t>11、《</w:t>
      </w:r>
      <w:bookmarkStart w:id="133" w:name="OLE_LINK22"/>
      <w:bookmarkStart w:id="134" w:name="OLE_LINK34"/>
      <w:bookmarkStart w:id="135" w:name="OLE_LINK21"/>
      <w:r>
        <w:rPr>
          <w:rFonts w:hint="eastAsia" w:ascii="宋体" w:hAnsi="宋体"/>
          <w:bCs/>
          <w:snapToGrid w:val="0"/>
          <w:kern w:val="0"/>
          <w:sz w:val="24"/>
        </w:rPr>
        <w:t>国家安全监管总局关于公布首批重点监管的危险化工工艺目录的通知</w:t>
      </w:r>
      <w:bookmarkEnd w:id="133"/>
      <w:bookmarkEnd w:id="134"/>
      <w:bookmarkEnd w:id="135"/>
      <w:r>
        <w:rPr>
          <w:rFonts w:hint="eastAsia" w:ascii="宋体" w:hAnsi="宋体"/>
          <w:bCs/>
          <w:snapToGrid w:val="0"/>
          <w:kern w:val="0"/>
          <w:sz w:val="24"/>
        </w:rPr>
        <w:t>》（安监总管三</w:t>
      </w:r>
      <w:r>
        <w:rPr>
          <w:rFonts w:ascii="宋体" w:hAnsi="宋体"/>
          <w:bCs/>
          <w:snapToGrid w:val="0"/>
          <w:kern w:val="0"/>
          <w:sz w:val="24"/>
        </w:rPr>
        <w:t>[2009]116</w:t>
      </w:r>
      <w:r>
        <w:rPr>
          <w:rFonts w:hint="eastAsia" w:ascii="宋体" w:hAnsi="宋体"/>
          <w:bCs/>
          <w:snapToGrid w:val="0"/>
          <w:kern w:val="0"/>
          <w:sz w:val="24"/>
        </w:rPr>
        <w:t>号）；</w:t>
      </w:r>
    </w:p>
    <w:p>
      <w:pPr>
        <w:adjustRightInd w:val="0"/>
        <w:snapToGrid w:val="0"/>
        <w:spacing w:line="360" w:lineRule="auto"/>
        <w:ind w:firstLine="480" w:firstLineChars="200"/>
        <w:rPr>
          <w:rFonts w:ascii="宋体" w:hAnsi="宋体"/>
          <w:bCs/>
          <w:snapToGrid w:val="0"/>
          <w:kern w:val="0"/>
          <w:sz w:val="24"/>
        </w:rPr>
      </w:pPr>
      <w:r>
        <w:rPr>
          <w:rFonts w:hint="eastAsia" w:ascii="宋体" w:hAnsi="宋体"/>
          <w:bCs/>
          <w:snapToGrid w:val="0"/>
          <w:kern w:val="0"/>
          <w:sz w:val="24"/>
        </w:rPr>
        <w:t>12、《</w:t>
      </w:r>
      <w:bookmarkStart w:id="136" w:name="OLE_LINK35"/>
      <w:bookmarkStart w:id="137" w:name="OLE_LINK24"/>
      <w:bookmarkStart w:id="138" w:name="OLE_LINK25"/>
      <w:bookmarkStart w:id="139" w:name="OLE_LINK23"/>
      <w:r>
        <w:rPr>
          <w:rFonts w:hint="eastAsia" w:ascii="宋体" w:hAnsi="宋体"/>
          <w:bCs/>
          <w:snapToGrid w:val="0"/>
          <w:kern w:val="0"/>
          <w:sz w:val="24"/>
        </w:rPr>
        <w:t>国家安全监管总局关于进一步加强危险化学品企业安全生产标准化工作的通知</w:t>
      </w:r>
      <w:bookmarkEnd w:id="136"/>
      <w:bookmarkEnd w:id="137"/>
      <w:bookmarkEnd w:id="138"/>
      <w:bookmarkEnd w:id="139"/>
      <w:r>
        <w:rPr>
          <w:rFonts w:hint="eastAsia" w:ascii="宋体" w:hAnsi="宋体"/>
          <w:bCs/>
          <w:snapToGrid w:val="0"/>
          <w:kern w:val="0"/>
          <w:sz w:val="24"/>
        </w:rPr>
        <w:t>》安监总管三〔</w:t>
      </w:r>
      <w:r>
        <w:rPr>
          <w:rFonts w:ascii="宋体" w:hAnsi="宋体"/>
          <w:bCs/>
          <w:snapToGrid w:val="0"/>
          <w:kern w:val="0"/>
          <w:sz w:val="24"/>
        </w:rPr>
        <w:t>2011</w:t>
      </w:r>
      <w:r>
        <w:rPr>
          <w:rFonts w:hint="eastAsia" w:ascii="宋体" w:hAnsi="宋体"/>
          <w:bCs/>
          <w:snapToGrid w:val="0"/>
          <w:kern w:val="0"/>
          <w:sz w:val="24"/>
        </w:rPr>
        <w:t>〕</w:t>
      </w:r>
      <w:r>
        <w:rPr>
          <w:rFonts w:ascii="宋体" w:hAnsi="宋体"/>
          <w:bCs/>
          <w:snapToGrid w:val="0"/>
          <w:kern w:val="0"/>
          <w:sz w:val="24"/>
        </w:rPr>
        <w:t>24</w:t>
      </w:r>
      <w:r>
        <w:rPr>
          <w:rFonts w:hint="eastAsia" w:ascii="宋体" w:hAnsi="宋体"/>
          <w:bCs/>
          <w:snapToGrid w:val="0"/>
          <w:kern w:val="0"/>
          <w:sz w:val="24"/>
        </w:rPr>
        <w:t>号；</w:t>
      </w:r>
    </w:p>
    <w:p>
      <w:pPr>
        <w:adjustRightInd w:val="0"/>
        <w:snapToGrid w:val="0"/>
        <w:spacing w:line="360" w:lineRule="auto"/>
        <w:ind w:firstLine="480" w:firstLineChars="200"/>
        <w:rPr>
          <w:rFonts w:ascii="宋体" w:hAnsi="宋体"/>
          <w:bCs/>
          <w:snapToGrid w:val="0"/>
          <w:kern w:val="0"/>
          <w:sz w:val="24"/>
        </w:rPr>
      </w:pPr>
      <w:r>
        <w:rPr>
          <w:rFonts w:hint="eastAsia" w:ascii="宋体" w:hAnsi="宋体"/>
          <w:bCs/>
          <w:snapToGrid w:val="0"/>
          <w:kern w:val="0"/>
          <w:sz w:val="24"/>
        </w:rPr>
        <w:t>13、《</w:t>
      </w:r>
      <w:bookmarkStart w:id="140" w:name="OLE_LINK26"/>
      <w:bookmarkStart w:id="141" w:name="OLE_LINK27"/>
      <w:bookmarkStart w:id="142" w:name="OLE_LINK36"/>
      <w:r>
        <w:rPr>
          <w:rFonts w:hint="eastAsia" w:ascii="宋体" w:hAnsi="宋体"/>
          <w:bCs/>
          <w:snapToGrid w:val="0"/>
          <w:kern w:val="0"/>
          <w:sz w:val="24"/>
        </w:rPr>
        <w:t>国家安全监管总局关于印发危险化学品从业单位安全生产标准化评审标准的通知</w:t>
      </w:r>
      <w:bookmarkEnd w:id="140"/>
      <w:bookmarkEnd w:id="141"/>
      <w:bookmarkEnd w:id="142"/>
      <w:r>
        <w:rPr>
          <w:rFonts w:hint="eastAsia" w:ascii="宋体" w:hAnsi="宋体"/>
          <w:bCs/>
          <w:snapToGrid w:val="0"/>
          <w:kern w:val="0"/>
          <w:sz w:val="24"/>
        </w:rPr>
        <w:t>》（安监总管三〔</w:t>
      </w:r>
      <w:r>
        <w:rPr>
          <w:rFonts w:ascii="宋体" w:hAnsi="宋体"/>
          <w:bCs/>
          <w:snapToGrid w:val="0"/>
          <w:kern w:val="0"/>
          <w:sz w:val="24"/>
        </w:rPr>
        <w:t>2011</w:t>
      </w:r>
      <w:r>
        <w:rPr>
          <w:rFonts w:hint="eastAsia" w:ascii="宋体" w:hAnsi="宋体"/>
          <w:bCs/>
          <w:snapToGrid w:val="0"/>
          <w:kern w:val="0"/>
          <w:sz w:val="24"/>
        </w:rPr>
        <w:t>〕</w:t>
      </w:r>
      <w:r>
        <w:rPr>
          <w:rFonts w:ascii="宋体" w:hAnsi="宋体"/>
          <w:bCs/>
          <w:snapToGrid w:val="0"/>
          <w:kern w:val="0"/>
          <w:sz w:val="24"/>
        </w:rPr>
        <w:t>93</w:t>
      </w:r>
      <w:r>
        <w:rPr>
          <w:rFonts w:hint="eastAsia" w:ascii="宋体" w:hAnsi="宋体"/>
          <w:bCs/>
          <w:snapToGrid w:val="0"/>
          <w:kern w:val="0"/>
          <w:sz w:val="24"/>
        </w:rPr>
        <w:t>号）；</w:t>
      </w:r>
    </w:p>
    <w:p>
      <w:pPr>
        <w:adjustRightInd w:val="0"/>
        <w:snapToGrid w:val="0"/>
        <w:spacing w:line="360" w:lineRule="auto"/>
        <w:ind w:firstLine="480" w:firstLineChars="200"/>
        <w:rPr>
          <w:rFonts w:ascii="宋体" w:hAnsi="宋体"/>
          <w:bCs/>
          <w:snapToGrid w:val="0"/>
          <w:kern w:val="0"/>
          <w:sz w:val="24"/>
        </w:rPr>
      </w:pPr>
      <w:r>
        <w:rPr>
          <w:rFonts w:hint="eastAsia" w:ascii="宋体" w:hAnsi="宋体"/>
          <w:bCs/>
          <w:snapToGrid w:val="0"/>
          <w:kern w:val="0"/>
          <w:sz w:val="24"/>
        </w:rPr>
        <w:t>14、《</w:t>
      </w:r>
      <w:bookmarkStart w:id="143" w:name="OLE_LINK37"/>
      <w:bookmarkStart w:id="144" w:name="OLE_LINK28"/>
      <w:bookmarkStart w:id="145" w:name="OLE_LINK29"/>
      <w:r>
        <w:rPr>
          <w:rFonts w:hint="eastAsia" w:ascii="宋体" w:hAnsi="宋体"/>
          <w:bCs/>
          <w:snapToGrid w:val="0"/>
          <w:kern w:val="0"/>
          <w:sz w:val="24"/>
        </w:rPr>
        <w:t>湖北省人民政府办公厅关于深化企业安全生产标准化建设的指导意见</w:t>
      </w:r>
      <w:bookmarkEnd w:id="143"/>
      <w:bookmarkEnd w:id="144"/>
      <w:bookmarkEnd w:id="145"/>
      <w:r>
        <w:rPr>
          <w:rFonts w:hint="eastAsia" w:ascii="宋体" w:hAnsi="宋体"/>
          <w:bCs/>
          <w:snapToGrid w:val="0"/>
          <w:kern w:val="0"/>
          <w:sz w:val="24"/>
        </w:rPr>
        <w:t>》（鄂政办发〔</w:t>
      </w:r>
      <w:r>
        <w:rPr>
          <w:rFonts w:ascii="宋体" w:hAnsi="宋体"/>
          <w:bCs/>
          <w:snapToGrid w:val="0"/>
          <w:kern w:val="0"/>
          <w:sz w:val="24"/>
        </w:rPr>
        <w:t>2013</w:t>
      </w:r>
      <w:r>
        <w:rPr>
          <w:rFonts w:hint="eastAsia" w:ascii="宋体" w:hAnsi="宋体"/>
          <w:bCs/>
          <w:snapToGrid w:val="0"/>
          <w:kern w:val="0"/>
          <w:sz w:val="24"/>
        </w:rPr>
        <w:t>〕</w:t>
      </w:r>
      <w:r>
        <w:rPr>
          <w:rFonts w:ascii="宋体" w:hAnsi="宋体"/>
          <w:bCs/>
          <w:snapToGrid w:val="0"/>
          <w:kern w:val="0"/>
          <w:sz w:val="24"/>
        </w:rPr>
        <w:t>3</w:t>
      </w:r>
      <w:r>
        <w:rPr>
          <w:rFonts w:hint="eastAsia" w:ascii="宋体" w:hAnsi="宋体"/>
          <w:bCs/>
          <w:snapToGrid w:val="0"/>
          <w:kern w:val="0"/>
          <w:sz w:val="24"/>
        </w:rPr>
        <w:t>号）；</w:t>
      </w:r>
    </w:p>
    <w:p>
      <w:pPr>
        <w:adjustRightInd w:val="0"/>
        <w:snapToGrid w:val="0"/>
        <w:spacing w:line="360" w:lineRule="auto"/>
        <w:ind w:firstLine="480" w:firstLineChars="200"/>
        <w:rPr>
          <w:rFonts w:ascii="宋体" w:hAnsi="宋体"/>
          <w:bCs/>
          <w:snapToGrid w:val="0"/>
          <w:kern w:val="0"/>
          <w:sz w:val="24"/>
        </w:rPr>
      </w:pPr>
      <w:r>
        <w:rPr>
          <w:rFonts w:hint="eastAsia" w:ascii="宋体" w:hAnsi="宋体"/>
          <w:bCs/>
          <w:snapToGrid w:val="0"/>
          <w:kern w:val="0"/>
          <w:sz w:val="24"/>
        </w:rPr>
        <w:t>15、《</w:t>
      </w:r>
      <w:bookmarkStart w:id="146" w:name="OLE_LINK38"/>
      <w:bookmarkStart w:id="147" w:name="OLE_LINK30"/>
      <w:bookmarkStart w:id="148" w:name="OLE_LINK31"/>
      <w:r>
        <w:rPr>
          <w:rFonts w:hint="eastAsia" w:ascii="宋体" w:hAnsi="宋体"/>
          <w:bCs/>
          <w:snapToGrid w:val="0"/>
          <w:kern w:val="0"/>
          <w:sz w:val="24"/>
        </w:rPr>
        <w:t>省安监局转发国家安全监管总局《关于进一步加强危险化学品企业安全生产标准化工作的通知》的通知</w:t>
      </w:r>
      <w:bookmarkEnd w:id="146"/>
      <w:bookmarkEnd w:id="147"/>
      <w:bookmarkEnd w:id="148"/>
      <w:r>
        <w:rPr>
          <w:rFonts w:hint="eastAsia" w:ascii="宋体" w:hAnsi="宋体"/>
          <w:bCs/>
          <w:snapToGrid w:val="0"/>
          <w:kern w:val="0"/>
          <w:sz w:val="24"/>
        </w:rPr>
        <w:t>》鄂安监发〔</w:t>
      </w:r>
      <w:r>
        <w:rPr>
          <w:rFonts w:ascii="宋体" w:hAnsi="宋体"/>
          <w:bCs/>
          <w:snapToGrid w:val="0"/>
          <w:kern w:val="0"/>
          <w:sz w:val="24"/>
        </w:rPr>
        <w:t>2011</w:t>
      </w:r>
      <w:r>
        <w:rPr>
          <w:rFonts w:hint="eastAsia" w:ascii="宋体" w:hAnsi="宋体"/>
          <w:bCs/>
          <w:snapToGrid w:val="0"/>
          <w:kern w:val="0"/>
          <w:sz w:val="24"/>
        </w:rPr>
        <w:t>〕</w:t>
      </w:r>
      <w:r>
        <w:rPr>
          <w:rFonts w:ascii="宋体" w:hAnsi="宋体"/>
          <w:bCs/>
          <w:snapToGrid w:val="0"/>
          <w:kern w:val="0"/>
          <w:sz w:val="24"/>
        </w:rPr>
        <w:t>44</w:t>
      </w:r>
      <w:r>
        <w:rPr>
          <w:rFonts w:hint="eastAsia" w:ascii="宋体" w:hAnsi="宋体"/>
          <w:bCs/>
          <w:snapToGrid w:val="0"/>
          <w:kern w:val="0"/>
          <w:sz w:val="24"/>
        </w:rPr>
        <w:t>号；</w:t>
      </w:r>
    </w:p>
    <w:p>
      <w:pPr>
        <w:adjustRightInd w:val="0"/>
        <w:snapToGrid w:val="0"/>
        <w:spacing w:line="360" w:lineRule="auto"/>
        <w:ind w:firstLine="480" w:firstLineChars="200"/>
        <w:rPr>
          <w:rFonts w:ascii="宋体" w:hAnsi="宋体"/>
          <w:bCs/>
          <w:snapToGrid w:val="0"/>
          <w:kern w:val="0"/>
          <w:sz w:val="24"/>
        </w:rPr>
      </w:pPr>
      <w:r>
        <w:rPr>
          <w:rFonts w:hint="eastAsia" w:ascii="宋体" w:hAnsi="宋体"/>
          <w:bCs/>
          <w:snapToGrid w:val="0"/>
          <w:kern w:val="0"/>
          <w:sz w:val="24"/>
        </w:rPr>
        <w:t>16、</w:t>
      </w:r>
      <w:bookmarkStart w:id="149" w:name="OLE_LINK32"/>
      <w:bookmarkStart w:id="150" w:name="OLE_LINK33"/>
      <w:bookmarkStart w:id="151" w:name="OLE_LINK40"/>
      <w:bookmarkStart w:id="152" w:name="OLE_LINK39"/>
      <w:r>
        <w:rPr>
          <w:rFonts w:hint="eastAsia" w:ascii="宋体" w:hAnsi="宋体"/>
          <w:bCs/>
          <w:snapToGrid w:val="0"/>
          <w:kern w:val="0"/>
          <w:sz w:val="24"/>
        </w:rPr>
        <w:t>省安监局关于印发《湖北省企业安全生产标准化评审工作管理细则（试行）》的通知（</w:t>
      </w:r>
      <w:bookmarkEnd w:id="149"/>
      <w:bookmarkEnd w:id="150"/>
      <w:r>
        <w:rPr>
          <w:rFonts w:hint="eastAsia" w:ascii="宋体" w:hAnsi="宋体"/>
          <w:bCs/>
          <w:snapToGrid w:val="0"/>
          <w:kern w:val="0"/>
          <w:sz w:val="24"/>
        </w:rPr>
        <w:t>鄂安监</w:t>
      </w:r>
      <w:bookmarkEnd w:id="151"/>
      <w:bookmarkEnd w:id="152"/>
      <w:r>
        <w:rPr>
          <w:rFonts w:hint="eastAsia" w:ascii="宋体" w:hAnsi="宋体"/>
          <w:bCs/>
          <w:snapToGrid w:val="0"/>
          <w:kern w:val="0"/>
          <w:sz w:val="24"/>
        </w:rPr>
        <w:t>发〔</w:t>
      </w:r>
      <w:r>
        <w:rPr>
          <w:rFonts w:ascii="宋体" w:hAnsi="宋体"/>
          <w:bCs/>
          <w:snapToGrid w:val="0"/>
          <w:kern w:val="0"/>
          <w:sz w:val="24"/>
        </w:rPr>
        <w:t>2014</w:t>
      </w:r>
      <w:r>
        <w:rPr>
          <w:rFonts w:hint="eastAsia" w:ascii="宋体" w:hAnsi="宋体"/>
          <w:bCs/>
          <w:snapToGrid w:val="0"/>
          <w:kern w:val="0"/>
          <w:sz w:val="24"/>
        </w:rPr>
        <w:t>〕</w:t>
      </w:r>
      <w:r>
        <w:rPr>
          <w:rFonts w:ascii="宋体" w:hAnsi="宋体"/>
          <w:bCs/>
          <w:snapToGrid w:val="0"/>
          <w:kern w:val="0"/>
          <w:sz w:val="24"/>
        </w:rPr>
        <w:t>84</w:t>
      </w:r>
      <w:r>
        <w:rPr>
          <w:rFonts w:hint="eastAsia" w:ascii="宋体" w:hAnsi="宋体"/>
          <w:bCs/>
          <w:snapToGrid w:val="0"/>
          <w:kern w:val="0"/>
          <w:sz w:val="24"/>
        </w:rPr>
        <w:t>号）；</w:t>
      </w:r>
    </w:p>
    <w:p>
      <w:pPr>
        <w:adjustRightInd w:val="0"/>
        <w:snapToGrid w:val="0"/>
        <w:spacing w:line="360" w:lineRule="auto"/>
        <w:ind w:firstLine="480" w:firstLineChars="200"/>
        <w:rPr>
          <w:rFonts w:ascii="宋体" w:hAnsi="宋体"/>
          <w:kern w:val="0"/>
          <w:sz w:val="24"/>
        </w:rPr>
      </w:pPr>
      <w:r>
        <w:rPr>
          <w:rFonts w:hint="eastAsia" w:ascii="宋体" w:hAnsi="宋体"/>
          <w:bCs/>
          <w:snapToGrid w:val="0"/>
          <w:kern w:val="0"/>
          <w:sz w:val="24"/>
        </w:rPr>
        <w:t>17、《化工企业和承包商</w:t>
      </w:r>
      <w:r>
        <w:rPr>
          <w:rFonts w:hint="eastAsia" w:ascii="宋体" w:hAnsi="宋体"/>
          <w:kern w:val="0"/>
          <w:sz w:val="24"/>
        </w:rPr>
        <w:t>检维修作业安全管理双八条规定》（鄂安监发﹝2018﹞45号）；</w:t>
      </w:r>
    </w:p>
    <w:p>
      <w:pPr>
        <w:adjustRightInd w:val="0"/>
        <w:snapToGrid w:val="0"/>
        <w:spacing w:line="360" w:lineRule="auto"/>
        <w:ind w:firstLine="480" w:firstLineChars="200"/>
        <w:rPr>
          <w:rFonts w:ascii="宋体" w:hAnsi="宋体"/>
          <w:kern w:val="0"/>
          <w:sz w:val="24"/>
        </w:rPr>
      </w:pPr>
      <w:r>
        <w:rPr>
          <w:rFonts w:hint="eastAsia" w:ascii="宋体" w:hAnsi="宋体"/>
          <w:kern w:val="0"/>
          <w:sz w:val="24"/>
        </w:rPr>
        <w:t>18、《湖北省安全生产条例》（20</w:t>
      </w:r>
      <w:r>
        <w:rPr>
          <w:rFonts w:hint="eastAsia" w:ascii="宋体" w:hAnsi="宋体"/>
          <w:kern w:val="0"/>
          <w:sz w:val="24"/>
          <w:lang w:val="en-US" w:eastAsia="zh-CN"/>
        </w:rPr>
        <w:t>23</w:t>
      </w:r>
      <w:r>
        <w:rPr>
          <w:rFonts w:hint="eastAsia" w:ascii="宋体" w:hAnsi="宋体"/>
          <w:kern w:val="0"/>
          <w:sz w:val="24"/>
        </w:rPr>
        <w:t>版）；</w:t>
      </w:r>
    </w:p>
    <w:p>
      <w:pPr>
        <w:adjustRightInd w:val="0"/>
        <w:snapToGrid w:val="0"/>
        <w:spacing w:line="360" w:lineRule="auto"/>
        <w:ind w:firstLine="480" w:firstLineChars="200"/>
        <w:rPr>
          <w:rFonts w:ascii="宋体" w:hAnsi="宋体"/>
          <w:kern w:val="0"/>
          <w:sz w:val="24"/>
        </w:rPr>
      </w:pPr>
      <w:r>
        <w:rPr>
          <w:rFonts w:hint="eastAsia" w:ascii="宋体" w:hAnsi="宋体"/>
          <w:kern w:val="0"/>
          <w:sz w:val="24"/>
        </w:rPr>
        <w:t>19、《</w:t>
      </w:r>
      <w:bookmarkStart w:id="153" w:name="OLE_LINK42"/>
      <w:bookmarkStart w:id="154" w:name="OLE_LINK41"/>
      <w:r>
        <w:rPr>
          <w:rFonts w:hint="eastAsia" w:ascii="宋体" w:hAnsi="宋体"/>
          <w:kern w:val="0"/>
          <w:sz w:val="24"/>
        </w:rPr>
        <w:t>湖北省企业安全生产标准化自评报告编制导则</w:t>
      </w:r>
      <w:bookmarkEnd w:id="153"/>
      <w:bookmarkEnd w:id="154"/>
      <w:r>
        <w:rPr>
          <w:rFonts w:hint="eastAsia" w:ascii="宋体" w:hAnsi="宋体"/>
          <w:kern w:val="0"/>
          <w:sz w:val="24"/>
        </w:rPr>
        <w:t>》（鄂安协〔</w:t>
      </w:r>
      <w:r>
        <w:rPr>
          <w:rFonts w:ascii="宋体" w:hAnsi="宋体"/>
          <w:kern w:val="0"/>
          <w:sz w:val="24"/>
        </w:rPr>
        <w:t>201</w:t>
      </w:r>
      <w:r>
        <w:rPr>
          <w:rFonts w:hint="eastAsia" w:ascii="宋体" w:hAnsi="宋体"/>
          <w:kern w:val="0"/>
          <w:sz w:val="24"/>
        </w:rPr>
        <w:t>4〕</w:t>
      </w:r>
      <w:r>
        <w:rPr>
          <w:rFonts w:ascii="宋体" w:hAnsi="宋体"/>
          <w:kern w:val="0"/>
          <w:sz w:val="24"/>
        </w:rPr>
        <w:t>25</w:t>
      </w:r>
      <w:r>
        <w:rPr>
          <w:rFonts w:hint="eastAsia" w:ascii="宋体" w:hAnsi="宋体"/>
          <w:kern w:val="0"/>
          <w:sz w:val="24"/>
        </w:rPr>
        <w:t>号）；</w:t>
      </w:r>
    </w:p>
    <w:p>
      <w:pPr>
        <w:adjustRightInd w:val="0"/>
        <w:snapToGrid w:val="0"/>
        <w:spacing w:line="360" w:lineRule="auto"/>
        <w:ind w:firstLine="480" w:firstLineChars="200"/>
        <w:rPr>
          <w:rFonts w:ascii="宋体" w:hAnsi="宋体"/>
          <w:kern w:val="0"/>
          <w:sz w:val="24"/>
        </w:rPr>
      </w:pPr>
      <w:r>
        <w:rPr>
          <w:rFonts w:hint="eastAsia" w:ascii="宋体" w:hAnsi="宋体"/>
          <w:kern w:val="0"/>
          <w:sz w:val="24"/>
        </w:rPr>
        <w:t>20、《</w:t>
      </w:r>
      <w:bookmarkStart w:id="155" w:name="OLE_LINK44"/>
      <w:bookmarkStart w:id="156" w:name="OLE_LINK43"/>
      <w:r>
        <w:rPr>
          <w:rFonts w:hint="eastAsia" w:ascii="宋体" w:hAnsi="宋体"/>
          <w:kern w:val="0"/>
          <w:sz w:val="24"/>
        </w:rPr>
        <w:t>危险化学品从业单位安全生产标准化评审标准湖北地区的要求</w:t>
      </w:r>
      <w:bookmarkEnd w:id="155"/>
      <w:bookmarkEnd w:id="156"/>
      <w:r>
        <w:rPr>
          <w:rFonts w:hint="eastAsia" w:ascii="宋体" w:hAnsi="宋体"/>
          <w:kern w:val="0"/>
          <w:sz w:val="24"/>
        </w:rPr>
        <w:t>》（鄂安监发〔</w:t>
      </w:r>
      <w:r>
        <w:rPr>
          <w:rFonts w:ascii="宋体" w:hAnsi="宋体"/>
          <w:kern w:val="0"/>
          <w:sz w:val="24"/>
        </w:rPr>
        <w:t>2011</w:t>
      </w:r>
      <w:r>
        <w:rPr>
          <w:rFonts w:hint="eastAsia" w:ascii="宋体" w:hAnsi="宋体"/>
          <w:kern w:val="0"/>
          <w:sz w:val="24"/>
        </w:rPr>
        <w:t>〕</w:t>
      </w:r>
      <w:r>
        <w:rPr>
          <w:rFonts w:ascii="宋体" w:hAnsi="宋体"/>
          <w:kern w:val="0"/>
          <w:sz w:val="24"/>
        </w:rPr>
        <w:t>247</w:t>
      </w:r>
      <w:r>
        <w:rPr>
          <w:rFonts w:hint="eastAsia" w:ascii="宋体" w:hAnsi="宋体"/>
          <w:kern w:val="0"/>
          <w:sz w:val="24"/>
        </w:rPr>
        <w:t>号）；</w:t>
      </w:r>
    </w:p>
    <w:p>
      <w:pPr>
        <w:adjustRightInd w:val="0"/>
        <w:snapToGrid w:val="0"/>
        <w:spacing w:line="360" w:lineRule="auto"/>
        <w:ind w:firstLine="480" w:firstLineChars="200"/>
        <w:rPr>
          <w:rFonts w:ascii="宋体" w:hAnsi="宋体"/>
          <w:kern w:val="0"/>
          <w:sz w:val="24"/>
        </w:rPr>
      </w:pPr>
      <w:r>
        <w:rPr>
          <w:rFonts w:hint="eastAsia" w:ascii="宋体" w:hAnsi="宋体"/>
          <w:kern w:val="0"/>
          <w:sz w:val="24"/>
        </w:rPr>
        <w:t>21、《职业病危害因素分类目录》（国卫疾控发〔2015〕92号）</w:t>
      </w:r>
    </w:p>
    <w:p>
      <w:pPr>
        <w:adjustRightInd w:val="0"/>
        <w:snapToGrid w:val="0"/>
        <w:spacing w:line="360" w:lineRule="auto"/>
        <w:ind w:firstLine="480" w:firstLineChars="200"/>
        <w:rPr>
          <w:rFonts w:ascii="宋体" w:hAnsi="宋体"/>
          <w:kern w:val="0"/>
          <w:sz w:val="24"/>
        </w:rPr>
      </w:pPr>
      <w:r>
        <w:rPr>
          <w:rFonts w:hint="eastAsia" w:ascii="宋体" w:hAnsi="宋体"/>
          <w:kern w:val="0"/>
          <w:sz w:val="24"/>
        </w:rPr>
        <w:t>22、 国家、行业及地方有关的法律法规及标准；</w:t>
      </w:r>
      <w:bookmarkEnd w:id="116"/>
    </w:p>
    <w:p>
      <w:pPr>
        <w:pStyle w:val="3"/>
        <w:spacing w:before="0" w:after="0" w:line="25" w:lineRule="atLeast"/>
        <w:rPr>
          <w:rFonts w:ascii="宋体" w:hAnsi="宋体"/>
          <w:sz w:val="28"/>
          <w:szCs w:val="28"/>
        </w:rPr>
      </w:pPr>
      <w:bookmarkStart w:id="157" w:name="_Toc432195110"/>
      <w:bookmarkStart w:id="158" w:name="_Toc16314"/>
      <w:bookmarkStart w:id="159" w:name="_Toc523396150"/>
      <w:r>
        <w:rPr>
          <w:rFonts w:hint="eastAsia" w:ascii="宋体" w:hAnsi="宋体"/>
          <w:sz w:val="28"/>
          <w:szCs w:val="28"/>
        </w:rPr>
        <w:t>（三）自评方法</w:t>
      </w:r>
      <w:bookmarkEnd w:id="157"/>
      <w:bookmarkEnd w:id="158"/>
      <w:bookmarkEnd w:id="159"/>
    </w:p>
    <w:p>
      <w:pPr>
        <w:adjustRightInd w:val="0"/>
        <w:snapToGrid w:val="0"/>
        <w:spacing w:line="360" w:lineRule="auto"/>
        <w:ind w:firstLine="480" w:firstLineChars="200"/>
        <w:rPr>
          <w:rFonts w:ascii="宋体" w:hAnsi="宋体"/>
          <w:kern w:val="0"/>
          <w:sz w:val="24"/>
        </w:rPr>
      </w:pPr>
      <w:r>
        <w:rPr>
          <w:rFonts w:hint="eastAsia" w:ascii="宋体" w:hAnsi="宋体"/>
          <w:kern w:val="0"/>
          <w:sz w:val="24"/>
        </w:rPr>
        <w:t>按照《国家安全监管总局关于印发危险化学品从业单位安全生产标准化评审标准的通知》（安监总管三〔2011〕93号）、《湖北省企业安全生产标准化自评报告编制导则》的要求，公司自评考核组于202</w:t>
      </w:r>
      <w:r>
        <w:rPr>
          <w:rFonts w:hint="eastAsia" w:ascii="宋体" w:hAnsi="宋体"/>
          <w:kern w:val="0"/>
          <w:sz w:val="24"/>
          <w:lang w:val="en-US" w:eastAsia="zh-CN"/>
        </w:rPr>
        <w:t>3</w:t>
      </w:r>
      <w:r>
        <w:rPr>
          <w:rFonts w:hint="eastAsia" w:ascii="宋体" w:hAnsi="宋体"/>
          <w:kern w:val="0"/>
          <w:sz w:val="24"/>
        </w:rPr>
        <w:t>年</w:t>
      </w:r>
      <w:r>
        <w:rPr>
          <w:rFonts w:hint="eastAsia" w:ascii="宋体" w:hAnsi="宋体"/>
          <w:kern w:val="0"/>
          <w:sz w:val="24"/>
          <w:lang w:val="en-US" w:eastAsia="zh-CN"/>
        </w:rPr>
        <w:t>11</w:t>
      </w:r>
      <w:r>
        <w:rPr>
          <w:rFonts w:hint="eastAsia" w:ascii="宋体" w:hAnsi="宋体"/>
          <w:kern w:val="0"/>
          <w:sz w:val="24"/>
        </w:rPr>
        <w:t>月1</w:t>
      </w:r>
      <w:r>
        <w:rPr>
          <w:rFonts w:hint="eastAsia" w:ascii="宋体" w:hAnsi="宋体"/>
          <w:kern w:val="0"/>
          <w:sz w:val="24"/>
          <w:lang w:val="en-US" w:eastAsia="zh-CN"/>
        </w:rPr>
        <w:t>4</w:t>
      </w:r>
      <w:r>
        <w:rPr>
          <w:rFonts w:hint="eastAsia" w:ascii="宋体" w:hAnsi="宋体"/>
          <w:kern w:val="0"/>
          <w:sz w:val="24"/>
        </w:rPr>
        <w:t>日～202</w:t>
      </w:r>
      <w:r>
        <w:rPr>
          <w:rFonts w:hint="eastAsia" w:ascii="宋体" w:hAnsi="宋体"/>
          <w:kern w:val="0"/>
          <w:sz w:val="24"/>
          <w:lang w:val="en-US" w:eastAsia="zh-CN"/>
        </w:rPr>
        <w:t>3</w:t>
      </w:r>
      <w:r>
        <w:rPr>
          <w:rFonts w:hint="eastAsia" w:ascii="宋体" w:hAnsi="宋体"/>
          <w:kern w:val="0"/>
          <w:sz w:val="24"/>
        </w:rPr>
        <w:t>年1</w:t>
      </w:r>
      <w:r>
        <w:rPr>
          <w:rFonts w:hint="eastAsia" w:ascii="宋体" w:hAnsi="宋体"/>
          <w:kern w:val="0"/>
          <w:sz w:val="24"/>
          <w:lang w:val="en-US" w:eastAsia="zh-CN"/>
        </w:rPr>
        <w:t>1</w:t>
      </w:r>
      <w:r>
        <w:rPr>
          <w:rFonts w:hint="eastAsia" w:ascii="宋体" w:hAnsi="宋体"/>
          <w:kern w:val="0"/>
          <w:sz w:val="24"/>
        </w:rPr>
        <w:t>月</w:t>
      </w:r>
      <w:r>
        <w:rPr>
          <w:rFonts w:hint="eastAsia" w:ascii="宋体" w:hAnsi="宋体"/>
          <w:kern w:val="0"/>
          <w:sz w:val="24"/>
          <w:lang w:val="en-US" w:eastAsia="zh-CN"/>
        </w:rPr>
        <w:t>20</w:t>
      </w:r>
      <w:r>
        <w:rPr>
          <w:rFonts w:hint="eastAsia" w:ascii="宋体" w:hAnsi="宋体"/>
          <w:kern w:val="0"/>
          <w:sz w:val="24"/>
        </w:rPr>
        <w:t>日对安全标准化工作实施情况进行了自评考核，通过查阅相关资料、深入生产现场检查、对各部门员工进行询问等方式逐项对12个要素进行了评价。</w:t>
      </w:r>
    </w:p>
    <w:p>
      <w:pPr>
        <w:pStyle w:val="3"/>
        <w:spacing w:before="0" w:after="0" w:line="25" w:lineRule="atLeast"/>
        <w:rPr>
          <w:rFonts w:ascii="宋体" w:hAnsi="宋体"/>
          <w:sz w:val="28"/>
          <w:szCs w:val="28"/>
        </w:rPr>
      </w:pPr>
      <w:bookmarkStart w:id="160" w:name="_Toc27646"/>
      <w:bookmarkStart w:id="161" w:name="_Toc523396151"/>
      <w:bookmarkStart w:id="162" w:name="_Toc432195111"/>
      <w:r>
        <w:rPr>
          <w:rFonts w:hint="eastAsia" w:ascii="宋体" w:hAnsi="宋体"/>
          <w:sz w:val="28"/>
          <w:szCs w:val="28"/>
        </w:rPr>
        <w:t>（四）自评程序</w:t>
      </w:r>
      <w:bookmarkEnd w:id="160"/>
      <w:bookmarkEnd w:id="161"/>
      <w:bookmarkEnd w:id="162"/>
    </w:p>
    <w:p>
      <w:pPr>
        <w:adjustRightInd w:val="0"/>
        <w:snapToGrid w:val="0"/>
        <w:spacing w:line="360" w:lineRule="auto"/>
        <w:ind w:firstLine="480" w:firstLineChars="200"/>
        <w:rPr>
          <w:rFonts w:ascii="宋体" w:hAnsi="宋体"/>
          <w:kern w:val="0"/>
          <w:sz w:val="24"/>
        </w:rPr>
      </w:pPr>
      <w:bookmarkStart w:id="163" w:name="_Toc22469"/>
      <w:bookmarkStart w:id="164" w:name="_Toc2397"/>
      <w:bookmarkStart w:id="165" w:name="_Toc523396152"/>
      <w:bookmarkStart w:id="166" w:name="_Toc13733"/>
      <w:bookmarkStart w:id="167" w:name="_Toc432195112"/>
      <w:r>
        <w:rPr>
          <w:rFonts w:hint="eastAsia" w:ascii="宋体" w:hAnsi="宋体"/>
          <w:kern w:val="0"/>
          <w:sz w:val="24"/>
        </w:rPr>
        <w:t>动员大会---成立自评小组---全员培训---工作分工---不符合项排查---汇总总结---责任分工---整改验收---评审会议---编制自评报告。</w:t>
      </w:r>
      <w:bookmarkEnd w:id="163"/>
      <w:bookmarkEnd w:id="164"/>
      <w:bookmarkEnd w:id="165"/>
      <w:bookmarkEnd w:id="166"/>
    </w:p>
    <w:p>
      <w:pPr>
        <w:pStyle w:val="3"/>
        <w:spacing w:before="0" w:after="0" w:line="25" w:lineRule="atLeast"/>
        <w:rPr>
          <w:rFonts w:ascii="宋体" w:hAnsi="宋体"/>
          <w:sz w:val="28"/>
          <w:szCs w:val="28"/>
        </w:rPr>
      </w:pPr>
      <w:bookmarkStart w:id="168" w:name="_Toc523396153"/>
      <w:bookmarkStart w:id="169" w:name="_Toc26375"/>
      <w:r>
        <w:rPr>
          <w:rFonts w:hint="eastAsia" w:ascii="宋体" w:hAnsi="宋体"/>
          <w:sz w:val="28"/>
          <w:szCs w:val="28"/>
        </w:rPr>
        <w:t>（五）自评时间</w:t>
      </w:r>
      <w:bookmarkEnd w:id="167"/>
      <w:bookmarkEnd w:id="168"/>
      <w:bookmarkEnd w:id="169"/>
    </w:p>
    <w:p>
      <w:pPr>
        <w:adjustRightInd w:val="0"/>
        <w:snapToGrid w:val="0"/>
        <w:spacing w:line="360" w:lineRule="auto"/>
        <w:ind w:firstLine="480" w:firstLineChars="200"/>
        <w:rPr>
          <w:rFonts w:ascii="宋体" w:hAnsi="宋体"/>
          <w:kern w:val="0"/>
          <w:sz w:val="24"/>
        </w:rPr>
      </w:pPr>
      <w:r>
        <w:rPr>
          <w:rFonts w:hint="eastAsia" w:ascii="宋体" w:hAnsi="宋体"/>
          <w:kern w:val="0"/>
          <w:sz w:val="24"/>
        </w:rPr>
        <w:t>公司自评考核组于202</w:t>
      </w:r>
      <w:r>
        <w:rPr>
          <w:rFonts w:hint="eastAsia" w:ascii="宋体" w:hAnsi="宋体"/>
          <w:kern w:val="0"/>
          <w:sz w:val="24"/>
          <w:lang w:val="en-US" w:eastAsia="zh-CN"/>
        </w:rPr>
        <w:t>3</w:t>
      </w:r>
      <w:r>
        <w:rPr>
          <w:rFonts w:hint="eastAsia" w:ascii="宋体" w:hAnsi="宋体"/>
          <w:kern w:val="0"/>
          <w:sz w:val="24"/>
        </w:rPr>
        <w:t>年1</w:t>
      </w:r>
      <w:r>
        <w:rPr>
          <w:rFonts w:hint="eastAsia" w:ascii="宋体" w:hAnsi="宋体"/>
          <w:kern w:val="0"/>
          <w:sz w:val="24"/>
          <w:lang w:val="en-US" w:eastAsia="zh-CN"/>
        </w:rPr>
        <w:t>1</w:t>
      </w:r>
      <w:r>
        <w:rPr>
          <w:rFonts w:hint="eastAsia" w:ascii="宋体" w:hAnsi="宋体"/>
          <w:kern w:val="0"/>
          <w:sz w:val="24"/>
        </w:rPr>
        <w:t>月1</w:t>
      </w:r>
      <w:r>
        <w:rPr>
          <w:rFonts w:hint="eastAsia" w:ascii="宋体" w:hAnsi="宋体"/>
          <w:kern w:val="0"/>
          <w:sz w:val="24"/>
          <w:lang w:val="en-US" w:eastAsia="zh-CN"/>
        </w:rPr>
        <w:t>4</w:t>
      </w:r>
      <w:r>
        <w:rPr>
          <w:rFonts w:hint="eastAsia" w:ascii="宋体" w:hAnsi="宋体"/>
          <w:kern w:val="0"/>
          <w:sz w:val="24"/>
        </w:rPr>
        <w:t>日～202</w:t>
      </w:r>
      <w:r>
        <w:rPr>
          <w:rFonts w:hint="eastAsia" w:ascii="宋体" w:hAnsi="宋体"/>
          <w:kern w:val="0"/>
          <w:sz w:val="24"/>
          <w:lang w:val="en-US" w:eastAsia="zh-CN"/>
        </w:rPr>
        <w:t>3</w:t>
      </w:r>
      <w:r>
        <w:rPr>
          <w:rFonts w:hint="eastAsia" w:ascii="宋体" w:hAnsi="宋体"/>
          <w:kern w:val="0"/>
          <w:sz w:val="24"/>
        </w:rPr>
        <w:t>年1</w:t>
      </w:r>
      <w:r>
        <w:rPr>
          <w:rFonts w:hint="eastAsia" w:ascii="宋体" w:hAnsi="宋体"/>
          <w:kern w:val="0"/>
          <w:sz w:val="24"/>
          <w:lang w:val="en-US" w:eastAsia="zh-CN"/>
        </w:rPr>
        <w:t>1</w:t>
      </w:r>
      <w:r>
        <w:rPr>
          <w:rFonts w:hint="eastAsia" w:ascii="宋体" w:hAnsi="宋体"/>
          <w:kern w:val="0"/>
          <w:sz w:val="24"/>
        </w:rPr>
        <w:t>月</w:t>
      </w:r>
      <w:r>
        <w:rPr>
          <w:rFonts w:hint="eastAsia" w:ascii="宋体" w:hAnsi="宋体"/>
          <w:kern w:val="0"/>
          <w:sz w:val="24"/>
          <w:lang w:val="en-US" w:eastAsia="zh-CN"/>
        </w:rPr>
        <w:t>20</w:t>
      </w:r>
      <w:r>
        <w:rPr>
          <w:rFonts w:hint="eastAsia" w:ascii="宋体" w:hAnsi="宋体"/>
          <w:kern w:val="0"/>
          <w:sz w:val="24"/>
        </w:rPr>
        <w:t>日对安全标准化工作实施情况进行了自评考核。</w:t>
      </w:r>
    </w:p>
    <w:p>
      <w:pPr>
        <w:pStyle w:val="2"/>
        <w:spacing w:before="0" w:after="0" w:line="25" w:lineRule="atLeast"/>
        <w:rPr>
          <w:rFonts w:ascii="宋体" w:hAnsi="宋体"/>
          <w:sz w:val="30"/>
          <w:szCs w:val="30"/>
        </w:rPr>
      </w:pPr>
      <w:bookmarkStart w:id="170" w:name="_Toc432195113"/>
      <w:bookmarkStart w:id="171" w:name="_Toc31434"/>
      <w:bookmarkStart w:id="172" w:name="_Toc523396154"/>
      <w:r>
        <w:rPr>
          <w:rFonts w:hint="eastAsia" w:ascii="宋体" w:hAnsi="宋体"/>
          <w:sz w:val="30"/>
          <w:szCs w:val="30"/>
        </w:rPr>
        <w:t>五、要素评审</w:t>
      </w:r>
      <w:bookmarkEnd w:id="170"/>
      <w:bookmarkEnd w:id="171"/>
      <w:bookmarkEnd w:id="172"/>
    </w:p>
    <w:p>
      <w:pPr>
        <w:adjustRightInd w:val="0"/>
        <w:snapToGrid w:val="0"/>
        <w:spacing w:line="360" w:lineRule="auto"/>
        <w:ind w:firstLine="480" w:firstLineChars="200"/>
        <w:rPr>
          <w:rFonts w:ascii="宋体" w:hAnsi="宋体"/>
          <w:kern w:val="0"/>
          <w:sz w:val="24"/>
        </w:rPr>
      </w:pPr>
      <w:r>
        <w:rPr>
          <w:rFonts w:hint="eastAsia" w:ascii="宋体" w:hAnsi="宋体"/>
          <w:kern w:val="0"/>
          <w:sz w:val="24"/>
        </w:rPr>
        <w:t>根据《危险化学品从业单位安全生产标准化基本规范》，各评审小组参照各自负责的评审要素，逐项进行自审，自评结束后将存在的不符合项（扣分项）进行汇总，制定不符合项整改表，根据整改表落实整改，形成PDCA循环，持续改进。具体如下：</w:t>
      </w:r>
    </w:p>
    <w:p>
      <w:pPr>
        <w:pStyle w:val="3"/>
        <w:numPr>
          <w:ilvl w:val="0"/>
          <w:numId w:val="5"/>
        </w:numPr>
        <w:spacing w:before="0" w:after="0" w:line="25" w:lineRule="atLeast"/>
        <w:rPr>
          <w:rFonts w:ascii="宋体" w:hAnsi="宋体"/>
          <w:sz w:val="28"/>
          <w:szCs w:val="28"/>
        </w:rPr>
      </w:pPr>
      <w:bookmarkStart w:id="173" w:name="_Toc523396155"/>
      <w:bookmarkStart w:id="174" w:name="_Toc29121"/>
      <w:r>
        <w:rPr>
          <w:rFonts w:hint="eastAsia" w:ascii="宋体" w:hAnsi="宋体"/>
          <w:sz w:val="28"/>
          <w:szCs w:val="28"/>
        </w:rPr>
        <w:t>评审要素落实情况及运行效果</w:t>
      </w:r>
      <w:bookmarkEnd w:id="173"/>
      <w:bookmarkEnd w:id="174"/>
    </w:p>
    <w:p>
      <w:pPr>
        <w:adjustRightInd w:val="0"/>
        <w:snapToGrid w:val="0"/>
        <w:spacing w:line="360" w:lineRule="auto"/>
        <w:ind w:firstLine="480" w:firstLineChars="200"/>
        <w:rPr>
          <w:rFonts w:ascii="宋体" w:hAnsi="宋体"/>
          <w:kern w:val="0"/>
          <w:sz w:val="24"/>
        </w:rPr>
      </w:pPr>
      <w:bookmarkStart w:id="175" w:name="_Toc496182624"/>
      <w:r>
        <w:rPr>
          <w:rFonts w:hint="eastAsia" w:ascii="宋体" w:hAnsi="宋体"/>
          <w:kern w:val="0"/>
          <w:sz w:val="24"/>
        </w:rPr>
        <w:t>1、法律法规与标准</w:t>
      </w:r>
      <w:bookmarkEnd w:id="175"/>
    </w:p>
    <w:p>
      <w:pPr>
        <w:adjustRightInd w:val="0"/>
        <w:snapToGrid w:val="0"/>
        <w:spacing w:line="360" w:lineRule="auto"/>
        <w:ind w:firstLine="480" w:firstLineChars="200"/>
        <w:rPr>
          <w:rFonts w:ascii="宋体" w:hAnsi="宋体"/>
          <w:kern w:val="0"/>
          <w:sz w:val="24"/>
        </w:rPr>
      </w:pPr>
      <w:bookmarkStart w:id="176" w:name="_Toc496182625"/>
      <w:r>
        <w:rPr>
          <w:rFonts w:hint="eastAsia" w:ascii="宋体" w:hAnsi="宋体"/>
          <w:kern w:val="0"/>
          <w:sz w:val="24"/>
        </w:rPr>
        <w:t>公司对该要素建立了相应的制度，有明确的对法律、法规和标准收集的渠道、责任人、责任部门和时间频次。目前已收集的与企业安全生产相关的法律、法规和主要标准。所有收集的法律、法规和标准均建立了文本库，存有电子文档。</w:t>
      </w:r>
    </w:p>
    <w:p>
      <w:pPr>
        <w:adjustRightInd w:val="0"/>
        <w:snapToGrid w:val="0"/>
        <w:spacing w:line="360" w:lineRule="auto"/>
        <w:ind w:firstLine="480" w:firstLineChars="200"/>
        <w:rPr>
          <w:rFonts w:ascii="宋体" w:hAnsi="宋体"/>
          <w:kern w:val="0"/>
          <w:sz w:val="24"/>
        </w:rPr>
      </w:pPr>
      <w:r>
        <w:rPr>
          <w:rFonts w:hint="eastAsia" w:ascii="宋体" w:hAnsi="宋体"/>
          <w:kern w:val="0"/>
          <w:sz w:val="24"/>
        </w:rPr>
        <w:t>2</w:t>
      </w:r>
      <w:r>
        <w:rPr>
          <w:rFonts w:hint="eastAsia" w:ascii="宋体" w:hAnsi="宋体"/>
          <w:kern w:val="0"/>
          <w:sz w:val="24"/>
          <w:lang w:eastAsia="zh-CN"/>
        </w:rPr>
        <w:t>、</w:t>
      </w:r>
      <w:r>
        <w:rPr>
          <w:rFonts w:hint="eastAsia" w:ascii="宋体" w:hAnsi="宋体"/>
          <w:kern w:val="0"/>
          <w:sz w:val="24"/>
        </w:rPr>
        <w:t>机构和职责</w:t>
      </w:r>
      <w:bookmarkEnd w:id="176"/>
    </w:p>
    <w:p>
      <w:pPr>
        <w:adjustRightInd w:val="0"/>
        <w:snapToGrid w:val="0"/>
        <w:spacing w:line="360" w:lineRule="auto"/>
        <w:ind w:firstLine="480" w:firstLineChars="200"/>
        <w:rPr>
          <w:rFonts w:ascii="宋体" w:hAnsi="宋体"/>
          <w:kern w:val="0"/>
          <w:sz w:val="24"/>
        </w:rPr>
      </w:pPr>
      <w:r>
        <w:rPr>
          <w:rFonts w:hint="eastAsia" w:ascii="宋体" w:hAnsi="宋体"/>
          <w:kern w:val="0"/>
          <w:sz w:val="24"/>
        </w:rPr>
        <w:t>公司每年能够按照已建立的安全责任体系制定年度安全工作目标，层层签订安全生产责任状，并兑现考核结果。</w:t>
      </w:r>
    </w:p>
    <w:p>
      <w:pPr>
        <w:adjustRightInd w:val="0"/>
        <w:snapToGrid w:val="0"/>
        <w:spacing w:line="360" w:lineRule="auto"/>
        <w:ind w:firstLine="480" w:firstLineChars="200"/>
        <w:rPr>
          <w:rFonts w:ascii="宋体" w:hAnsi="宋体"/>
          <w:kern w:val="0"/>
          <w:sz w:val="24"/>
        </w:rPr>
      </w:pPr>
      <w:r>
        <w:rPr>
          <w:rFonts w:hint="eastAsia" w:ascii="宋体" w:hAnsi="宋体"/>
          <w:kern w:val="0"/>
          <w:sz w:val="24"/>
        </w:rPr>
        <w:t>按照《湖北省安全生产条例》的规定和安全生产标准化的要求，企业设置了专门的安全生产管理机构（安全生产部），配备了具有化工专业、一定学历层次的安全管理人员。公司自上而下建立了完整的安全管理网络。</w:t>
      </w:r>
    </w:p>
    <w:p>
      <w:pPr>
        <w:adjustRightInd w:val="0"/>
        <w:snapToGrid w:val="0"/>
        <w:spacing w:line="360" w:lineRule="auto"/>
        <w:ind w:firstLine="480" w:firstLineChars="200"/>
        <w:rPr>
          <w:rFonts w:ascii="宋体" w:hAnsi="宋体"/>
          <w:kern w:val="0"/>
          <w:sz w:val="24"/>
        </w:rPr>
      </w:pPr>
      <w:bookmarkStart w:id="177" w:name="_Toc496182626"/>
      <w:r>
        <w:rPr>
          <w:rFonts w:hint="eastAsia" w:ascii="宋体" w:hAnsi="宋体"/>
          <w:kern w:val="0"/>
          <w:sz w:val="24"/>
          <w:lang w:val="en-US" w:eastAsia="zh-CN"/>
        </w:rPr>
        <w:t>3、</w:t>
      </w:r>
      <w:r>
        <w:rPr>
          <w:rFonts w:hint="eastAsia" w:ascii="宋体" w:hAnsi="宋体"/>
          <w:kern w:val="0"/>
          <w:sz w:val="24"/>
        </w:rPr>
        <w:t>风险管理</w:t>
      </w:r>
      <w:bookmarkEnd w:id="177"/>
    </w:p>
    <w:p>
      <w:pPr>
        <w:adjustRightInd w:val="0"/>
        <w:snapToGrid w:val="0"/>
        <w:spacing w:line="360" w:lineRule="auto"/>
        <w:ind w:firstLine="480" w:firstLineChars="200"/>
        <w:rPr>
          <w:rFonts w:ascii="宋体" w:hAnsi="宋体"/>
          <w:kern w:val="0"/>
          <w:sz w:val="24"/>
        </w:rPr>
      </w:pPr>
      <w:r>
        <w:rPr>
          <w:rFonts w:hint="eastAsia" w:ascii="宋体" w:hAnsi="宋体"/>
          <w:kern w:val="0"/>
          <w:sz w:val="24"/>
        </w:rPr>
        <w:t>建立了风险管理体系，以制度形式明确了风险评价、分析、控制等工作的范围、准则及工作程序，明确了各班组、岗位在开展风险管理过程中的职责和任务。开展了相关的风险评价、风险控制、隐患排查治理等活动。对涉及到的危险化学品（</w:t>
      </w:r>
      <w:r>
        <w:rPr>
          <w:rFonts w:ascii="宋体" w:hAnsi="宋体"/>
          <w:kern w:val="0"/>
          <w:sz w:val="24"/>
        </w:rPr>
        <w:t>氯、天然气</w:t>
      </w:r>
      <w:r>
        <w:rPr>
          <w:rFonts w:hint="eastAsia" w:ascii="宋体" w:hAnsi="宋体"/>
          <w:kern w:val="0"/>
          <w:sz w:val="24"/>
        </w:rPr>
        <w:t>）的储存与使用位置均设置了全面的安全防护设施与检测报警系统，且配备了齐全的应急设备设施，确保作业人员的安全。</w:t>
      </w:r>
    </w:p>
    <w:p>
      <w:pPr>
        <w:adjustRightInd w:val="0"/>
        <w:snapToGrid w:val="0"/>
        <w:spacing w:line="360" w:lineRule="auto"/>
        <w:ind w:firstLine="480" w:firstLineChars="200"/>
        <w:rPr>
          <w:rFonts w:ascii="宋体" w:hAnsi="宋体"/>
          <w:kern w:val="0"/>
          <w:sz w:val="24"/>
        </w:rPr>
      </w:pPr>
      <w:bookmarkStart w:id="178" w:name="_Toc496182627"/>
      <w:r>
        <w:rPr>
          <w:rFonts w:ascii="宋体" w:hAnsi="宋体"/>
          <w:kern w:val="0"/>
          <w:sz w:val="24"/>
        </w:rPr>
        <w:t>4</w:t>
      </w:r>
      <w:r>
        <w:rPr>
          <w:rFonts w:hint="eastAsia" w:ascii="宋体" w:hAnsi="宋体"/>
          <w:kern w:val="0"/>
          <w:sz w:val="24"/>
          <w:lang w:eastAsia="zh-CN"/>
        </w:rPr>
        <w:t>、</w:t>
      </w:r>
      <w:r>
        <w:rPr>
          <w:rFonts w:hint="eastAsia" w:ascii="宋体" w:hAnsi="宋体"/>
          <w:kern w:val="0"/>
          <w:sz w:val="24"/>
        </w:rPr>
        <w:t>管理制度</w:t>
      </w:r>
      <w:bookmarkEnd w:id="178"/>
    </w:p>
    <w:p>
      <w:pPr>
        <w:adjustRightInd w:val="0"/>
        <w:snapToGrid w:val="0"/>
        <w:spacing w:line="360" w:lineRule="auto"/>
        <w:ind w:firstLine="480" w:firstLineChars="200"/>
        <w:rPr>
          <w:rFonts w:ascii="宋体" w:hAnsi="宋体"/>
          <w:kern w:val="0"/>
          <w:sz w:val="24"/>
        </w:rPr>
      </w:pPr>
      <w:r>
        <w:rPr>
          <w:rFonts w:hint="eastAsia" w:ascii="宋体" w:hAnsi="宋体"/>
          <w:kern w:val="0"/>
          <w:sz w:val="24"/>
        </w:rPr>
        <w:t>已按照现行的安全生产法律、法规、规章的规定，建立的与企业经营相适应的规章制度58个，涵盖和包括了评审标准要求的29个安全生产管理制度。建立的与企业生产经营相适应的操作规程。</w:t>
      </w:r>
    </w:p>
    <w:p>
      <w:pPr>
        <w:adjustRightInd w:val="0"/>
        <w:snapToGrid w:val="0"/>
        <w:spacing w:line="360" w:lineRule="auto"/>
        <w:ind w:firstLine="480" w:firstLineChars="200"/>
        <w:rPr>
          <w:rFonts w:ascii="宋体" w:hAnsi="宋体"/>
          <w:kern w:val="0"/>
          <w:sz w:val="24"/>
        </w:rPr>
      </w:pPr>
      <w:r>
        <w:rPr>
          <w:rFonts w:hint="eastAsia" w:ascii="宋体" w:hAnsi="宋体"/>
          <w:kern w:val="0"/>
          <w:sz w:val="24"/>
        </w:rPr>
        <w:t>对已建立的管理制度和操作规程基本能够做到定期评审和修订，并由公司主要负责人签发，装订成册，发放到有关的工作岗位。</w:t>
      </w:r>
    </w:p>
    <w:p>
      <w:pPr>
        <w:adjustRightInd w:val="0"/>
        <w:snapToGrid w:val="0"/>
        <w:spacing w:line="360" w:lineRule="auto"/>
        <w:ind w:firstLine="480" w:firstLineChars="200"/>
        <w:rPr>
          <w:rFonts w:ascii="宋体" w:hAnsi="宋体"/>
          <w:kern w:val="0"/>
          <w:sz w:val="24"/>
        </w:rPr>
      </w:pPr>
      <w:r>
        <w:rPr>
          <w:rFonts w:hint="eastAsia" w:ascii="宋体" w:hAnsi="宋体"/>
          <w:kern w:val="0"/>
          <w:sz w:val="24"/>
        </w:rPr>
        <w:t>自评期间，公司使用的</w:t>
      </w:r>
      <w:r>
        <w:rPr>
          <w:rFonts w:ascii="宋体" w:hAnsi="宋体"/>
          <w:kern w:val="0"/>
          <w:sz w:val="24"/>
        </w:rPr>
        <w:t>安全生产规章制度和操作规程</w:t>
      </w:r>
      <w:r>
        <w:rPr>
          <w:rFonts w:hint="eastAsia" w:ascii="宋体" w:hAnsi="宋体"/>
          <w:kern w:val="0"/>
          <w:sz w:val="24"/>
        </w:rPr>
        <w:t>均</w:t>
      </w:r>
      <w:r>
        <w:rPr>
          <w:rFonts w:ascii="宋体" w:hAnsi="宋体"/>
          <w:kern w:val="0"/>
          <w:sz w:val="24"/>
        </w:rPr>
        <w:t>是最新有效的版本</w:t>
      </w:r>
      <w:r>
        <w:rPr>
          <w:rFonts w:hint="eastAsia" w:ascii="宋体" w:hAnsi="宋体"/>
          <w:kern w:val="0"/>
          <w:sz w:val="24"/>
        </w:rPr>
        <w:t>。</w:t>
      </w:r>
    </w:p>
    <w:p>
      <w:pPr>
        <w:adjustRightInd w:val="0"/>
        <w:snapToGrid w:val="0"/>
        <w:spacing w:line="360" w:lineRule="auto"/>
        <w:ind w:firstLine="480" w:firstLineChars="200"/>
        <w:rPr>
          <w:rFonts w:ascii="宋体" w:hAnsi="宋体"/>
          <w:kern w:val="0"/>
          <w:sz w:val="24"/>
        </w:rPr>
      </w:pPr>
      <w:bookmarkStart w:id="179" w:name="_Toc496182628"/>
      <w:r>
        <w:rPr>
          <w:rFonts w:ascii="宋体" w:hAnsi="宋体"/>
          <w:kern w:val="0"/>
          <w:sz w:val="24"/>
        </w:rPr>
        <w:t>5</w:t>
      </w:r>
      <w:r>
        <w:rPr>
          <w:rFonts w:hint="eastAsia" w:ascii="宋体" w:hAnsi="宋体"/>
          <w:kern w:val="0"/>
          <w:sz w:val="24"/>
          <w:lang w:eastAsia="zh-CN"/>
        </w:rPr>
        <w:t>、</w:t>
      </w:r>
      <w:r>
        <w:rPr>
          <w:rFonts w:hint="eastAsia" w:ascii="宋体" w:hAnsi="宋体"/>
          <w:kern w:val="0"/>
          <w:sz w:val="24"/>
        </w:rPr>
        <w:t>教育培训</w:t>
      </w:r>
      <w:bookmarkEnd w:id="179"/>
    </w:p>
    <w:p>
      <w:pPr>
        <w:adjustRightInd w:val="0"/>
        <w:snapToGrid w:val="0"/>
        <w:spacing w:line="360" w:lineRule="auto"/>
        <w:ind w:firstLine="480" w:firstLineChars="200"/>
        <w:rPr>
          <w:rFonts w:ascii="宋体" w:hAnsi="宋体"/>
          <w:kern w:val="0"/>
          <w:sz w:val="24"/>
        </w:rPr>
      </w:pPr>
      <w:r>
        <w:rPr>
          <w:rFonts w:hint="eastAsia" w:ascii="宋体" w:hAnsi="宋体"/>
          <w:kern w:val="0"/>
          <w:sz w:val="24"/>
        </w:rPr>
        <w:t>自评周期内公司建立了安全培训教育制度，制定了安全培训目标和要求、202</w:t>
      </w:r>
      <w:r>
        <w:rPr>
          <w:rFonts w:hint="eastAsia" w:ascii="宋体" w:hAnsi="宋体"/>
          <w:kern w:val="0"/>
          <w:sz w:val="24"/>
          <w:lang w:val="en-US" w:eastAsia="zh-CN"/>
        </w:rPr>
        <w:t>3</w:t>
      </w:r>
      <w:r>
        <w:rPr>
          <w:rFonts w:hint="eastAsia" w:ascii="宋体" w:hAnsi="宋体"/>
          <w:kern w:val="0"/>
          <w:sz w:val="24"/>
        </w:rPr>
        <w:t>年度安全培训教育计划。开展安全培训教育所需的场地、人员、设备基本能够满足要求。公司确立了终身教育的观念和全员培训的目标，为从业人员建立了安全培训教育一人一档，利用多种形式，对从业人员进行经常性安全培训教育。</w:t>
      </w:r>
    </w:p>
    <w:p>
      <w:pPr>
        <w:adjustRightInd w:val="0"/>
        <w:snapToGrid w:val="0"/>
        <w:spacing w:line="360" w:lineRule="auto"/>
        <w:ind w:firstLine="480" w:firstLineChars="200"/>
        <w:rPr>
          <w:rFonts w:ascii="宋体" w:hAnsi="宋体"/>
          <w:kern w:val="0"/>
          <w:sz w:val="24"/>
        </w:rPr>
      </w:pPr>
      <w:r>
        <w:rPr>
          <w:rFonts w:hint="eastAsia" w:ascii="宋体" w:hAnsi="宋体"/>
          <w:kern w:val="0"/>
          <w:sz w:val="24"/>
        </w:rPr>
        <w:t>公司负责人、安全管理人员、特种作业人员能够做到持证上岗；已建立的教育培训台账基本齐全。</w:t>
      </w:r>
      <w:r>
        <w:rPr>
          <w:rFonts w:ascii="宋体" w:hAnsi="宋体"/>
          <w:kern w:val="0"/>
          <w:sz w:val="24"/>
        </w:rPr>
        <w:t>按</w:t>
      </w:r>
      <w:r>
        <w:rPr>
          <w:rFonts w:hint="eastAsia" w:ascii="宋体" w:hAnsi="宋体"/>
          <w:kern w:val="0"/>
          <w:sz w:val="24"/>
        </w:rPr>
        <w:t>照</w:t>
      </w:r>
      <w:r>
        <w:rPr>
          <w:rFonts w:ascii="宋体" w:hAnsi="宋体"/>
          <w:kern w:val="0"/>
          <w:sz w:val="24"/>
        </w:rPr>
        <w:t>《安全生产培训管理办法》</w:t>
      </w:r>
      <w:r>
        <w:rPr>
          <w:rFonts w:hint="eastAsia" w:ascii="宋体" w:hAnsi="宋体"/>
          <w:kern w:val="0"/>
          <w:sz w:val="24"/>
        </w:rPr>
        <w:t>（国家安监总局第80号令）</w:t>
      </w:r>
      <w:r>
        <w:rPr>
          <w:rFonts w:ascii="宋体" w:hAnsi="宋体"/>
          <w:kern w:val="0"/>
          <w:sz w:val="24"/>
        </w:rPr>
        <w:t>规定，对新从业人员进行</w:t>
      </w:r>
      <w:r>
        <w:rPr>
          <w:rFonts w:hint="eastAsia" w:ascii="宋体" w:hAnsi="宋体"/>
          <w:kern w:val="0"/>
          <w:sz w:val="24"/>
        </w:rPr>
        <w:t>三</w:t>
      </w:r>
      <w:r>
        <w:rPr>
          <w:rFonts w:ascii="宋体" w:hAnsi="宋体"/>
          <w:kern w:val="0"/>
          <w:sz w:val="24"/>
        </w:rPr>
        <w:t>级安全培训教育</w:t>
      </w:r>
      <w:r>
        <w:rPr>
          <w:rFonts w:hint="eastAsia" w:ascii="宋体" w:hAnsi="宋体"/>
          <w:kern w:val="0"/>
          <w:sz w:val="24"/>
        </w:rPr>
        <w:t>。</w:t>
      </w:r>
      <w:r>
        <w:rPr>
          <w:rFonts w:ascii="宋体" w:hAnsi="宋体"/>
          <w:kern w:val="0"/>
          <w:sz w:val="24"/>
        </w:rPr>
        <w:t>对外来参观、学习人员</w:t>
      </w:r>
      <w:r>
        <w:rPr>
          <w:rFonts w:hint="eastAsia" w:ascii="宋体" w:hAnsi="宋体"/>
          <w:kern w:val="0"/>
          <w:sz w:val="24"/>
        </w:rPr>
        <w:t>，以及在厂区内进行承包作业的人员开展了</w:t>
      </w:r>
      <w:r>
        <w:rPr>
          <w:rFonts w:ascii="宋体" w:hAnsi="宋体"/>
          <w:kern w:val="0"/>
          <w:sz w:val="24"/>
        </w:rPr>
        <w:t>有关安全规定及安全注意事项的</w:t>
      </w:r>
      <w:r>
        <w:rPr>
          <w:rFonts w:hint="eastAsia" w:ascii="宋体" w:hAnsi="宋体"/>
          <w:kern w:val="0"/>
          <w:sz w:val="24"/>
        </w:rPr>
        <w:t>安全告知</w:t>
      </w:r>
      <w:r>
        <w:rPr>
          <w:rFonts w:ascii="宋体" w:hAnsi="宋体"/>
          <w:kern w:val="0"/>
          <w:sz w:val="24"/>
        </w:rPr>
        <w:t>。</w:t>
      </w:r>
      <w:r>
        <w:rPr>
          <w:rFonts w:hint="eastAsia" w:ascii="宋体" w:hAnsi="宋体"/>
          <w:kern w:val="0"/>
          <w:sz w:val="24"/>
        </w:rPr>
        <w:t>各班组、岗位能够按</w:t>
      </w:r>
      <w:r>
        <w:rPr>
          <w:rFonts w:ascii="宋体" w:hAnsi="宋体"/>
          <w:kern w:val="0"/>
          <w:sz w:val="24"/>
        </w:rPr>
        <w:t>月度安全活动计划开展安全活动和基本功训练。</w:t>
      </w:r>
    </w:p>
    <w:p>
      <w:pPr>
        <w:adjustRightInd w:val="0"/>
        <w:snapToGrid w:val="0"/>
        <w:spacing w:line="360" w:lineRule="auto"/>
        <w:ind w:firstLine="480" w:firstLineChars="200"/>
        <w:rPr>
          <w:rFonts w:ascii="宋体" w:hAnsi="宋体"/>
          <w:kern w:val="0"/>
          <w:sz w:val="24"/>
        </w:rPr>
      </w:pPr>
      <w:bookmarkStart w:id="180" w:name="_Toc496182629"/>
      <w:r>
        <w:rPr>
          <w:rFonts w:ascii="宋体" w:hAnsi="宋体"/>
          <w:kern w:val="0"/>
          <w:sz w:val="24"/>
        </w:rPr>
        <w:t>6</w:t>
      </w:r>
      <w:bookmarkEnd w:id="180"/>
      <w:r>
        <w:rPr>
          <w:rFonts w:hint="eastAsia" w:ascii="宋体" w:hAnsi="宋体"/>
          <w:kern w:val="0"/>
          <w:sz w:val="24"/>
          <w:lang w:eastAsia="zh-CN"/>
        </w:rPr>
        <w:t>、</w:t>
      </w:r>
      <w:r>
        <w:rPr>
          <w:rFonts w:hint="eastAsia" w:ascii="宋体" w:hAnsi="宋体"/>
          <w:kern w:val="0"/>
          <w:sz w:val="24"/>
        </w:rPr>
        <w:t>生产设施及工艺安全</w:t>
      </w:r>
    </w:p>
    <w:p>
      <w:pPr>
        <w:adjustRightInd w:val="0"/>
        <w:snapToGrid w:val="0"/>
        <w:spacing w:line="360" w:lineRule="auto"/>
        <w:ind w:firstLine="480" w:firstLineChars="200"/>
        <w:rPr>
          <w:rFonts w:ascii="宋体" w:hAnsi="宋体"/>
          <w:kern w:val="0"/>
          <w:sz w:val="24"/>
        </w:rPr>
      </w:pPr>
      <w:r>
        <w:rPr>
          <w:rFonts w:hint="eastAsia" w:ascii="宋体" w:hAnsi="宋体"/>
          <w:kern w:val="0"/>
          <w:sz w:val="24"/>
        </w:rPr>
        <w:t>公司按照规定进行了建设项目安全设施“三同时”审查审批；评审周期内，对避雷设施、仪表、泄压、报警装置等安全设施进行了检测检验，并取得了合格报告；建立了特种设备台帐，定期对特种设备进行检测，并取得了相应的检测合格证明文件；操作工基本能够掌握所在岗位的工艺安全信息；在用工艺管道、装置、设施等无明显跑冒滴漏现象。</w:t>
      </w:r>
    </w:p>
    <w:p>
      <w:pPr>
        <w:adjustRightInd w:val="0"/>
        <w:snapToGrid w:val="0"/>
        <w:spacing w:line="360" w:lineRule="auto"/>
        <w:ind w:firstLine="480" w:firstLineChars="200"/>
        <w:rPr>
          <w:rFonts w:ascii="宋体" w:hAnsi="宋体"/>
          <w:kern w:val="0"/>
          <w:sz w:val="24"/>
        </w:rPr>
      </w:pPr>
      <w:r>
        <w:rPr>
          <w:rFonts w:hint="eastAsia" w:ascii="宋体" w:hAnsi="宋体"/>
          <w:kern w:val="0"/>
          <w:sz w:val="24"/>
          <w:lang w:val="en-US" w:eastAsia="zh-CN"/>
        </w:rPr>
        <w:t>7、</w:t>
      </w:r>
      <w:r>
        <w:rPr>
          <w:rFonts w:hint="eastAsia" w:ascii="宋体" w:hAnsi="宋体"/>
          <w:kern w:val="0"/>
          <w:sz w:val="24"/>
        </w:rPr>
        <w:t>作业安全</w:t>
      </w:r>
    </w:p>
    <w:p>
      <w:pPr>
        <w:adjustRightInd w:val="0"/>
        <w:snapToGrid w:val="0"/>
        <w:spacing w:line="360" w:lineRule="auto"/>
        <w:ind w:firstLine="480" w:firstLineChars="200"/>
        <w:rPr>
          <w:rFonts w:ascii="宋体" w:hAnsi="宋体"/>
          <w:kern w:val="0"/>
          <w:sz w:val="24"/>
        </w:rPr>
      </w:pPr>
      <w:r>
        <w:rPr>
          <w:rFonts w:hint="eastAsia" w:ascii="宋体" w:hAnsi="宋体"/>
          <w:kern w:val="0"/>
          <w:sz w:val="24"/>
        </w:rPr>
        <w:t>按照规定实施了危险性作业的许可管理，包括动火作业、进入受限空间作业、临时用电作业、高处作业实行了审批手续的管理；对承包商的管理基本能按制度执行，检查其资质、条件，对活动实施的不安全行为进行监督，并进行告知。公司根据作业场所的实际情况，设置明显的安全警示标志，进行危险提示、警示，告知危险的种类、后果及应急措施等。</w:t>
      </w:r>
    </w:p>
    <w:p>
      <w:pPr>
        <w:adjustRightInd w:val="0"/>
        <w:snapToGrid w:val="0"/>
        <w:spacing w:line="360" w:lineRule="auto"/>
        <w:ind w:firstLine="480" w:firstLineChars="200"/>
        <w:rPr>
          <w:rFonts w:ascii="宋体" w:hAnsi="宋体"/>
          <w:kern w:val="0"/>
          <w:sz w:val="24"/>
        </w:rPr>
      </w:pPr>
      <w:bookmarkStart w:id="181" w:name="_Toc496182633"/>
      <w:r>
        <w:rPr>
          <w:rFonts w:hint="eastAsia" w:ascii="宋体" w:hAnsi="宋体"/>
          <w:kern w:val="0"/>
          <w:sz w:val="24"/>
        </w:rPr>
        <w:t>8</w:t>
      </w:r>
      <w:bookmarkEnd w:id="181"/>
      <w:r>
        <w:rPr>
          <w:rFonts w:hint="eastAsia" w:ascii="宋体" w:hAnsi="宋体"/>
          <w:kern w:val="0"/>
          <w:sz w:val="24"/>
          <w:lang w:eastAsia="zh-CN"/>
        </w:rPr>
        <w:t>、</w:t>
      </w:r>
      <w:r>
        <w:rPr>
          <w:rFonts w:hint="eastAsia" w:ascii="宋体" w:hAnsi="宋体"/>
          <w:kern w:val="0"/>
          <w:sz w:val="24"/>
        </w:rPr>
        <w:t>职业健康</w:t>
      </w:r>
    </w:p>
    <w:p>
      <w:pPr>
        <w:adjustRightInd w:val="0"/>
        <w:snapToGrid w:val="0"/>
        <w:spacing w:line="360" w:lineRule="auto"/>
        <w:ind w:firstLine="480" w:firstLineChars="200"/>
        <w:rPr>
          <w:rFonts w:ascii="宋体" w:hAnsi="宋体"/>
          <w:kern w:val="0"/>
          <w:sz w:val="24"/>
        </w:rPr>
      </w:pPr>
      <w:r>
        <w:rPr>
          <w:rFonts w:hint="eastAsia" w:ascii="宋体" w:hAnsi="宋体"/>
          <w:kern w:val="0"/>
          <w:sz w:val="24"/>
        </w:rPr>
        <w:t>公司按照规定进行了职业病危害因素的申报并接受日常监督，公司定期组织员工体检，形成了职业卫生档案和健康监护档案。公司按照国家有关规定制定职业病危害防治计划和实施方案，并根据接触的危害种类为员工提供符合标准的个体防护用品和器具。</w:t>
      </w:r>
    </w:p>
    <w:p>
      <w:pPr>
        <w:adjustRightInd w:val="0"/>
        <w:snapToGrid w:val="0"/>
        <w:spacing w:line="360" w:lineRule="auto"/>
        <w:rPr>
          <w:rFonts w:ascii="宋体" w:hAnsi="宋体"/>
          <w:kern w:val="0"/>
          <w:sz w:val="24"/>
        </w:rPr>
      </w:pPr>
      <w:r>
        <w:rPr>
          <w:rFonts w:hint="eastAsia" w:ascii="宋体" w:hAnsi="宋体"/>
          <w:kern w:val="0"/>
          <w:sz w:val="24"/>
        </w:rPr>
        <w:t>用工合理，不存在安排有职业禁忌的从业人员从事禁忌作业行为。</w:t>
      </w:r>
    </w:p>
    <w:p>
      <w:pPr>
        <w:adjustRightInd w:val="0"/>
        <w:snapToGrid w:val="0"/>
        <w:spacing w:line="360" w:lineRule="auto"/>
        <w:ind w:firstLine="480" w:firstLineChars="200"/>
        <w:rPr>
          <w:rFonts w:ascii="宋体" w:hAnsi="宋体"/>
          <w:kern w:val="0"/>
          <w:sz w:val="24"/>
        </w:rPr>
      </w:pPr>
      <w:r>
        <w:rPr>
          <w:rFonts w:hint="eastAsia" w:ascii="宋体" w:hAnsi="宋体"/>
          <w:kern w:val="0"/>
          <w:sz w:val="24"/>
        </w:rPr>
        <w:t>9</w:t>
      </w:r>
      <w:r>
        <w:rPr>
          <w:rFonts w:hint="eastAsia" w:ascii="宋体" w:hAnsi="宋体"/>
          <w:kern w:val="0"/>
          <w:sz w:val="24"/>
          <w:lang w:eastAsia="zh-CN"/>
        </w:rPr>
        <w:t>、</w:t>
      </w:r>
      <w:r>
        <w:rPr>
          <w:rFonts w:hint="eastAsia" w:ascii="宋体" w:hAnsi="宋体"/>
          <w:kern w:val="0"/>
          <w:sz w:val="24"/>
        </w:rPr>
        <w:t>危险化学品管理</w:t>
      </w:r>
    </w:p>
    <w:p>
      <w:pPr>
        <w:adjustRightInd w:val="0"/>
        <w:snapToGrid w:val="0"/>
        <w:spacing w:line="360" w:lineRule="auto"/>
        <w:ind w:firstLine="480" w:firstLineChars="200"/>
        <w:rPr>
          <w:rFonts w:ascii="宋体" w:hAnsi="宋体"/>
          <w:kern w:val="0"/>
          <w:sz w:val="24"/>
        </w:rPr>
      </w:pPr>
      <w:r>
        <w:rPr>
          <w:rFonts w:hint="eastAsia" w:ascii="宋体" w:hAnsi="宋体"/>
          <w:kern w:val="0"/>
          <w:sz w:val="24"/>
        </w:rPr>
        <w:t>公司按照规定进行了危险化学品管理，对属于危险化学品的原料建立了危险化学品档案，进行了分类，完善了“一书一签”，进行了危化品登记，并以多种方式对相关人员进行了危害告知。</w:t>
      </w:r>
    </w:p>
    <w:p>
      <w:pPr>
        <w:adjustRightInd w:val="0"/>
        <w:snapToGrid w:val="0"/>
        <w:spacing w:line="360" w:lineRule="auto"/>
        <w:ind w:firstLine="480" w:firstLineChars="200"/>
        <w:rPr>
          <w:rFonts w:ascii="宋体" w:hAnsi="宋体"/>
          <w:kern w:val="0"/>
          <w:sz w:val="24"/>
        </w:rPr>
      </w:pPr>
      <w:r>
        <w:rPr>
          <w:rFonts w:hint="eastAsia" w:ascii="宋体" w:hAnsi="宋体"/>
          <w:kern w:val="0"/>
          <w:sz w:val="24"/>
        </w:rPr>
        <w:t>10</w:t>
      </w:r>
      <w:r>
        <w:rPr>
          <w:rFonts w:hint="eastAsia" w:ascii="宋体" w:hAnsi="宋体"/>
          <w:kern w:val="0"/>
          <w:sz w:val="24"/>
          <w:lang w:eastAsia="zh-CN"/>
        </w:rPr>
        <w:t>、</w:t>
      </w:r>
      <w:r>
        <w:rPr>
          <w:rFonts w:hint="eastAsia" w:ascii="宋体" w:hAnsi="宋体"/>
          <w:kern w:val="0"/>
          <w:sz w:val="24"/>
        </w:rPr>
        <w:t>事故与应急</w:t>
      </w:r>
    </w:p>
    <w:p>
      <w:pPr>
        <w:adjustRightInd w:val="0"/>
        <w:snapToGrid w:val="0"/>
        <w:spacing w:line="360" w:lineRule="auto"/>
        <w:ind w:firstLine="480" w:firstLineChars="200"/>
        <w:rPr>
          <w:rFonts w:ascii="宋体" w:hAnsi="宋体"/>
          <w:kern w:val="0"/>
          <w:sz w:val="24"/>
        </w:rPr>
      </w:pPr>
      <w:bookmarkStart w:id="182" w:name="_Toc523396156"/>
      <w:bookmarkStart w:id="183" w:name="_Toc1321"/>
      <w:r>
        <w:rPr>
          <w:rFonts w:hint="eastAsia" w:ascii="宋体" w:hAnsi="宋体"/>
          <w:kern w:val="0"/>
          <w:sz w:val="24"/>
        </w:rPr>
        <w:t>公司依据GB/T 29639-2020《生产经营单位生产安全事故应急预案编制导则》编制应急预案，并在老河口市应急管理局进行了备案；作业场所按照需要配置了相应的应急救援设施，基本能够保证应急之用；公司定期组织开展了厂级应急演练活动。</w:t>
      </w:r>
    </w:p>
    <w:p>
      <w:pPr>
        <w:adjustRightInd w:val="0"/>
        <w:snapToGrid w:val="0"/>
        <w:spacing w:line="360" w:lineRule="auto"/>
        <w:ind w:firstLine="480" w:firstLineChars="200"/>
        <w:rPr>
          <w:rFonts w:ascii="宋体" w:hAnsi="宋体"/>
          <w:kern w:val="0"/>
          <w:sz w:val="24"/>
        </w:rPr>
      </w:pPr>
      <w:r>
        <w:rPr>
          <w:rFonts w:hint="eastAsia" w:ascii="宋体" w:hAnsi="宋体"/>
          <w:kern w:val="0"/>
          <w:sz w:val="24"/>
        </w:rPr>
        <w:t>11</w:t>
      </w:r>
      <w:r>
        <w:rPr>
          <w:rFonts w:hint="eastAsia" w:ascii="宋体" w:hAnsi="宋体"/>
          <w:kern w:val="0"/>
          <w:sz w:val="24"/>
          <w:lang w:eastAsia="zh-CN"/>
        </w:rPr>
        <w:t>、</w:t>
      </w:r>
      <w:r>
        <w:rPr>
          <w:rFonts w:hint="eastAsia" w:ascii="宋体" w:hAnsi="宋体"/>
          <w:kern w:val="0"/>
          <w:sz w:val="24"/>
        </w:rPr>
        <w:t>检查与自评</w:t>
      </w:r>
    </w:p>
    <w:p>
      <w:pPr>
        <w:adjustRightInd w:val="0"/>
        <w:snapToGrid w:val="0"/>
        <w:spacing w:line="360" w:lineRule="auto"/>
        <w:ind w:firstLine="480" w:firstLineChars="200"/>
        <w:rPr>
          <w:rFonts w:ascii="宋体" w:hAnsi="宋体"/>
          <w:kern w:val="0"/>
          <w:sz w:val="24"/>
        </w:rPr>
      </w:pPr>
      <w:r>
        <w:rPr>
          <w:rFonts w:hint="eastAsia" w:ascii="宋体" w:hAnsi="宋体"/>
          <w:kern w:val="0"/>
          <w:sz w:val="24"/>
        </w:rPr>
        <w:t>公司制定了自评管理制度，编制有公司级安全检查标准，岗位安全检查采取巡查发现方式开展；对发现的问题基本能够进行整改消除，建有相应的台账进行记录；能够按照要求定期组织开展自评。</w:t>
      </w:r>
    </w:p>
    <w:p>
      <w:pPr>
        <w:adjustRightInd w:val="0"/>
        <w:snapToGrid w:val="0"/>
        <w:spacing w:line="360" w:lineRule="auto"/>
        <w:ind w:firstLine="480" w:firstLineChars="200"/>
        <w:rPr>
          <w:rFonts w:ascii="宋体" w:hAnsi="宋体"/>
          <w:kern w:val="0"/>
          <w:sz w:val="24"/>
        </w:rPr>
      </w:pPr>
      <w:r>
        <w:rPr>
          <w:rFonts w:hint="eastAsia" w:ascii="宋体" w:hAnsi="宋体"/>
          <w:kern w:val="0"/>
          <w:sz w:val="24"/>
        </w:rPr>
        <w:t>12</w:t>
      </w:r>
      <w:r>
        <w:rPr>
          <w:rFonts w:hint="eastAsia" w:ascii="宋体" w:hAnsi="宋体"/>
          <w:kern w:val="0"/>
          <w:sz w:val="24"/>
          <w:lang w:eastAsia="zh-CN"/>
        </w:rPr>
        <w:t>、</w:t>
      </w:r>
      <w:r>
        <w:rPr>
          <w:rFonts w:hint="eastAsia" w:ascii="宋体" w:hAnsi="宋体"/>
          <w:kern w:val="0"/>
          <w:sz w:val="24"/>
        </w:rPr>
        <w:t>本地区的要求</w:t>
      </w:r>
    </w:p>
    <w:p>
      <w:pPr>
        <w:adjustRightInd w:val="0"/>
        <w:snapToGrid w:val="0"/>
        <w:spacing w:line="360" w:lineRule="auto"/>
        <w:ind w:firstLine="480" w:firstLineChars="200"/>
      </w:pPr>
      <w:r>
        <w:rPr>
          <w:rFonts w:hint="eastAsia" w:ascii="宋体" w:hAnsi="宋体"/>
          <w:kern w:val="0"/>
          <w:sz w:val="24"/>
        </w:rPr>
        <w:t>公司主要负责人、技术负责人符合具有大学</w:t>
      </w:r>
      <w:r>
        <w:rPr>
          <w:rFonts w:hint="eastAsia" w:ascii="宋体" w:hAnsi="宋体"/>
          <w:kern w:val="0"/>
          <w:sz w:val="24"/>
          <w:lang w:eastAsia="zh-CN"/>
        </w:rPr>
        <w:t>专</w:t>
      </w:r>
      <w:r>
        <w:rPr>
          <w:rFonts w:hint="eastAsia" w:ascii="宋体" w:hAnsi="宋体"/>
          <w:kern w:val="0"/>
          <w:sz w:val="24"/>
        </w:rPr>
        <w:t>科及以上、化工专业背景的条件；注册安全工程师</w:t>
      </w:r>
      <w:r>
        <w:rPr>
          <w:rFonts w:hint="eastAsia" w:ascii="宋体" w:hAnsi="宋体"/>
          <w:kern w:val="0"/>
          <w:sz w:val="24"/>
          <w:lang w:eastAsia="zh-CN"/>
        </w:rPr>
        <w:t>王明胜</w:t>
      </w:r>
      <w:r>
        <w:rPr>
          <w:rFonts w:hint="eastAsia" w:ascii="宋体" w:hAnsi="宋体"/>
          <w:kern w:val="0"/>
          <w:sz w:val="24"/>
        </w:rPr>
        <w:t>与公司签订了安全技术服务协议；公司员工均签订了劳动合同；对外来施工单位作业过程实施了安全监督管理；厂区功能场所区分明显、设备作业区域无明显跑冒滴漏现象。</w:t>
      </w:r>
    </w:p>
    <w:p>
      <w:pPr>
        <w:pStyle w:val="2"/>
        <w:spacing w:before="0" w:after="0" w:line="25" w:lineRule="atLeast"/>
        <w:rPr>
          <w:rFonts w:ascii="宋体" w:hAnsi="宋体"/>
          <w:sz w:val="30"/>
          <w:szCs w:val="30"/>
        </w:rPr>
      </w:pPr>
      <w:r>
        <w:rPr>
          <w:rFonts w:hint="eastAsia" w:ascii="宋体" w:hAnsi="宋体"/>
          <w:kern w:val="2"/>
          <w:sz w:val="28"/>
          <w:szCs w:val="28"/>
        </w:rPr>
        <w:t>（二）要素运行情况及效果按持续改进情况</w:t>
      </w:r>
      <w:bookmarkEnd w:id="182"/>
      <w:bookmarkEnd w:id="183"/>
    </w:p>
    <w:p>
      <w:pPr>
        <w:adjustRightInd w:val="0"/>
        <w:snapToGrid w:val="0"/>
        <w:spacing w:line="360" w:lineRule="auto"/>
        <w:ind w:firstLine="480" w:firstLineChars="200"/>
        <w:rPr>
          <w:rFonts w:ascii="宋体" w:hAnsi="宋体" w:cs="宋体"/>
          <w:kern w:val="0"/>
          <w:sz w:val="24"/>
        </w:rPr>
      </w:pPr>
      <w:bookmarkStart w:id="184" w:name="_Toc9156"/>
      <w:r>
        <w:rPr>
          <w:rFonts w:hint="eastAsia" w:ascii="宋体" w:hAnsi="宋体"/>
          <w:kern w:val="0"/>
          <w:sz w:val="24"/>
        </w:rPr>
        <w:t>公司对自评中发现的不符合项提出整改措施，列入“立即整改”的，安全生产管理部立即组织整改，并对整改结果组织复核。列入“限期整改”的，按照“五落实”（整改措施落实、资金落实、时限落实、责任落实、应急预案落实）的原则，制订整改计划，并按计划组织推进，在今后的工作中要加强安全生产标准化运行管理，定期开展自查自评，持续改进安全生产条件，不断完善安全生产运行体制，提高安全生产管理水平和安全保障能力。通过自我检查、自我纠正和自我完善，建立起安全绩效持续改进的长效机制。</w:t>
      </w:r>
      <w:bookmarkEnd w:id="184"/>
    </w:p>
    <w:p>
      <w:pPr>
        <w:pStyle w:val="2"/>
        <w:spacing w:before="0" w:after="0" w:line="25" w:lineRule="atLeast"/>
        <w:rPr>
          <w:rFonts w:ascii="宋体" w:hAnsi="宋体"/>
          <w:kern w:val="2"/>
          <w:sz w:val="28"/>
          <w:szCs w:val="28"/>
        </w:rPr>
      </w:pPr>
      <w:r>
        <w:rPr>
          <w:rFonts w:hint="eastAsia" w:ascii="宋体" w:hAnsi="宋体"/>
          <w:kern w:val="2"/>
          <w:sz w:val="28"/>
          <w:szCs w:val="28"/>
        </w:rPr>
        <w:t>（三）安全生产标准化现场不符合项汇总表</w:t>
      </w:r>
    </w:p>
    <w:p/>
    <w:tbl>
      <w:tblPr>
        <w:tblStyle w:val="24"/>
        <w:tblW w:w="9322"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34"/>
        <w:gridCol w:w="3685"/>
        <w:gridCol w:w="3119"/>
        <w:gridCol w:w="1275"/>
        <w:gridCol w:w="70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534" w:type="dxa"/>
            <w:noWrap/>
            <w:vAlign w:val="center"/>
          </w:tcPr>
          <w:p>
            <w:pPr>
              <w:jc w:val="center"/>
              <w:rPr>
                <w:rFonts w:ascii="宋体" w:hAnsi="宋体" w:cs="宋体"/>
                <w:b/>
                <w:color w:val="000000"/>
                <w:sz w:val="18"/>
                <w:szCs w:val="18"/>
              </w:rPr>
            </w:pPr>
            <w:r>
              <w:rPr>
                <w:rFonts w:hint="eastAsia" w:ascii="宋体" w:hAnsi="宋体" w:cs="宋体"/>
                <w:b/>
                <w:color w:val="000000"/>
                <w:sz w:val="18"/>
                <w:szCs w:val="18"/>
              </w:rPr>
              <w:t>序号</w:t>
            </w:r>
          </w:p>
        </w:tc>
        <w:tc>
          <w:tcPr>
            <w:tcW w:w="3685" w:type="dxa"/>
            <w:noWrap/>
            <w:vAlign w:val="center"/>
          </w:tcPr>
          <w:p>
            <w:pPr>
              <w:jc w:val="center"/>
              <w:rPr>
                <w:rFonts w:ascii="宋体" w:hAnsi="宋体" w:cs="宋体"/>
                <w:b/>
                <w:color w:val="000000"/>
                <w:sz w:val="18"/>
                <w:szCs w:val="18"/>
              </w:rPr>
            </w:pPr>
            <w:r>
              <w:rPr>
                <w:rFonts w:hint="eastAsia" w:ascii="宋体" w:hAnsi="宋体" w:cs="宋体"/>
                <w:b/>
                <w:color w:val="000000"/>
                <w:sz w:val="18"/>
                <w:szCs w:val="18"/>
              </w:rPr>
              <w:t>不符合项内容</w:t>
            </w:r>
          </w:p>
        </w:tc>
        <w:tc>
          <w:tcPr>
            <w:tcW w:w="3119" w:type="dxa"/>
            <w:noWrap/>
            <w:vAlign w:val="center"/>
          </w:tcPr>
          <w:p>
            <w:pPr>
              <w:jc w:val="center"/>
              <w:rPr>
                <w:rFonts w:ascii="宋体" w:hAnsi="宋体" w:cs="宋体"/>
                <w:b/>
                <w:color w:val="000000"/>
                <w:sz w:val="18"/>
                <w:szCs w:val="18"/>
              </w:rPr>
            </w:pPr>
            <w:r>
              <w:rPr>
                <w:rFonts w:hint="eastAsia" w:ascii="宋体" w:hAnsi="宋体" w:cs="宋体"/>
                <w:b/>
                <w:color w:val="000000"/>
                <w:sz w:val="18"/>
                <w:szCs w:val="18"/>
              </w:rPr>
              <w:t>整改要求</w:t>
            </w:r>
          </w:p>
        </w:tc>
        <w:tc>
          <w:tcPr>
            <w:tcW w:w="1275" w:type="dxa"/>
            <w:noWrap/>
            <w:vAlign w:val="center"/>
          </w:tcPr>
          <w:p>
            <w:pPr>
              <w:jc w:val="center"/>
              <w:rPr>
                <w:rFonts w:ascii="宋体" w:hAnsi="宋体" w:cs="宋体"/>
                <w:b/>
                <w:color w:val="000000"/>
                <w:sz w:val="18"/>
                <w:szCs w:val="18"/>
              </w:rPr>
            </w:pPr>
            <w:r>
              <w:rPr>
                <w:rFonts w:hint="eastAsia" w:ascii="宋体" w:hAnsi="宋体" w:cs="宋体"/>
                <w:b/>
                <w:color w:val="000000"/>
                <w:sz w:val="18"/>
                <w:szCs w:val="18"/>
              </w:rPr>
              <w:t>整改类别</w:t>
            </w:r>
          </w:p>
        </w:tc>
        <w:tc>
          <w:tcPr>
            <w:tcW w:w="709" w:type="dxa"/>
            <w:noWrap/>
            <w:vAlign w:val="center"/>
          </w:tcPr>
          <w:p>
            <w:pPr>
              <w:jc w:val="center"/>
              <w:rPr>
                <w:rFonts w:ascii="宋体" w:hAnsi="宋体" w:cs="宋体"/>
                <w:b/>
                <w:color w:val="000000"/>
                <w:sz w:val="18"/>
                <w:szCs w:val="18"/>
              </w:rPr>
            </w:pPr>
            <w:r>
              <w:rPr>
                <w:rFonts w:hint="eastAsia" w:ascii="宋体" w:hAnsi="宋体" w:cs="宋体"/>
                <w:b/>
                <w:color w:val="000000"/>
                <w:sz w:val="18"/>
                <w:szCs w:val="18"/>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534" w:type="dxa"/>
            <w:noWrap/>
            <w:vAlign w:val="center"/>
          </w:tcPr>
          <w:p>
            <w:pPr>
              <w:numPr>
                <w:ilvl w:val="0"/>
                <w:numId w:val="6"/>
              </w:numPr>
              <w:rPr>
                <w:rFonts w:ascii="宋体" w:hAnsi="宋体" w:cs="宋体"/>
                <w:color w:val="000000"/>
                <w:sz w:val="18"/>
                <w:szCs w:val="18"/>
              </w:rPr>
            </w:pPr>
          </w:p>
        </w:tc>
        <w:tc>
          <w:tcPr>
            <w:tcW w:w="3685" w:type="dxa"/>
            <w:noWrap/>
            <w:vAlign w:val="center"/>
          </w:tcPr>
          <w:p>
            <w:pPr>
              <w:rPr>
                <w:rFonts w:ascii="宋体" w:hAnsi="宋体" w:cs="宋体"/>
                <w:color w:val="000000"/>
                <w:sz w:val="18"/>
                <w:szCs w:val="18"/>
              </w:rPr>
            </w:pPr>
            <w:r>
              <w:rPr>
                <w:rFonts w:hint="eastAsia" w:ascii="宋体" w:hAnsi="宋体" w:cs="宋体"/>
                <w:color w:val="000000"/>
                <w:sz w:val="18"/>
                <w:szCs w:val="18"/>
              </w:rPr>
              <w:t>法律法规文本数据库未及时更新</w:t>
            </w:r>
          </w:p>
        </w:tc>
        <w:tc>
          <w:tcPr>
            <w:tcW w:w="3119" w:type="dxa"/>
            <w:noWrap/>
            <w:vAlign w:val="center"/>
          </w:tcPr>
          <w:p>
            <w:pPr>
              <w:jc w:val="center"/>
              <w:rPr>
                <w:rFonts w:ascii="宋体" w:hAnsi="宋体" w:cs="宋体"/>
                <w:color w:val="000000"/>
                <w:sz w:val="18"/>
                <w:szCs w:val="18"/>
              </w:rPr>
            </w:pPr>
            <w:r>
              <w:rPr>
                <w:rFonts w:hint="eastAsia" w:ascii="宋体" w:hAnsi="宋体" w:cs="宋体"/>
                <w:color w:val="000000"/>
                <w:sz w:val="18"/>
                <w:szCs w:val="18"/>
              </w:rPr>
              <w:t>及时更新文本库</w:t>
            </w:r>
          </w:p>
        </w:tc>
        <w:tc>
          <w:tcPr>
            <w:tcW w:w="1275" w:type="dxa"/>
            <w:noWrap/>
            <w:vAlign w:val="center"/>
          </w:tcPr>
          <w:p>
            <w:pPr>
              <w:jc w:val="center"/>
              <w:rPr>
                <w:rFonts w:ascii="宋体" w:hAnsi="宋体" w:cs="宋体"/>
                <w:color w:val="000000"/>
                <w:sz w:val="18"/>
                <w:szCs w:val="18"/>
              </w:rPr>
            </w:pPr>
            <w:r>
              <w:rPr>
                <w:rFonts w:hint="eastAsia" w:ascii="宋体" w:hAnsi="宋体" w:cs="宋体"/>
                <w:color w:val="000000"/>
                <w:sz w:val="18"/>
                <w:szCs w:val="18"/>
              </w:rPr>
              <w:t>限期整改</w:t>
            </w:r>
          </w:p>
        </w:tc>
        <w:tc>
          <w:tcPr>
            <w:tcW w:w="709" w:type="dxa"/>
            <w:noWrap/>
            <w:vAlign w:val="center"/>
          </w:tcPr>
          <w:p>
            <w:pPr>
              <w:jc w:val="center"/>
              <w:rPr>
                <w:rFonts w:ascii="宋体" w:hAnsi="宋体" w:cs="宋体"/>
                <w:color w:val="000000"/>
                <w:sz w:val="18"/>
                <w:szCs w:val="18"/>
              </w:rPr>
            </w:pPr>
            <w:r>
              <w:rPr>
                <w:rFonts w:hint="eastAsia" w:ascii="宋体" w:hAnsi="宋体" w:cs="宋体"/>
                <w:color w:val="000000"/>
                <w:sz w:val="18"/>
                <w:szCs w:val="18"/>
              </w:rPr>
              <w:t>1.1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534" w:type="dxa"/>
            <w:noWrap/>
            <w:vAlign w:val="center"/>
          </w:tcPr>
          <w:p>
            <w:pPr>
              <w:numPr>
                <w:ilvl w:val="0"/>
                <w:numId w:val="6"/>
              </w:numPr>
              <w:jc w:val="center"/>
              <w:rPr>
                <w:rFonts w:ascii="宋体" w:hAnsi="宋体" w:cs="宋体"/>
                <w:color w:val="000000"/>
                <w:sz w:val="18"/>
                <w:szCs w:val="18"/>
              </w:rPr>
            </w:pPr>
          </w:p>
        </w:tc>
        <w:tc>
          <w:tcPr>
            <w:tcW w:w="3685" w:type="dxa"/>
            <w:noWrap/>
            <w:vAlign w:val="center"/>
          </w:tcPr>
          <w:p>
            <w:pPr>
              <w:rPr>
                <w:rFonts w:ascii="宋体" w:hAnsi="宋体" w:cs="宋体"/>
                <w:color w:val="000000"/>
                <w:sz w:val="18"/>
                <w:szCs w:val="18"/>
              </w:rPr>
            </w:pPr>
            <w:r>
              <w:rPr>
                <w:rFonts w:hint="eastAsia" w:ascii="宋体" w:hAnsi="宋体" w:cs="宋体"/>
                <w:color w:val="000000"/>
                <w:sz w:val="18"/>
                <w:szCs w:val="18"/>
              </w:rPr>
              <w:t>对评价出的不符合项未进行整改</w:t>
            </w:r>
          </w:p>
        </w:tc>
        <w:tc>
          <w:tcPr>
            <w:tcW w:w="3119" w:type="dxa"/>
            <w:noWrap/>
            <w:vAlign w:val="center"/>
          </w:tcPr>
          <w:p>
            <w:pPr>
              <w:jc w:val="center"/>
              <w:rPr>
                <w:rFonts w:ascii="宋体" w:hAnsi="宋体" w:cs="宋体"/>
                <w:color w:val="000000"/>
                <w:sz w:val="18"/>
                <w:szCs w:val="18"/>
              </w:rPr>
            </w:pPr>
            <w:r>
              <w:rPr>
                <w:rFonts w:hint="eastAsia" w:ascii="宋体" w:hAnsi="宋体" w:cs="宋体"/>
                <w:color w:val="000000"/>
                <w:sz w:val="18"/>
                <w:szCs w:val="18"/>
              </w:rPr>
              <w:t>针对不符合项及时整改</w:t>
            </w:r>
          </w:p>
        </w:tc>
        <w:tc>
          <w:tcPr>
            <w:tcW w:w="1275" w:type="dxa"/>
            <w:noWrap/>
            <w:vAlign w:val="center"/>
          </w:tcPr>
          <w:p>
            <w:pPr>
              <w:jc w:val="center"/>
              <w:rPr>
                <w:rFonts w:ascii="宋体" w:hAnsi="宋体" w:cs="宋体"/>
                <w:color w:val="000000"/>
                <w:sz w:val="18"/>
                <w:szCs w:val="18"/>
              </w:rPr>
            </w:pPr>
            <w:r>
              <w:rPr>
                <w:rFonts w:hint="eastAsia" w:ascii="宋体" w:hAnsi="宋体" w:cs="宋体"/>
                <w:color w:val="000000"/>
                <w:sz w:val="18"/>
                <w:szCs w:val="18"/>
              </w:rPr>
              <w:t>限期整改</w:t>
            </w:r>
          </w:p>
        </w:tc>
        <w:tc>
          <w:tcPr>
            <w:tcW w:w="709" w:type="dxa"/>
            <w:noWrap/>
            <w:vAlign w:val="center"/>
          </w:tcPr>
          <w:p>
            <w:pPr>
              <w:jc w:val="center"/>
              <w:rPr>
                <w:rFonts w:ascii="宋体" w:hAnsi="宋体" w:cs="宋体"/>
                <w:color w:val="000000"/>
                <w:sz w:val="18"/>
                <w:szCs w:val="18"/>
              </w:rPr>
            </w:pPr>
            <w:r>
              <w:rPr>
                <w:rFonts w:hint="eastAsia" w:ascii="宋体" w:hAnsi="宋体" w:cs="宋体"/>
                <w:color w:val="000000"/>
                <w:sz w:val="18"/>
                <w:szCs w:val="18"/>
              </w:rPr>
              <w:t>1.2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534" w:type="dxa"/>
            <w:noWrap/>
            <w:vAlign w:val="center"/>
          </w:tcPr>
          <w:p>
            <w:pPr>
              <w:numPr>
                <w:ilvl w:val="0"/>
                <w:numId w:val="6"/>
              </w:numPr>
              <w:jc w:val="center"/>
              <w:rPr>
                <w:rFonts w:ascii="宋体" w:hAnsi="宋体" w:cs="宋体"/>
                <w:color w:val="000000"/>
                <w:sz w:val="18"/>
                <w:szCs w:val="18"/>
              </w:rPr>
            </w:pPr>
          </w:p>
        </w:tc>
        <w:tc>
          <w:tcPr>
            <w:tcW w:w="3685" w:type="dxa"/>
            <w:noWrap/>
            <w:vAlign w:val="center"/>
          </w:tcPr>
          <w:p>
            <w:pPr>
              <w:rPr>
                <w:rFonts w:ascii="宋体" w:hAnsi="宋体" w:cs="宋体"/>
                <w:color w:val="000000"/>
                <w:sz w:val="18"/>
                <w:szCs w:val="18"/>
              </w:rPr>
            </w:pPr>
            <w:r>
              <w:rPr>
                <w:rFonts w:hint="eastAsia" w:ascii="宋体" w:hAnsi="宋体" w:cs="宋体"/>
                <w:color w:val="000000"/>
                <w:sz w:val="18"/>
                <w:szCs w:val="18"/>
              </w:rPr>
              <w:t>现场询问岗位人员不了解安全生产方针或安全生产目标</w:t>
            </w:r>
          </w:p>
        </w:tc>
        <w:tc>
          <w:tcPr>
            <w:tcW w:w="3119" w:type="dxa"/>
            <w:noWrap/>
            <w:vAlign w:val="center"/>
          </w:tcPr>
          <w:p>
            <w:pPr>
              <w:jc w:val="center"/>
              <w:rPr>
                <w:rFonts w:ascii="宋体" w:hAnsi="宋体" w:cs="宋体"/>
                <w:color w:val="000000"/>
                <w:sz w:val="18"/>
                <w:szCs w:val="18"/>
              </w:rPr>
            </w:pPr>
            <w:r>
              <w:rPr>
                <w:rFonts w:hint="eastAsia" w:ascii="宋体" w:hAnsi="宋体" w:cs="宋体"/>
                <w:color w:val="000000"/>
                <w:sz w:val="18"/>
                <w:szCs w:val="18"/>
              </w:rPr>
              <w:t>组织学习培训</w:t>
            </w:r>
          </w:p>
        </w:tc>
        <w:tc>
          <w:tcPr>
            <w:tcW w:w="1275" w:type="dxa"/>
            <w:noWrap/>
            <w:vAlign w:val="center"/>
          </w:tcPr>
          <w:p>
            <w:pPr>
              <w:jc w:val="center"/>
              <w:rPr>
                <w:rFonts w:ascii="宋体" w:hAnsi="宋体" w:cs="宋体"/>
                <w:color w:val="000000"/>
                <w:sz w:val="18"/>
                <w:szCs w:val="18"/>
              </w:rPr>
            </w:pPr>
            <w:r>
              <w:rPr>
                <w:rFonts w:hint="eastAsia" w:ascii="宋体" w:hAnsi="宋体" w:cs="宋体"/>
                <w:color w:val="000000"/>
                <w:sz w:val="18"/>
                <w:szCs w:val="18"/>
              </w:rPr>
              <w:t>限期整改</w:t>
            </w:r>
          </w:p>
        </w:tc>
        <w:tc>
          <w:tcPr>
            <w:tcW w:w="709" w:type="dxa"/>
            <w:noWrap/>
            <w:vAlign w:val="center"/>
          </w:tcPr>
          <w:p>
            <w:pPr>
              <w:jc w:val="center"/>
              <w:rPr>
                <w:rFonts w:ascii="宋体" w:hAnsi="宋体" w:cs="宋体"/>
                <w:color w:val="000000"/>
                <w:sz w:val="18"/>
                <w:szCs w:val="18"/>
              </w:rPr>
            </w:pPr>
            <w:r>
              <w:rPr>
                <w:rFonts w:hint="eastAsia" w:ascii="宋体" w:hAnsi="宋体" w:cs="宋体"/>
                <w:color w:val="000000"/>
                <w:sz w:val="18"/>
                <w:szCs w:val="18"/>
              </w:rPr>
              <w:t>2.1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534" w:type="dxa"/>
            <w:noWrap/>
            <w:vAlign w:val="center"/>
          </w:tcPr>
          <w:p>
            <w:pPr>
              <w:numPr>
                <w:ilvl w:val="0"/>
                <w:numId w:val="6"/>
              </w:numPr>
              <w:jc w:val="center"/>
              <w:rPr>
                <w:rFonts w:ascii="宋体" w:hAnsi="宋体" w:cs="宋体"/>
                <w:color w:val="000000"/>
                <w:sz w:val="18"/>
                <w:szCs w:val="18"/>
              </w:rPr>
            </w:pPr>
          </w:p>
        </w:tc>
        <w:tc>
          <w:tcPr>
            <w:tcW w:w="3685" w:type="dxa"/>
            <w:noWrap/>
            <w:vAlign w:val="center"/>
          </w:tcPr>
          <w:p>
            <w:pPr>
              <w:rPr>
                <w:rFonts w:ascii="宋体" w:hAnsi="宋体" w:cs="宋体"/>
                <w:color w:val="000000"/>
                <w:sz w:val="18"/>
                <w:szCs w:val="18"/>
              </w:rPr>
            </w:pPr>
            <w:r>
              <w:rPr>
                <w:rFonts w:hint="eastAsia" w:ascii="宋体" w:hAnsi="宋体" w:cs="宋体"/>
                <w:color w:val="000000"/>
                <w:sz w:val="18"/>
                <w:szCs w:val="18"/>
              </w:rPr>
              <w:t>企业安全生产目标未见考核奖惩记录</w:t>
            </w:r>
          </w:p>
        </w:tc>
        <w:tc>
          <w:tcPr>
            <w:tcW w:w="3119" w:type="dxa"/>
            <w:noWrap/>
            <w:vAlign w:val="center"/>
          </w:tcPr>
          <w:p>
            <w:pPr>
              <w:jc w:val="center"/>
              <w:rPr>
                <w:rFonts w:ascii="宋体" w:hAnsi="宋体" w:cs="宋体"/>
                <w:color w:val="000000"/>
                <w:sz w:val="18"/>
                <w:szCs w:val="18"/>
              </w:rPr>
            </w:pPr>
            <w:r>
              <w:rPr>
                <w:rFonts w:hint="eastAsia" w:ascii="宋体" w:hAnsi="宋体" w:cs="宋体"/>
                <w:color w:val="000000"/>
                <w:sz w:val="18"/>
                <w:szCs w:val="18"/>
              </w:rPr>
              <w:t>建立考核台账做好奖惩记录</w:t>
            </w:r>
          </w:p>
        </w:tc>
        <w:tc>
          <w:tcPr>
            <w:tcW w:w="1275" w:type="dxa"/>
            <w:noWrap/>
            <w:vAlign w:val="center"/>
          </w:tcPr>
          <w:p>
            <w:pPr>
              <w:jc w:val="center"/>
              <w:rPr>
                <w:rFonts w:ascii="宋体" w:hAnsi="宋体" w:cs="宋体"/>
                <w:color w:val="000000"/>
                <w:sz w:val="18"/>
                <w:szCs w:val="18"/>
              </w:rPr>
            </w:pPr>
            <w:r>
              <w:rPr>
                <w:rFonts w:hint="eastAsia" w:ascii="宋体" w:hAnsi="宋体" w:cs="宋体"/>
                <w:color w:val="000000"/>
                <w:sz w:val="18"/>
                <w:szCs w:val="18"/>
              </w:rPr>
              <w:t>限期整改</w:t>
            </w:r>
          </w:p>
        </w:tc>
        <w:tc>
          <w:tcPr>
            <w:tcW w:w="709" w:type="dxa"/>
            <w:noWrap/>
            <w:vAlign w:val="center"/>
          </w:tcPr>
          <w:p>
            <w:pPr>
              <w:jc w:val="center"/>
              <w:rPr>
                <w:rFonts w:ascii="宋体" w:hAnsi="宋体" w:cs="宋体"/>
                <w:color w:val="000000"/>
                <w:sz w:val="18"/>
                <w:szCs w:val="18"/>
              </w:rPr>
            </w:pPr>
            <w:r>
              <w:rPr>
                <w:rFonts w:hint="eastAsia" w:ascii="宋体" w:hAnsi="宋体" w:cs="宋体"/>
                <w:color w:val="000000"/>
                <w:sz w:val="18"/>
                <w:szCs w:val="18"/>
              </w:rPr>
              <w:t>2.1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534" w:type="dxa"/>
            <w:noWrap/>
            <w:vAlign w:val="center"/>
          </w:tcPr>
          <w:p>
            <w:pPr>
              <w:numPr>
                <w:ilvl w:val="0"/>
                <w:numId w:val="6"/>
              </w:numPr>
              <w:jc w:val="center"/>
              <w:rPr>
                <w:rFonts w:ascii="宋体" w:hAnsi="宋体" w:cs="宋体"/>
                <w:color w:val="000000"/>
                <w:sz w:val="18"/>
                <w:szCs w:val="18"/>
              </w:rPr>
            </w:pPr>
          </w:p>
        </w:tc>
        <w:tc>
          <w:tcPr>
            <w:tcW w:w="3685" w:type="dxa"/>
            <w:noWrap/>
            <w:vAlign w:val="center"/>
          </w:tcPr>
          <w:p>
            <w:pPr>
              <w:rPr>
                <w:rFonts w:ascii="宋体" w:hAnsi="宋体" w:cs="宋体"/>
                <w:color w:val="000000"/>
                <w:sz w:val="18"/>
                <w:szCs w:val="18"/>
              </w:rPr>
            </w:pPr>
            <w:r>
              <w:rPr>
                <w:rFonts w:hint="eastAsia" w:ascii="宋体" w:hAnsi="宋体" w:cs="宋体"/>
                <w:color w:val="000000"/>
                <w:sz w:val="18"/>
                <w:szCs w:val="18"/>
              </w:rPr>
              <w:t>经询问，个别人员不了解风险评价制度内容</w:t>
            </w:r>
          </w:p>
        </w:tc>
        <w:tc>
          <w:tcPr>
            <w:tcW w:w="3119" w:type="dxa"/>
            <w:noWrap/>
            <w:vAlign w:val="center"/>
          </w:tcPr>
          <w:p>
            <w:pPr>
              <w:jc w:val="center"/>
              <w:rPr>
                <w:rFonts w:ascii="宋体" w:hAnsi="宋体" w:cs="宋体"/>
                <w:color w:val="000000"/>
                <w:sz w:val="18"/>
                <w:szCs w:val="18"/>
              </w:rPr>
            </w:pPr>
            <w:r>
              <w:rPr>
                <w:rFonts w:hint="eastAsia" w:ascii="宋体" w:hAnsi="宋体" w:cs="宋体"/>
                <w:color w:val="000000"/>
                <w:sz w:val="18"/>
                <w:szCs w:val="18"/>
              </w:rPr>
              <w:t>组织学习培训</w:t>
            </w:r>
          </w:p>
        </w:tc>
        <w:tc>
          <w:tcPr>
            <w:tcW w:w="1275" w:type="dxa"/>
            <w:noWrap/>
            <w:vAlign w:val="center"/>
          </w:tcPr>
          <w:p>
            <w:pPr>
              <w:jc w:val="center"/>
              <w:rPr>
                <w:rFonts w:ascii="宋体" w:hAnsi="宋体" w:cs="宋体"/>
                <w:color w:val="000000"/>
                <w:sz w:val="18"/>
                <w:szCs w:val="18"/>
              </w:rPr>
            </w:pPr>
            <w:r>
              <w:rPr>
                <w:rFonts w:hint="eastAsia" w:ascii="宋体" w:hAnsi="宋体" w:cs="宋体"/>
                <w:color w:val="000000"/>
                <w:sz w:val="18"/>
                <w:szCs w:val="18"/>
              </w:rPr>
              <w:t>限期整改</w:t>
            </w:r>
          </w:p>
        </w:tc>
        <w:tc>
          <w:tcPr>
            <w:tcW w:w="709" w:type="dxa"/>
            <w:noWrap/>
            <w:vAlign w:val="center"/>
          </w:tcPr>
          <w:p>
            <w:pPr>
              <w:jc w:val="center"/>
              <w:rPr>
                <w:rFonts w:ascii="宋体" w:hAnsi="宋体" w:cs="宋体"/>
                <w:color w:val="000000"/>
                <w:sz w:val="18"/>
                <w:szCs w:val="18"/>
              </w:rPr>
            </w:pPr>
            <w:r>
              <w:rPr>
                <w:rFonts w:hint="eastAsia" w:ascii="宋体" w:hAnsi="宋体" w:cs="宋体"/>
                <w:color w:val="000000"/>
                <w:sz w:val="18"/>
                <w:szCs w:val="18"/>
              </w:rPr>
              <w:t>3.1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534" w:type="dxa"/>
            <w:noWrap/>
            <w:vAlign w:val="center"/>
          </w:tcPr>
          <w:p>
            <w:pPr>
              <w:numPr>
                <w:ilvl w:val="0"/>
                <w:numId w:val="6"/>
              </w:numPr>
              <w:jc w:val="center"/>
              <w:rPr>
                <w:rFonts w:ascii="宋体" w:hAnsi="宋体" w:cs="宋体"/>
                <w:color w:val="000000"/>
                <w:sz w:val="18"/>
                <w:szCs w:val="18"/>
              </w:rPr>
            </w:pPr>
          </w:p>
        </w:tc>
        <w:tc>
          <w:tcPr>
            <w:tcW w:w="3685" w:type="dxa"/>
            <w:noWrap/>
            <w:vAlign w:val="center"/>
          </w:tcPr>
          <w:p>
            <w:pPr>
              <w:rPr>
                <w:rFonts w:ascii="宋体" w:hAnsi="宋体" w:cs="宋体"/>
                <w:color w:val="000000"/>
                <w:sz w:val="18"/>
                <w:szCs w:val="18"/>
              </w:rPr>
            </w:pPr>
            <w:r>
              <w:rPr>
                <w:rFonts w:hint="eastAsia" w:ascii="宋体" w:hAnsi="宋体" w:cs="宋体"/>
                <w:color w:val="000000"/>
                <w:sz w:val="18"/>
                <w:szCs w:val="18"/>
              </w:rPr>
              <w:t>经询问，个别人员不清楚或未掌握风险评价方法</w:t>
            </w:r>
          </w:p>
        </w:tc>
        <w:tc>
          <w:tcPr>
            <w:tcW w:w="3119" w:type="dxa"/>
            <w:noWrap/>
            <w:vAlign w:val="center"/>
          </w:tcPr>
          <w:p>
            <w:pPr>
              <w:jc w:val="center"/>
              <w:rPr>
                <w:rFonts w:ascii="宋体" w:hAnsi="宋体" w:cs="宋体"/>
                <w:color w:val="000000"/>
                <w:sz w:val="18"/>
                <w:szCs w:val="18"/>
              </w:rPr>
            </w:pPr>
            <w:r>
              <w:rPr>
                <w:rFonts w:hint="eastAsia" w:ascii="宋体" w:hAnsi="宋体" w:cs="宋体"/>
                <w:color w:val="000000"/>
                <w:sz w:val="18"/>
                <w:szCs w:val="18"/>
              </w:rPr>
              <w:t>组织学习培训</w:t>
            </w:r>
          </w:p>
        </w:tc>
        <w:tc>
          <w:tcPr>
            <w:tcW w:w="1275" w:type="dxa"/>
            <w:noWrap/>
            <w:vAlign w:val="center"/>
          </w:tcPr>
          <w:p>
            <w:pPr>
              <w:jc w:val="center"/>
              <w:rPr>
                <w:rFonts w:ascii="宋体" w:hAnsi="宋体" w:cs="宋体"/>
                <w:color w:val="000000"/>
                <w:sz w:val="18"/>
                <w:szCs w:val="18"/>
              </w:rPr>
            </w:pPr>
            <w:r>
              <w:rPr>
                <w:rFonts w:hint="eastAsia" w:ascii="宋体" w:hAnsi="宋体" w:cs="宋体"/>
                <w:color w:val="000000"/>
                <w:sz w:val="18"/>
                <w:szCs w:val="18"/>
              </w:rPr>
              <w:t>限期整改</w:t>
            </w:r>
          </w:p>
        </w:tc>
        <w:tc>
          <w:tcPr>
            <w:tcW w:w="709" w:type="dxa"/>
            <w:noWrap/>
            <w:vAlign w:val="center"/>
          </w:tcPr>
          <w:p>
            <w:pPr>
              <w:jc w:val="center"/>
              <w:rPr>
                <w:rFonts w:ascii="宋体" w:hAnsi="宋体" w:cs="宋体"/>
                <w:color w:val="000000"/>
                <w:sz w:val="18"/>
                <w:szCs w:val="18"/>
              </w:rPr>
            </w:pPr>
            <w:r>
              <w:rPr>
                <w:rFonts w:hint="eastAsia" w:ascii="宋体" w:hAnsi="宋体" w:cs="宋体"/>
                <w:color w:val="000000"/>
                <w:sz w:val="18"/>
                <w:szCs w:val="18"/>
              </w:rPr>
              <w:t>3.2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534" w:type="dxa"/>
            <w:noWrap/>
            <w:vAlign w:val="center"/>
          </w:tcPr>
          <w:p>
            <w:pPr>
              <w:numPr>
                <w:ilvl w:val="0"/>
                <w:numId w:val="6"/>
              </w:numPr>
              <w:jc w:val="center"/>
              <w:rPr>
                <w:rFonts w:ascii="宋体" w:hAnsi="宋体" w:cs="宋体"/>
                <w:color w:val="000000"/>
                <w:sz w:val="18"/>
                <w:szCs w:val="18"/>
              </w:rPr>
            </w:pPr>
          </w:p>
        </w:tc>
        <w:tc>
          <w:tcPr>
            <w:tcW w:w="3685" w:type="dxa"/>
            <w:noWrap/>
            <w:vAlign w:val="center"/>
          </w:tcPr>
          <w:p>
            <w:pPr>
              <w:rPr>
                <w:rFonts w:ascii="宋体" w:hAnsi="宋体" w:cs="宋体"/>
                <w:color w:val="000000"/>
                <w:sz w:val="18"/>
                <w:szCs w:val="18"/>
              </w:rPr>
            </w:pPr>
            <w:r>
              <w:rPr>
                <w:rFonts w:hint="eastAsia" w:ascii="宋体" w:hAnsi="宋体" w:cs="宋体"/>
                <w:color w:val="000000"/>
                <w:sz w:val="18"/>
                <w:szCs w:val="18"/>
              </w:rPr>
              <w:t>部分风险控制措施缺乏针对性、可操作性和可靠性</w:t>
            </w:r>
          </w:p>
        </w:tc>
        <w:tc>
          <w:tcPr>
            <w:tcW w:w="3119" w:type="dxa"/>
            <w:noWrap/>
            <w:vAlign w:val="center"/>
          </w:tcPr>
          <w:p>
            <w:pPr>
              <w:jc w:val="center"/>
              <w:rPr>
                <w:rFonts w:ascii="宋体" w:hAnsi="宋体" w:cs="宋体"/>
                <w:color w:val="000000"/>
                <w:sz w:val="18"/>
                <w:szCs w:val="18"/>
              </w:rPr>
            </w:pPr>
            <w:r>
              <w:rPr>
                <w:rFonts w:hint="eastAsia" w:ascii="宋体" w:hAnsi="宋体" w:cs="宋体"/>
                <w:color w:val="000000"/>
                <w:sz w:val="18"/>
                <w:szCs w:val="18"/>
              </w:rPr>
              <w:t>梳理、结合实际制定风险控制措施</w:t>
            </w:r>
          </w:p>
        </w:tc>
        <w:tc>
          <w:tcPr>
            <w:tcW w:w="1275" w:type="dxa"/>
            <w:noWrap/>
            <w:vAlign w:val="center"/>
          </w:tcPr>
          <w:p>
            <w:pPr>
              <w:jc w:val="center"/>
              <w:rPr>
                <w:rFonts w:ascii="宋体" w:hAnsi="宋体" w:cs="宋体"/>
                <w:color w:val="000000"/>
                <w:sz w:val="18"/>
                <w:szCs w:val="18"/>
              </w:rPr>
            </w:pPr>
            <w:r>
              <w:rPr>
                <w:rFonts w:hint="eastAsia" w:ascii="宋体" w:hAnsi="宋体" w:cs="宋体"/>
                <w:color w:val="000000"/>
                <w:sz w:val="18"/>
                <w:szCs w:val="18"/>
              </w:rPr>
              <w:t>限期整改</w:t>
            </w:r>
          </w:p>
        </w:tc>
        <w:tc>
          <w:tcPr>
            <w:tcW w:w="709" w:type="dxa"/>
            <w:noWrap/>
            <w:vAlign w:val="center"/>
          </w:tcPr>
          <w:p>
            <w:pPr>
              <w:jc w:val="center"/>
              <w:rPr>
                <w:rFonts w:ascii="宋体" w:hAnsi="宋体" w:cs="宋体"/>
                <w:color w:val="000000"/>
                <w:sz w:val="18"/>
                <w:szCs w:val="18"/>
              </w:rPr>
            </w:pPr>
            <w:r>
              <w:rPr>
                <w:rFonts w:hint="eastAsia" w:ascii="宋体" w:hAnsi="宋体" w:cs="宋体"/>
                <w:color w:val="000000"/>
                <w:sz w:val="18"/>
                <w:szCs w:val="18"/>
              </w:rPr>
              <w:t>3.3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534" w:type="dxa"/>
            <w:noWrap/>
            <w:vAlign w:val="center"/>
          </w:tcPr>
          <w:p>
            <w:pPr>
              <w:numPr>
                <w:ilvl w:val="0"/>
                <w:numId w:val="6"/>
              </w:numPr>
              <w:jc w:val="center"/>
              <w:rPr>
                <w:rFonts w:ascii="宋体" w:hAnsi="宋体" w:cs="宋体"/>
                <w:color w:val="000000"/>
                <w:sz w:val="18"/>
                <w:szCs w:val="18"/>
              </w:rPr>
            </w:pPr>
          </w:p>
        </w:tc>
        <w:tc>
          <w:tcPr>
            <w:tcW w:w="3685" w:type="dxa"/>
            <w:noWrap/>
            <w:vAlign w:val="center"/>
          </w:tcPr>
          <w:p>
            <w:pPr>
              <w:rPr>
                <w:rFonts w:ascii="宋体" w:hAnsi="宋体" w:cs="宋体"/>
                <w:color w:val="000000"/>
                <w:sz w:val="18"/>
                <w:szCs w:val="18"/>
              </w:rPr>
            </w:pPr>
            <w:r>
              <w:rPr>
                <w:rFonts w:hint="eastAsia" w:ascii="宋体" w:hAnsi="宋体" w:cs="宋体"/>
                <w:color w:val="000000"/>
                <w:sz w:val="18"/>
                <w:szCs w:val="18"/>
              </w:rPr>
              <w:t>变更管理资料不规范</w:t>
            </w:r>
          </w:p>
        </w:tc>
        <w:tc>
          <w:tcPr>
            <w:tcW w:w="3119" w:type="dxa"/>
            <w:noWrap/>
            <w:vAlign w:val="center"/>
          </w:tcPr>
          <w:p>
            <w:pPr>
              <w:jc w:val="center"/>
              <w:rPr>
                <w:rFonts w:ascii="宋体" w:hAnsi="宋体" w:cs="宋体"/>
                <w:color w:val="000000"/>
                <w:sz w:val="18"/>
                <w:szCs w:val="18"/>
              </w:rPr>
            </w:pPr>
            <w:r>
              <w:rPr>
                <w:rFonts w:hint="eastAsia" w:ascii="宋体" w:hAnsi="宋体" w:cs="宋体"/>
                <w:color w:val="000000"/>
                <w:sz w:val="18"/>
                <w:szCs w:val="18"/>
              </w:rPr>
              <w:t>完善变更管理资料</w:t>
            </w:r>
          </w:p>
        </w:tc>
        <w:tc>
          <w:tcPr>
            <w:tcW w:w="1275" w:type="dxa"/>
            <w:noWrap/>
            <w:vAlign w:val="center"/>
          </w:tcPr>
          <w:p>
            <w:pPr>
              <w:jc w:val="center"/>
              <w:rPr>
                <w:rFonts w:ascii="宋体" w:hAnsi="宋体" w:cs="宋体"/>
                <w:color w:val="000000"/>
                <w:sz w:val="18"/>
                <w:szCs w:val="18"/>
              </w:rPr>
            </w:pPr>
            <w:r>
              <w:rPr>
                <w:rFonts w:hint="eastAsia" w:ascii="宋体" w:hAnsi="宋体" w:cs="宋体"/>
                <w:color w:val="000000"/>
                <w:sz w:val="18"/>
                <w:szCs w:val="18"/>
              </w:rPr>
              <w:t>限期整改</w:t>
            </w:r>
          </w:p>
        </w:tc>
        <w:tc>
          <w:tcPr>
            <w:tcW w:w="709" w:type="dxa"/>
            <w:noWrap/>
            <w:vAlign w:val="center"/>
          </w:tcPr>
          <w:p>
            <w:pPr>
              <w:jc w:val="center"/>
              <w:rPr>
                <w:rFonts w:ascii="宋体" w:hAnsi="宋体" w:cs="宋体"/>
                <w:color w:val="000000"/>
                <w:sz w:val="18"/>
                <w:szCs w:val="18"/>
              </w:rPr>
            </w:pPr>
            <w:r>
              <w:rPr>
                <w:rFonts w:hint="eastAsia" w:ascii="宋体" w:hAnsi="宋体" w:cs="宋体"/>
                <w:color w:val="000000"/>
                <w:sz w:val="18"/>
                <w:szCs w:val="18"/>
              </w:rPr>
              <w:t>3.6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534" w:type="dxa"/>
            <w:noWrap/>
            <w:vAlign w:val="center"/>
          </w:tcPr>
          <w:p>
            <w:pPr>
              <w:numPr>
                <w:ilvl w:val="0"/>
                <w:numId w:val="6"/>
              </w:numPr>
              <w:jc w:val="center"/>
              <w:rPr>
                <w:rFonts w:ascii="宋体" w:hAnsi="宋体" w:cs="宋体"/>
                <w:color w:val="000000"/>
                <w:sz w:val="18"/>
                <w:szCs w:val="18"/>
              </w:rPr>
            </w:pPr>
          </w:p>
        </w:tc>
        <w:tc>
          <w:tcPr>
            <w:tcW w:w="3685" w:type="dxa"/>
            <w:noWrap/>
            <w:vAlign w:val="center"/>
          </w:tcPr>
          <w:p>
            <w:pPr>
              <w:rPr>
                <w:rFonts w:ascii="宋体" w:hAnsi="宋体" w:cs="宋体"/>
                <w:color w:val="000000"/>
                <w:sz w:val="18"/>
                <w:szCs w:val="18"/>
              </w:rPr>
            </w:pPr>
            <w:r>
              <w:rPr>
                <w:rFonts w:hint="eastAsia" w:ascii="宋体" w:hAnsi="宋体" w:cs="宋体"/>
                <w:color w:val="000000"/>
                <w:sz w:val="18"/>
                <w:szCs w:val="18"/>
              </w:rPr>
              <w:t>对变更过程进行的风险分析不规范</w:t>
            </w:r>
          </w:p>
        </w:tc>
        <w:tc>
          <w:tcPr>
            <w:tcW w:w="3119" w:type="dxa"/>
            <w:noWrap/>
            <w:vAlign w:val="center"/>
          </w:tcPr>
          <w:p>
            <w:pPr>
              <w:jc w:val="center"/>
              <w:rPr>
                <w:rFonts w:ascii="宋体" w:hAnsi="宋体" w:cs="宋体"/>
                <w:color w:val="000000"/>
                <w:sz w:val="18"/>
                <w:szCs w:val="18"/>
              </w:rPr>
            </w:pPr>
            <w:r>
              <w:rPr>
                <w:rFonts w:hint="eastAsia" w:ascii="宋体" w:hAnsi="宋体" w:cs="宋体"/>
                <w:color w:val="000000"/>
                <w:sz w:val="18"/>
                <w:szCs w:val="18"/>
              </w:rPr>
              <w:t>完善变更管理资料</w:t>
            </w:r>
          </w:p>
        </w:tc>
        <w:tc>
          <w:tcPr>
            <w:tcW w:w="1275" w:type="dxa"/>
            <w:noWrap/>
            <w:vAlign w:val="center"/>
          </w:tcPr>
          <w:p>
            <w:pPr>
              <w:jc w:val="center"/>
              <w:rPr>
                <w:rFonts w:ascii="宋体" w:hAnsi="宋体" w:cs="宋体"/>
                <w:color w:val="000000"/>
                <w:sz w:val="18"/>
                <w:szCs w:val="18"/>
              </w:rPr>
            </w:pPr>
            <w:r>
              <w:rPr>
                <w:rFonts w:hint="eastAsia" w:ascii="宋体" w:hAnsi="宋体" w:cs="宋体"/>
                <w:color w:val="000000"/>
                <w:sz w:val="18"/>
                <w:szCs w:val="18"/>
              </w:rPr>
              <w:t>限期整改</w:t>
            </w:r>
          </w:p>
        </w:tc>
        <w:tc>
          <w:tcPr>
            <w:tcW w:w="709" w:type="dxa"/>
            <w:noWrap/>
            <w:vAlign w:val="center"/>
          </w:tcPr>
          <w:p>
            <w:pPr>
              <w:jc w:val="center"/>
              <w:rPr>
                <w:rFonts w:ascii="宋体" w:hAnsi="宋体" w:cs="宋体"/>
                <w:color w:val="000000"/>
                <w:sz w:val="18"/>
                <w:szCs w:val="18"/>
              </w:rPr>
            </w:pPr>
            <w:r>
              <w:rPr>
                <w:rFonts w:hint="eastAsia" w:ascii="宋体" w:hAnsi="宋体" w:cs="宋体"/>
                <w:color w:val="000000"/>
                <w:sz w:val="18"/>
                <w:szCs w:val="18"/>
              </w:rPr>
              <w:t>3.6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534" w:type="dxa"/>
            <w:noWrap/>
            <w:vAlign w:val="center"/>
          </w:tcPr>
          <w:p>
            <w:pPr>
              <w:numPr>
                <w:ilvl w:val="0"/>
                <w:numId w:val="6"/>
              </w:numPr>
              <w:jc w:val="center"/>
              <w:rPr>
                <w:rFonts w:ascii="宋体" w:hAnsi="宋体" w:cs="宋体"/>
                <w:color w:val="000000"/>
                <w:sz w:val="18"/>
                <w:szCs w:val="18"/>
              </w:rPr>
            </w:pPr>
          </w:p>
        </w:tc>
        <w:tc>
          <w:tcPr>
            <w:tcW w:w="3685" w:type="dxa"/>
            <w:noWrap/>
            <w:vAlign w:val="center"/>
          </w:tcPr>
          <w:p>
            <w:pPr>
              <w:rPr>
                <w:rFonts w:ascii="宋体" w:hAnsi="宋体" w:cs="宋体"/>
                <w:color w:val="000000"/>
                <w:sz w:val="18"/>
                <w:szCs w:val="18"/>
              </w:rPr>
            </w:pPr>
            <w:r>
              <w:rPr>
                <w:rFonts w:hint="eastAsia" w:ascii="宋体" w:hAnsi="宋体" w:cs="宋体"/>
                <w:color w:val="000000"/>
                <w:sz w:val="18"/>
                <w:szCs w:val="18"/>
              </w:rPr>
              <w:t>风险信息评审记录不完善</w:t>
            </w:r>
          </w:p>
        </w:tc>
        <w:tc>
          <w:tcPr>
            <w:tcW w:w="3119" w:type="dxa"/>
            <w:noWrap/>
            <w:vAlign w:val="center"/>
          </w:tcPr>
          <w:p>
            <w:pPr>
              <w:jc w:val="center"/>
              <w:rPr>
                <w:rFonts w:ascii="宋体" w:hAnsi="宋体" w:cs="宋体"/>
                <w:color w:val="000000"/>
                <w:sz w:val="18"/>
                <w:szCs w:val="18"/>
              </w:rPr>
            </w:pPr>
            <w:r>
              <w:rPr>
                <w:rFonts w:hint="eastAsia" w:ascii="宋体" w:hAnsi="宋体" w:cs="宋体"/>
                <w:color w:val="000000"/>
                <w:sz w:val="18"/>
                <w:szCs w:val="18"/>
              </w:rPr>
              <w:t>完善风险信息评审记录</w:t>
            </w:r>
          </w:p>
        </w:tc>
        <w:tc>
          <w:tcPr>
            <w:tcW w:w="1275" w:type="dxa"/>
            <w:noWrap/>
            <w:vAlign w:val="center"/>
          </w:tcPr>
          <w:p>
            <w:pPr>
              <w:jc w:val="center"/>
              <w:rPr>
                <w:rFonts w:ascii="宋体" w:hAnsi="宋体" w:cs="宋体"/>
                <w:color w:val="000000"/>
                <w:sz w:val="18"/>
                <w:szCs w:val="18"/>
              </w:rPr>
            </w:pPr>
            <w:r>
              <w:rPr>
                <w:rFonts w:hint="eastAsia" w:ascii="宋体" w:hAnsi="宋体" w:cs="宋体"/>
                <w:color w:val="000000"/>
                <w:sz w:val="18"/>
                <w:szCs w:val="18"/>
              </w:rPr>
              <w:t>限期整改</w:t>
            </w:r>
          </w:p>
        </w:tc>
        <w:tc>
          <w:tcPr>
            <w:tcW w:w="709" w:type="dxa"/>
            <w:noWrap/>
            <w:vAlign w:val="center"/>
          </w:tcPr>
          <w:p>
            <w:pPr>
              <w:jc w:val="center"/>
              <w:rPr>
                <w:rFonts w:ascii="宋体" w:hAnsi="宋体" w:cs="宋体"/>
                <w:color w:val="000000"/>
                <w:sz w:val="18"/>
                <w:szCs w:val="18"/>
              </w:rPr>
            </w:pPr>
            <w:r>
              <w:rPr>
                <w:rFonts w:hint="eastAsia" w:ascii="宋体" w:hAnsi="宋体" w:cs="宋体"/>
                <w:color w:val="000000"/>
                <w:sz w:val="18"/>
                <w:szCs w:val="18"/>
              </w:rPr>
              <w:t>3.7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534" w:type="dxa"/>
            <w:noWrap/>
            <w:vAlign w:val="center"/>
          </w:tcPr>
          <w:p>
            <w:pPr>
              <w:numPr>
                <w:ilvl w:val="0"/>
                <w:numId w:val="6"/>
              </w:numPr>
              <w:jc w:val="center"/>
              <w:rPr>
                <w:rFonts w:ascii="宋体" w:hAnsi="宋体" w:cs="宋体"/>
                <w:color w:val="000000"/>
                <w:sz w:val="18"/>
                <w:szCs w:val="18"/>
              </w:rPr>
            </w:pPr>
          </w:p>
        </w:tc>
        <w:tc>
          <w:tcPr>
            <w:tcW w:w="3685" w:type="dxa"/>
            <w:noWrap/>
            <w:vAlign w:val="center"/>
          </w:tcPr>
          <w:p>
            <w:pPr>
              <w:rPr>
                <w:rFonts w:ascii="宋体" w:hAnsi="宋体" w:cs="宋体"/>
                <w:color w:val="000000"/>
                <w:sz w:val="18"/>
                <w:szCs w:val="18"/>
              </w:rPr>
            </w:pPr>
            <w:r>
              <w:rPr>
                <w:rFonts w:hint="eastAsia" w:ascii="宋体" w:hAnsi="宋体" w:cs="宋体"/>
                <w:color w:val="000000"/>
                <w:sz w:val="18"/>
                <w:szCs w:val="18"/>
                <w:lang w:val="en-US" w:eastAsia="zh-CN"/>
              </w:rPr>
              <w:t>操作规程中液氯气化器热水温度不符合</w:t>
            </w:r>
          </w:p>
        </w:tc>
        <w:tc>
          <w:tcPr>
            <w:tcW w:w="3119" w:type="dxa"/>
            <w:noWrap/>
            <w:vAlign w:val="center"/>
          </w:tcPr>
          <w:p>
            <w:pPr>
              <w:jc w:val="center"/>
              <w:rPr>
                <w:rFonts w:ascii="宋体" w:hAnsi="宋体" w:cs="宋体"/>
                <w:color w:val="000000"/>
                <w:sz w:val="18"/>
                <w:szCs w:val="18"/>
              </w:rPr>
            </w:pPr>
            <w:r>
              <w:rPr>
                <w:rFonts w:hint="eastAsia" w:ascii="宋体" w:hAnsi="宋体" w:cs="宋体"/>
                <w:color w:val="000000"/>
                <w:sz w:val="18"/>
                <w:szCs w:val="18"/>
              </w:rPr>
              <w:t>针对作业对象、内容制定操作规程</w:t>
            </w:r>
          </w:p>
        </w:tc>
        <w:tc>
          <w:tcPr>
            <w:tcW w:w="1275" w:type="dxa"/>
            <w:noWrap/>
            <w:vAlign w:val="center"/>
          </w:tcPr>
          <w:p>
            <w:pPr>
              <w:jc w:val="center"/>
              <w:rPr>
                <w:rFonts w:ascii="宋体" w:hAnsi="宋体" w:cs="宋体"/>
                <w:color w:val="000000"/>
                <w:sz w:val="18"/>
                <w:szCs w:val="18"/>
              </w:rPr>
            </w:pPr>
            <w:r>
              <w:rPr>
                <w:rFonts w:hint="eastAsia" w:ascii="宋体" w:hAnsi="宋体" w:cs="宋体"/>
                <w:color w:val="000000"/>
                <w:sz w:val="18"/>
                <w:szCs w:val="18"/>
              </w:rPr>
              <w:t>限期整改</w:t>
            </w:r>
          </w:p>
        </w:tc>
        <w:tc>
          <w:tcPr>
            <w:tcW w:w="709" w:type="dxa"/>
            <w:noWrap/>
            <w:vAlign w:val="center"/>
          </w:tcPr>
          <w:p>
            <w:pPr>
              <w:jc w:val="center"/>
              <w:rPr>
                <w:rFonts w:ascii="宋体" w:hAnsi="宋体" w:cs="宋体"/>
                <w:color w:val="000000"/>
                <w:sz w:val="18"/>
                <w:szCs w:val="18"/>
              </w:rPr>
            </w:pPr>
            <w:r>
              <w:rPr>
                <w:rFonts w:hint="eastAsia" w:ascii="宋体" w:hAnsi="宋体" w:cs="宋体"/>
                <w:color w:val="000000"/>
                <w:sz w:val="18"/>
                <w:szCs w:val="18"/>
              </w:rPr>
              <w:t>4.2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534" w:type="dxa"/>
            <w:noWrap/>
            <w:vAlign w:val="center"/>
          </w:tcPr>
          <w:p>
            <w:pPr>
              <w:numPr>
                <w:ilvl w:val="0"/>
                <w:numId w:val="6"/>
              </w:numPr>
              <w:jc w:val="center"/>
              <w:rPr>
                <w:rFonts w:ascii="宋体" w:hAnsi="宋体" w:cs="宋体"/>
                <w:color w:val="000000"/>
                <w:sz w:val="18"/>
                <w:szCs w:val="18"/>
              </w:rPr>
            </w:pPr>
          </w:p>
        </w:tc>
        <w:tc>
          <w:tcPr>
            <w:tcW w:w="3685" w:type="dxa"/>
            <w:noWrap/>
            <w:vAlign w:val="center"/>
          </w:tcPr>
          <w:p>
            <w:pPr>
              <w:rPr>
                <w:rFonts w:ascii="宋体" w:hAnsi="宋体" w:cs="宋体"/>
                <w:color w:val="000000"/>
                <w:sz w:val="18"/>
                <w:szCs w:val="18"/>
              </w:rPr>
            </w:pPr>
            <w:r>
              <w:rPr>
                <w:rFonts w:hint="eastAsia" w:ascii="宋体" w:hAnsi="宋体" w:cs="宋体"/>
                <w:color w:val="000000"/>
                <w:sz w:val="18"/>
                <w:szCs w:val="18"/>
              </w:rPr>
              <w:t>教育效果评价内容不规范</w:t>
            </w:r>
          </w:p>
        </w:tc>
        <w:tc>
          <w:tcPr>
            <w:tcW w:w="3119" w:type="dxa"/>
            <w:noWrap/>
            <w:vAlign w:val="center"/>
          </w:tcPr>
          <w:p>
            <w:pPr>
              <w:jc w:val="center"/>
              <w:rPr>
                <w:rFonts w:ascii="宋体" w:hAnsi="宋体" w:cs="宋体"/>
                <w:color w:val="000000"/>
                <w:sz w:val="18"/>
                <w:szCs w:val="18"/>
              </w:rPr>
            </w:pPr>
            <w:r>
              <w:rPr>
                <w:rFonts w:hint="eastAsia" w:ascii="宋体" w:hAnsi="宋体" w:cs="宋体"/>
                <w:color w:val="000000"/>
                <w:sz w:val="18"/>
                <w:szCs w:val="18"/>
              </w:rPr>
              <w:t>完善教育培训效果评价</w:t>
            </w:r>
          </w:p>
        </w:tc>
        <w:tc>
          <w:tcPr>
            <w:tcW w:w="1275" w:type="dxa"/>
            <w:noWrap/>
            <w:vAlign w:val="center"/>
          </w:tcPr>
          <w:p>
            <w:pPr>
              <w:jc w:val="center"/>
              <w:rPr>
                <w:rFonts w:ascii="宋体" w:hAnsi="宋体" w:cs="宋体"/>
                <w:color w:val="000000"/>
                <w:sz w:val="18"/>
                <w:szCs w:val="18"/>
              </w:rPr>
            </w:pPr>
            <w:r>
              <w:rPr>
                <w:rFonts w:hint="eastAsia" w:ascii="宋体" w:hAnsi="宋体" w:cs="宋体"/>
                <w:color w:val="000000"/>
                <w:sz w:val="18"/>
                <w:szCs w:val="18"/>
              </w:rPr>
              <w:t>限期整改</w:t>
            </w:r>
          </w:p>
        </w:tc>
        <w:tc>
          <w:tcPr>
            <w:tcW w:w="709" w:type="dxa"/>
            <w:noWrap/>
            <w:vAlign w:val="center"/>
          </w:tcPr>
          <w:p>
            <w:pPr>
              <w:jc w:val="center"/>
              <w:rPr>
                <w:rFonts w:ascii="宋体" w:hAnsi="宋体" w:cs="宋体"/>
                <w:color w:val="000000"/>
                <w:sz w:val="18"/>
                <w:szCs w:val="18"/>
              </w:rPr>
            </w:pPr>
            <w:r>
              <w:rPr>
                <w:rFonts w:hint="eastAsia" w:ascii="宋体" w:hAnsi="宋体" w:cs="宋体"/>
                <w:color w:val="000000"/>
                <w:sz w:val="18"/>
                <w:szCs w:val="18"/>
              </w:rPr>
              <w:t>5.1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534" w:type="dxa"/>
            <w:noWrap/>
            <w:vAlign w:val="center"/>
          </w:tcPr>
          <w:p>
            <w:pPr>
              <w:numPr>
                <w:ilvl w:val="0"/>
                <w:numId w:val="6"/>
              </w:numPr>
              <w:jc w:val="center"/>
              <w:rPr>
                <w:rFonts w:ascii="宋体" w:hAnsi="宋体" w:cs="宋体"/>
                <w:color w:val="000000"/>
                <w:sz w:val="18"/>
                <w:szCs w:val="18"/>
              </w:rPr>
            </w:pPr>
          </w:p>
        </w:tc>
        <w:tc>
          <w:tcPr>
            <w:tcW w:w="3685" w:type="dxa"/>
            <w:noWrap/>
            <w:vAlign w:val="center"/>
          </w:tcPr>
          <w:p>
            <w:pPr>
              <w:rPr>
                <w:rFonts w:ascii="宋体" w:hAnsi="宋体" w:cs="宋体"/>
                <w:color w:val="000000"/>
                <w:sz w:val="18"/>
                <w:szCs w:val="18"/>
              </w:rPr>
            </w:pPr>
            <w:r>
              <w:rPr>
                <w:rFonts w:hint="eastAsia" w:ascii="宋体" w:hAnsi="宋体" w:cs="宋体"/>
                <w:color w:val="000000"/>
                <w:sz w:val="18"/>
                <w:szCs w:val="18"/>
              </w:rPr>
              <w:t>未建立从业人员岗位标准</w:t>
            </w:r>
          </w:p>
        </w:tc>
        <w:tc>
          <w:tcPr>
            <w:tcW w:w="3119" w:type="dxa"/>
            <w:noWrap/>
            <w:vAlign w:val="center"/>
          </w:tcPr>
          <w:p>
            <w:pPr>
              <w:jc w:val="center"/>
              <w:rPr>
                <w:rFonts w:ascii="宋体" w:hAnsi="宋体" w:cs="宋体"/>
                <w:color w:val="000000"/>
                <w:sz w:val="18"/>
                <w:szCs w:val="18"/>
              </w:rPr>
            </w:pPr>
            <w:r>
              <w:rPr>
                <w:rFonts w:hint="eastAsia" w:ascii="宋体" w:hAnsi="宋体" w:cs="宋体"/>
                <w:color w:val="000000"/>
                <w:sz w:val="18"/>
                <w:szCs w:val="18"/>
              </w:rPr>
              <w:t>补充从业人员岗位标准</w:t>
            </w:r>
          </w:p>
        </w:tc>
        <w:tc>
          <w:tcPr>
            <w:tcW w:w="1275" w:type="dxa"/>
            <w:noWrap/>
            <w:vAlign w:val="center"/>
          </w:tcPr>
          <w:p>
            <w:pPr>
              <w:jc w:val="center"/>
              <w:rPr>
                <w:rFonts w:ascii="宋体" w:hAnsi="宋体" w:cs="宋体"/>
                <w:color w:val="000000"/>
                <w:sz w:val="18"/>
                <w:szCs w:val="18"/>
              </w:rPr>
            </w:pPr>
            <w:r>
              <w:rPr>
                <w:rFonts w:hint="eastAsia" w:ascii="宋体" w:hAnsi="宋体" w:cs="宋体"/>
                <w:color w:val="000000"/>
                <w:sz w:val="18"/>
                <w:szCs w:val="18"/>
              </w:rPr>
              <w:t>限期整改</w:t>
            </w:r>
          </w:p>
        </w:tc>
        <w:tc>
          <w:tcPr>
            <w:tcW w:w="709" w:type="dxa"/>
            <w:noWrap/>
            <w:vAlign w:val="center"/>
          </w:tcPr>
          <w:p>
            <w:pPr>
              <w:jc w:val="center"/>
              <w:rPr>
                <w:rFonts w:ascii="宋体" w:hAnsi="宋体" w:cs="宋体"/>
                <w:color w:val="000000"/>
                <w:sz w:val="18"/>
                <w:szCs w:val="18"/>
              </w:rPr>
            </w:pPr>
            <w:r>
              <w:rPr>
                <w:rFonts w:hint="eastAsia" w:ascii="宋体" w:hAnsi="宋体" w:cs="宋体"/>
                <w:color w:val="000000"/>
                <w:sz w:val="18"/>
                <w:szCs w:val="18"/>
              </w:rPr>
              <w:t>5.2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534" w:type="dxa"/>
            <w:noWrap/>
            <w:vAlign w:val="center"/>
          </w:tcPr>
          <w:p>
            <w:pPr>
              <w:numPr>
                <w:ilvl w:val="0"/>
                <w:numId w:val="6"/>
              </w:numPr>
              <w:jc w:val="center"/>
              <w:rPr>
                <w:rFonts w:ascii="宋体" w:hAnsi="宋体" w:cs="宋体"/>
                <w:color w:val="000000"/>
                <w:sz w:val="18"/>
                <w:szCs w:val="18"/>
              </w:rPr>
            </w:pPr>
          </w:p>
        </w:tc>
        <w:tc>
          <w:tcPr>
            <w:tcW w:w="3685" w:type="dxa"/>
            <w:noWrap/>
            <w:vAlign w:val="center"/>
          </w:tcPr>
          <w:p>
            <w:pPr>
              <w:rPr>
                <w:rFonts w:ascii="宋体" w:hAnsi="宋体" w:cs="宋体"/>
                <w:color w:val="000000"/>
                <w:sz w:val="18"/>
                <w:szCs w:val="18"/>
              </w:rPr>
            </w:pPr>
            <w:r>
              <w:rPr>
                <w:rFonts w:hint="eastAsia" w:ascii="宋体" w:hAnsi="宋体" w:cs="宋体"/>
                <w:color w:val="000000"/>
                <w:sz w:val="18"/>
                <w:szCs w:val="18"/>
              </w:rPr>
              <w:t>缺少企业外来参观、学习人员教育培训记录</w:t>
            </w:r>
          </w:p>
        </w:tc>
        <w:tc>
          <w:tcPr>
            <w:tcW w:w="3119" w:type="dxa"/>
            <w:noWrap/>
            <w:vAlign w:val="center"/>
          </w:tcPr>
          <w:p>
            <w:pPr>
              <w:jc w:val="center"/>
              <w:rPr>
                <w:rFonts w:ascii="宋体" w:hAnsi="宋体" w:cs="宋体"/>
                <w:color w:val="000000"/>
                <w:sz w:val="18"/>
                <w:szCs w:val="18"/>
              </w:rPr>
            </w:pPr>
            <w:r>
              <w:rPr>
                <w:rFonts w:hint="eastAsia" w:ascii="宋体" w:hAnsi="宋体" w:cs="宋体"/>
                <w:color w:val="000000"/>
                <w:sz w:val="18"/>
                <w:szCs w:val="18"/>
              </w:rPr>
              <w:t>按要求完善教育培训记录</w:t>
            </w:r>
          </w:p>
        </w:tc>
        <w:tc>
          <w:tcPr>
            <w:tcW w:w="1275" w:type="dxa"/>
            <w:noWrap/>
            <w:vAlign w:val="center"/>
          </w:tcPr>
          <w:p>
            <w:pPr>
              <w:jc w:val="center"/>
              <w:rPr>
                <w:rFonts w:ascii="宋体" w:hAnsi="宋体" w:cs="宋体"/>
                <w:color w:val="000000"/>
                <w:sz w:val="18"/>
                <w:szCs w:val="18"/>
              </w:rPr>
            </w:pPr>
            <w:r>
              <w:rPr>
                <w:rFonts w:hint="eastAsia" w:ascii="宋体" w:hAnsi="宋体" w:cs="宋体"/>
                <w:color w:val="000000"/>
                <w:sz w:val="18"/>
                <w:szCs w:val="18"/>
              </w:rPr>
              <w:t>限期整改</w:t>
            </w:r>
          </w:p>
        </w:tc>
        <w:tc>
          <w:tcPr>
            <w:tcW w:w="709" w:type="dxa"/>
            <w:noWrap/>
            <w:vAlign w:val="center"/>
          </w:tcPr>
          <w:p>
            <w:pPr>
              <w:jc w:val="center"/>
              <w:rPr>
                <w:rFonts w:ascii="宋体" w:hAnsi="宋体" w:cs="宋体"/>
                <w:color w:val="000000"/>
                <w:sz w:val="18"/>
                <w:szCs w:val="18"/>
              </w:rPr>
            </w:pPr>
            <w:r>
              <w:rPr>
                <w:rFonts w:hint="eastAsia" w:ascii="宋体" w:hAnsi="宋体" w:cs="宋体"/>
                <w:color w:val="000000"/>
                <w:sz w:val="18"/>
                <w:szCs w:val="18"/>
              </w:rPr>
              <w:t>5.5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534" w:type="dxa"/>
            <w:noWrap/>
            <w:vAlign w:val="center"/>
          </w:tcPr>
          <w:p>
            <w:pPr>
              <w:numPr>
                <w:ilvl w:val="0"/>
                <w:numId w:val="6"/>
              </w:numPr>
              <w:jc w:val="center"/>
              <w:rPr>
                <w:rFonts w:ascii="宋体" w:hAnsi="宋体" w:cs="宋体"/>
                <w:color w:val="000000"/>
                <w:sz w:val="18"/>
                <w:szCs w:val="18"/>
              </w:rPr>
            </w:pPr>
          </w:p>
        </w:tc>
        <w:tc>
          <w:tcPr>
            <w:tcW w:w="3685" w:type="dxa"/>
            <w:noWrap/>
            <w:vAlign w:val="center"/>
          </w:tcPr>
          <w:p>
            <w:pPr>
              <w:jc w:val="left"/>
              <w:rPr>
                <w:rFonts w:ascii="宋体" w:hAnsi="宋体" w:eastAsia="宋体" w:cs="宋体"/>
                <w:color w:val="000000"/>
                <w:kern w:val="2"/>
                <w:sz w:val="18"/>
                <w:szCs w:val="18"/>
                <w:lang w:val="en-US" w:eastAsia="zh-CN" w:bidi="ar-SA"/>
              </w:rPr>
            </w:pPr>
            <w:r>
              <w:rPr>
                <w:rFonts w:hint="eastAsia" w:ascii="宋体" w:hAnsi="宋体" w:cs="宋体"/>
                <w:bCs/>
                <w:sz w:val="18"/>
                <w:szCs w:val="18"/>
                <w:lang w:val="en-US" w:eastAsia="zh-CN"/>
              </w:rPr>
              <w:t>车间部分</w:t>
            </w:r>
            <w:r>
              <w:rPr>
                <w:rFonts w:hint="default" w:ascii="宋体" w:hAnsi="宋体" w:eastAsia="宋体" w:cs="宋体"/>
                <w:bCs/>
                <w:sz w:val="18"/>
                <w:szCs w:val="18"/>
                <w:lang w:val="en-US" w:eastAsia="zh-CN"/>
              </w:rPr>
              <w:t>管道介质标识褪色看不清，不易识别</w:t>
            </w:r>
            <w:r>
              <w:rPr>
                <w:rFonts w:hint="eastAsia" w:ascii="宋体" w:hAnsi="宋体" w:eastAsia="宋体" w:cs="宋体"/>
                <w:bCs/>
                <w:sz w:val="18"/>
                <w:szCs w:val="18"/>
              </w:rPr>
              <w:t>。</w:t>
            </w:r>
          </w:p>
        </w:tc>
        <w:tc>
          <w:tcPr>
            <w:tcW w:w="3119" w:type="dxa"/>
            <w:noWrap/>
            <w:vAlign w:val="center"/>
          </w:tcPr>
          <w:p>
            <w:pPr>
              <w:keepNext w:val="0"/>
              <w:keepLines w:val="0"/>
              <w:pageBreakBefore w:val="0"/>
              <w:widowControl w:val="0"/>
              <w:kinsoku/>
              <w:wordWrap/>
              <w:overflowPunct/>
              <w:topLinePunct w:val="0"/>
              <w:autoSpaceDE/>
              <w:autoSpaceDN/>
              <w:bidi w:val="0"/>
              <w:adjustRightInd/>
              <w:snapToGrid w:val="0"/>
              <w:jc w:val="left"/>
              <w:textAlignment w:val="auto"/>
              <w:rPr>
                <w:rFonts w:ascii="宋体" w:hAnsi="宋体" w:eastAsia="宋体" w:cs="宋体"/>
                <w:color w:val="000000"/>
                <w:kern w:val="2"/>
                <w:sz w:val="18"/>
                <w:szCs w:val="18"/>
                <w:lang w:val="en-US" w:eastAsia="zh-CN" w:bidi="ar-SA"/>
              </w:rPr>
            </w:pPr>
            <w:r>
              <w:rPr>
                <w:rFonts w:hint="eastAsia" w:ascii="宋体" w:hAnsi="宋体" w:cs="宋体"/>
                <w:bCs/>
                <w:sz w:val="18"/>
                <w:szCs w:val="18"/>
              </w:rPr>
              <w:t>对车间管道涂刷安全色，标注管道内介质名称及流向</w:t>
            </w:r>
          </w:p>
        </w:tc>
        <w:tc>
          <w:tcPr>
            <w:tcW w:w="1275" w:type="dxa"/>
            <w:noWrap/>
            <w:vAlign w:val="center"/>
          </w:tcPr>
          <w:p>
            <w:pPr>
              <w:jc w:val="center"/>
              <w:rPr>
                <w:rFonts w:ascii="宋体" w:hAnsi="宋体" w:eastAsia="宋体" w:cs="宋体"/>
                <w:color w:val="000000"/>
                <w:kern w:val="2"/>
                <w:sz w:val="18"/>
                <w:szCs w:val="18"/>
                <w:lang w:val="en-US" w:eastAsia="zh-CN" w:bidi="ar-SA"/>
              </w:rPr>
            </w:pPr>
            <w:r>
              <w:rPr>
                <w:rFonts w:hint="eastAsia" w:ascii="宋体" w:hAnsi="宋体" w:cs="宋体"/>
                <w:color w:val="000000"/>
                <w:sz w:val="18"/>
                <w:szCs w:val="18"/>
              </w:rPr>
              <w:t>限期整改</w:t>
            </w:r>
          </w:p>
        </w:tc>
        <w:tc>
          <w:tcPr>
            <w:tcW w:w="709" w:type="dxa"/>
            <w:noWrap/>
            <w:vAlign w:val="center"/>
          </w:tcPr>
          <w:p>
            <w:pPr>
              <w:jc w:val="center"/>
              <w:rPr>
                <w:rFonts w:ascii="宋体" w:hAnsi="宋体" w:eastAsia="宋体" w:cs="宋体"/>
                <w:color w:val="000000"/>
                <w:kern w:val="2"/>
                <w:sz w:val="18"/>
                <w:szCs w:val="18"/>
                <w:lang w:val="en-US" w:eastAsia="zh-CN" w:bidi="ar-SA"/>
              </w:rPr>
            </w:pPr>
            <w:r>
              <w:rPr>
                <w:rFonts w:hint="eastAsia" w:ascii="宋体" w:hAnsi="宋体" w:cs="宋体"/>
                <w:color w:val="000000"/>
                <w:sz w:val="18"/>
                <w:szCs w:val="18"/>
              </w:rPr>
              <w:t>6.2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534" w:type="dxa"/>
            <w:noWrap/>
            <w:vAlign w:val="center"/>
          </w:tcPr>
          <w:p>
            <w:pPr>
              <w:numPr>
                <w:ilvl w:val="0"/>
                <w:numId w:val="6"/>
              </w:numPr>
              <w:jc w:val="center"/>
              <w:rPr>
                <w:rFonts w:ascii="宋体" w:hAnsi="宋体" w:cs="宋体"/>
                <w:color w:val="000000"/>
                <w:sz w:val="18"/>
                <w:szCs w:val="18"/>
              </w:rPr>
            </w:pPr>
          </w:p>
        </w:tc>
        <w:tc>
          <w:tcPr>
            <w:tcW w:w="3685" w:type="dxa"/>
            <w:noWrap/>
            <w:vAlign w:val="center"/>
          </w:tcPr>
          <w:p>
            <w:pPr>
              <w:spacing w:line="300" w:lineRule="exact"/>
              <w:jc w:val="left"/>
              <w:rPr>
                <w:rFonts w:ascii="宋体" w:hAnsi="宋体" w:eastAsia="宋体" w:cs="宋体"/>
                <w:bCs/>
                <w:kern w:val="2"/>
                <w:sz w:val="18"/>
                <w:szCs w:val="18"/>
                <w:lang w:val="en-US" w:eastAsia="zh-CN" w:bidi="ar-SA"/>
              </w:rPr>
            </w:pPr>
            <w:r>
              <w:rPr>
                <w:rFonts w:hint="eastAsia" w:ascii="宋体" w:hAnsi="宋体" w:cs="宋体"/>
                <w:color w:val="auto"/>
                <w:sz w:val="18"/>
                <w:szCs w:val="18"/>
                <w:lang w:eastAsia="zh-CN"/>
              </w:rPr>
              <w:t>车间二楼部分尾气管道</w:t>
            </w:r>
            <w:r>
              <w:rPr>
                <w:rFonts w:hint="eastAsia" w:ascii="宋体" w:hAnsi="宋体" w:cs="宋体"/>
                <w:color w:val="auto"/>
                <w:sz w:val="18"/>
                <w:szCs w:val="18"/>
              </w:rPr>
              <w:t>法兰连接螺栓不全</w:t>
            </w:r>
          </w:p>
        </w:tc>
        <w:tc>
          <w:tcPr>
            <w:tcW w:w="3119" w:type="dxa"/>
            <w:noWrap/>
            <w:vAlign w:val="center"/>
          </w:tcPr>
          <w:p>
            <w:pPr>
              <w:spacing w:line="300" w:lineRule="exact"/>
              <w:jc w:val="center"/>
              <w:rPr>
                <w:rFonts w:ascii="宋体" w:hAnsi="宋体" w:eastAsia="宋体" w:cs="宋体"/>
                <w:bCs/>
                <w:kern w:val="2"/>
                <w:sz w:val="18"/>
                <w:szCs w:val="18"/>
                <w:lang w:val="en-US" w:eastAsia="zh-CN" w:bidi="ar-SA"/>
              </w:rPr>
            </w:pPr>
            <w:r>
              <w:rPr>
                <w:rFonts w:hint="eastAsia" w:ascii="宋体" w:hAnsi="宋体" w:cs="宋体"/>
                <w:bCs/>
                <w:sz w:val="18"/>
                <w:szCs w:val="18"/>
              </w:rPr>
              <w:t>补全缺失的螺栓</w:t>
            </w:r>
          </w:p>
        </w:tc>
        <w:tc>
          <w:tcPr>
            <w:tcW w:w="1275" w:type="dxa"/>
            <w:noWrap/>
            <w:vAlign w:val="center"/>
          </w:tcPr>
          <w:p>
            <w:pPr>
              <w:jc w:val="center"/>
              <w:rPr>
                <w:rFonts w:ascii="宋体" w:hAnsi="宋体" w:eastAsia="宋体" w:cs="宋体"/>
                <w:color w:val="000000"/>
                <w:kern w:val="2"/>
                <w:sz w:val="18"/>
                <w:szCs w:val="18"/>
                <w:lang w:val="en-US" w:eastAsia="zh-CN" w:bidi="ar-SA"/>
              </w:rPr>
            </w:pPr>
            <w:r>
              <w:rPr>
                <w:rFonts w:hint="eastAsia" w:ascii="宋体" w:hAnsi="宋体" w:cs="宋体"/>
                <w:color w:val="000000"/>
                <w:sz w:val="18"/>
                <w:szCs w:val="18"/>
              </w:rPr>
              <w:t>限期整改</w:t>
            </w:r>
          </w:p>
        </w:tc>
        <w:tc>
          <w:tcPr>
            <w:tcW w:w="709" w:type="dxa"/>
            <w:noWrap/>
            <w:vAlign w:val="center"/>
          </w:tcPr>
          <w:p>
            <w:pPr>
              <w:jc w:val="center"/>
              <w:rPr>
                <w:rFonts w:ascii="宋体" w:hAnsi="宋体" w:eastAsia="宋体" w:cs="宋体"/>
                <w:color w:val="000000"/>
                <w:kern w:val="2"/>
                <w:sz w:val="18"/>
                <w:szCs w:val="18"/>
                <w:lang w:val="en-US" w:eastAsia="zh-CN" w:bidi="ar-SA"/>
              </w:rPr>
            </w:pPr>
            <w:r>
              <w:rPr>
                <w:rFonts w:hint="eastAsia" w:ascii="宋体" w:hAnsi="宋体" w:cs="宋体"/>
                <w:color w:val="000000"/>
                <w:sz w:val="18"/>
                <w:szCs w:val="18"/>
              </w:rPr>
              <w:t>6.4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534" w:type="dxa"/>
            <w:noWrap/>
            <w:vAlign w:val="center"/>
          </w:tcPr>
          <w:p>
            <w:pPr>
              <w:numPr>
                <w:ilvl w:val="0"/>
                <w:numId w:val="6"/>
              </w:numPr>
              <w:jc w:val="center"/>
              <w:rPr>
                <w:rFonts w:ascii="宋体" w:hAnsi="宋体" w:cs="宋体"/>
                <w:color w:val="000000"/>
                <w:sz w:val="18"/>
                <w:szCs w:val="18"/>
              </w:rPr>
            </w:pPr>
          </w:p>
        </w:tc>
        <w:tc>
          <w:tcPr>
            <w:tcW w:w="3685" w:type="dxa"/>
            <w:noWrap/>
            <w:vAlign w:val="center"/>
          </w:tcPr>
          <w:p>
            <w:pPr>
              <w:spacing w:line="300" w:lineRule="exact"/>
              <w:jc w:val="left"/>
              <w:rPr>
                <w:rFonts w:ascii="宋体" w:hAnsi="宋体" w:eastAsia="宋体" w:cs="宋体"/>
                <w:color w:val="000000"/>
                <w:kern w:val="2"/>
                <w:sz w:val="18"/>
                <w:szCs w:val="18"/>
                <w:lang w:val="en-US" w:eastAsia="zh-CN" w:bidi="ar-SA"/>
              </w:rPr>
            </w:pPr>
            <w:r>
              <w:rPr>
                <w:rFonts w:hint="eastAsia" w:ascii="宋体" w:hAnsi="宋体" w:cs="宋体"/>
                <w:bCs/>
                <w:sz w:val="18"/>
                <w:szCs w:val="18"/>
              </w:rPr>
              <w:t>车间氯化釜部分腐蚀严重</w:t>
            </w:r>
          </w:p>
        </w:tc>
        <w:tc>
          <w:tcPr>
            <w:tcW w:w="3119" w:type="dxa"/>
            <w:noWrap/>
            <w:vAlign w:val="center"/>
          </w:tcPr>
          <w:p>
            <w:pPr>
              <w:spacing w:line="300" w:lineRule="exact"/>
              <w:jc w:val="center"/>
              <w:rPr>
                <w:rFonts w:ascii="宋体" w:hAnsi="宋体" w:eastAsia="宋体" w:cs="宋体"/>
                <w:color w:val="000000"/>
                <w:kern w:val="2"/>
                <w:sz w:val="18"/>
                <w:szCs w:val="18"/>
                <w:lang w:val="en-US" w:eastAsia="zh-CN" w:bidi="ar-SA"/>
              </w:rPr>
            </w:pPr>
            <w:r>
              <w:rPr>
                <w:rFonts w:hint="eastAsia" w:ascii="宋体" w:hAnsi="宋体" w:cs="宋体"/>
                <w:bCs/>
                <w:sz w:val="18"/>
                <w:szCs w:val="18"/>
              </w:rPr>
              <w:t>对腐蚀严重的部位除锈防腐</w:t>
            </w:r>
          </w:p>
        </w:tc>
        <w:tc>
          <w:tcPr>
            <w:tcW w:w="1275" w:type="dxa"/>
            <w:noWrap/>
            <w:vAlign w:val="center"/>
          </w:tcPr>
          <w:p>
            <w:pPr>
              <w:jc w:val="center"/>
              <w:rPr>
                <w:rFonts w:ascii="宋体" w:hAnsi="宋体" w:eastAsia="宋体" w:cs="宋体"/>
                <w:color w:val="000000"/>
                <w:kern w:val="2"/>
                <w:sz w:val="18"/>
                <w:szCs w:val="18"/>
                <w:lang w:val="en-US" w:eastAsia="zh-CN" w:bidi="ar-SA"/>
              </w:rPr>
            </w:pPr>
            <w:r>
              <w:rPr>
                <w:rFonts w:hint="eastAsia" w:ascii="宋体" w:hAnsi="宋体" w:cs="宋体"/>
                <w:color w:val="000000"/>
                <w:sz w:val="18"/>
                <w:szCs w:val="18"/>
              </w:rPr>
              <w:t>限期整改</w:t>
            </w:r>
          </w:p>
        </w:tc>
        <w:tc>
          <w:tcPr>
            <w:tcW w:w="709" w:type="dxa"/>
            <w:noWrap/>
            <w:vAlign w:val="center"/>
          </w:tcPr>
          <w:p>
            <w:pPr>
              <w:jc w:val="center"/>
              <w:rPr>
                <w:rFonts w:ascii="宋体" w:hAnsi="宋体" w:eastAsia="宋体" w:cs="宋体"/>
                <w:color w:val="000000"/>
                <w:kern w:val="2"/>
                <w:sz w:val="18"/>
                <w:szCs w:val="18"/>
                <w:lang w:val="en-US" w:eastAsia="zh-CN" w:bidi="ar-SA"/>
              </w:rPr>
            </w:pPr>
            <w:r>
              <w:rPr>
                <w:rFonts w:hint="eastAsia" w:ascii="宋体" w:hAnsi="宋体" w:cs="宋体"/>
                <w:color w:val="000000"/>
                <w:sz w:val="18"/>
                <w:szCs w:val="18"/>
              </w:rPr>
              <w:t>6.6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534" w:type="dxa"/>
            <w:noWrap/>
            <w:vAlign w:val="center"/>
          </w:tcPr>
          <w:p>
            <w:pPr>
              <w:numPr>
                <w:ilvl w:val="0"/>
                <w:numId w:val="6"/>
              </w:numPr>
              <w:jc w:val="center"/>
              <w:rPr>
                <w:rFonts w:ascii="宋体" w:hAnsi="宋体" w:cs="宋体"/>
                <w:color w:val="000000"/>
                <w:sz w:val="18"/>
                <w:szCs w:val="18"/>
              </w:rPr>
            </w:pPr>
          </w:p>
        </w:tc>
        <w:tc>
          <w:tcPr>
            <w:tcW w:w="3685" w:type="dxa"/>
            <w:noWrap/>
            <w:vAlign w:val="center"/>
          </w:tcPr>
          <w:p>
            <w:pPr>
              <w:jc w:val="left"/>
              <w:rPr>
                <w:rFonts w:ascii="宋体" w:hAnsi="宋体" w:eastAsia="宋体" w:cs="宋体"/>
                <w:color w:val="000000"/>
                <w:kern w:val="2"/>
                <w:sz w:val="18"/>
                <w:szCs w:val="18"/>
                <w:lang w:val="en-US" w:eastAsia="zh-CN" w:bidi="ar-SA"/>
              </w:rPr>
            </w:pPr>
            <w:r>
              <w:rPr>
                <w:rFonts w:hint="eastAsia" w:ascii="宋体" w:hAnsi="宋体" w:cs="宋体"/>
                <w:bCs/>
                <w:sz w:val="18"/>
                <w:szCs w:val="18"/>
                <w:lang w:eastAsia="zh-CN"/>
              </w:rPr>
              <w:t>危废库</w:t>
            </w:r>
            <w:r>
              <w:rPr>
                <w:rFonts w:hint="eastAsia" w:ascii="宋体" w:hAnsi="宋体" w:cs="宋体"/>
                <w:bCs/>
                <w:sz w:val="18"/>
                <w:szCs w:val="18"/>
              </w:rPr>
              <w:t>安全标志使用不符合要求</w:t>
            </w:r>
          </w:p>
        </w:tc>
        <w:tc>
          <w:tcPr>
            <w:tcW w:w="3119" w:type="dxa"/>
            <w:noWrap/>
            <w:vAlign w:val="center"/>
          </w:tcPr>
          <w:p>
            <w:pPr>
              <w:jc w:val="center"/>
              <w:rPr>
                <w:rFonts w:ascii="宋体" w:hAnsi="宋体" w:eastAsia="宋体" w:cs="宋体"/>
                <w:color w:val="000000"/>
                <w:kern w:val="2"/>
                <w:sz w:val="18"/>
                <w:szCs w:val="18"/>
                <w:lang w:val="en-US" w:eastAsia="zh-CN" w:bidi="ar-SA"/>
              </w:rPr>
            </w:pPr>
            <w:r>
              <w:rPr>
                <w:rFonts w:hint="eastAsia" w:ascii="宋体" w:hAnsi="宋体" w:cs="宋体"/>
                <w:color w:val="000000"/>
                <w:sz w:val="18"/>
                <w:szCs w:val="18"/>
              </w:rPr>
              <w:t>完善安全标识</w:t>
            </w:r>
          </w:p>
        </w:tc>
        <w:tc>
          <w:tcPr>
            <w:tcW w:w="1275" w:type="dxa"/>
            <w:noWrap/>
            <w:vAlign w:val="center"/>
          </w:tcPr>
          <w:p>
            <w:pPr>
              <w:jc w:val="center"/>
              <w:rPr>
                <w:rFonts w:ascii="宋体" w:hAnsi="宋体" w:eastAsia="宋体" w:cs="宋体"/>
                <w:color w:val="000000"/>
                <w:kern w:val="2"/>
                <w:sz w:val="18"/>
                <w:szCs w:val="18"/>
                <w:lang w:val="en-US" w:eastAsia="zh-CN" w:bidi="ar-SA"/>
              </w:rPr>
            </w:pPr>
            <w:r>
              <w:rPr>
                <w:rFonts w:hint="eastAsia" w:ascii="宋体" w:hAnsi="宋体" w:cs="宋体"/>
                <w:color w:val="000000"/>
                <w:sz w:val="18"/>
                <w:szCs w:val="18"/>
              </w:rPr>
              <w:t>限期整改</w:t>
            </w:r>
          </w:p>
        </w:tc>
        <w:tc>
          <w:tcPr>
            <w:tcW w:w="709" w:type="dxa"/>
            <w:noWrap/>
            <w:vAlign w:val="center"/>
          </w:tcPr>
          <w:p>
            <w:pPr>
              <w:jc w:val="center"/>
              <w:rPr>
                <w:rFonts w:ascii="宋体" w:hAnsi="宋体" w:eastAsia="宋体" w:cs="宋体"/>
                <w:color w:val="000000"/>
                <w:kern w:val="2"/>
                <w:sz w:val="18"/>
                <w:szCs w:val="18"/>
                <w:lang w:val="en-US" w:eastAsia="zh-CN" w:bidi="ar-SA"/>
              </w:rPr>
            </w:pPr>
            <w:r>
              <w:rPr>
                <w:rFonts w:hint="eastAsia" w:ascii="宋体" w:hAnsi="宋体" w:cs="宋体"/>
                <w:color w:val="000000"/>
                <w:sz w:val="18"/>
                <w:szCs w:val="18"/>
              </w:rPr>
              <w:t>7.2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534" w:type="dxa"/>
            <w:noWrap/>
            <w:vAlign w:val="center"/>
          </w:tcPr>
          <w:p>
            <w:pPr>
              <w:numPr>
                <w:ilvl w:val="0"/>
                <w:numId w:val="6"/>
              </w:numPr>
              <w:jc w:val="center"/>
              <w:rPr>
                <w:rFonts w:ascii="宋体" w:hAnsi="宋体" w:cs="宋体"/>
                <w:color w:val="000000"/>
                <w:sz w:val="18"/>
                <w:szCs w:val="18"/>
              </w:rPr>
            </w:pPr>
          </w:p>
        </w:tc>
        <w:tc>
          <w:tcPr>
            <w:tcW w:w="3685" w:type="dxa"/>
            <w:noWrap/>
            <w:vAlign w:val="center"/>
          </w:tcPr>
          <w:p>
            <w:pPr>
              <w:rPr>
                <w:rFonts w:hint="eastAsia" w:ascii="宋体" w:hAnsi="宋体" w:eastAsia="宋体" w:cs="宋体"/>
                <w:color w:val="000000"/>
                <w:kern w:val="2"/>
                <w:sz w:val="18"/>
                <w:szCs w:val="18"/>
                <w:lang w:val="en-US" w:eastAsia="zh-CN" w:bidi="ar-SA"/>
              </w:rPr>
            </w:pPr>
            <w:r>
              <w:rPr>
                <w:rFonts w:hint="eastAsia" w:ascii="宋体" w:hAnsi="宋体" w:cs="宋体"/>
                <w:color w:val="000000"/>
                <w:sz w:val="18"/>
                <w:szCs w:val="18"/>
              </w:rPr>
              <w:t>高毒作业场所旁休息室摆放</w:t>
            </w:r>
            <w:r>
              <w:rPr>
                <w:rFonts w:hint="eastAsia" w:ascii="宋体" w:hAnsi="宋体" w:cs="宋体"/>
                <w:color w:val="000000"/>
                <w:sz w:val="18"/>
                <w:szCs w:val="18"/>
                <w:lang w:eastAsia="zh-CN"/>
              </w:rPr>
              <w:t>杂物</w:t>
            </w:r>
          </w:p>
        </w:tc>
        <w:tc>
          <w:tcPr>
            <w:tcW w:w="3119" w:type="dxa"/>
            <w:noWrap/>
            <w:vAlign w:val="center"/>
          </w:tcPr>
          <w:p>
            <w:pPr>
              <w:jc w:val="center"/>
              <w:rPr>
                <w:rFonts w:ascii="宋体" w:hAnsi="宋体" w:eastAsia="宋体" w:cs="宋体"/>
                <w:color w:val="000000"/>
                <w:kern w:val="2"/>
                <w:sz w:val="18"/>
                <w:szCs w:val="18"/>
                <w:lang w:val="en-US" w:eastAsia="zh-CN" w:bidi="ar-SA"/>
              </w:rPr>
            </w:pPr>
            <w:r>
              <w:rPr>
                <w:rFonts w:hint="eastAsia" w:ascii="宋体" w:hAnsi="宋体" w:cs="宋体"/>
                <w:color w:val="000000"/>
                <w:sz w:val="18"/>
                <w:szCs w:val="18"/>
              </w:rPr>
              <w:t>清理休息室杂物</w:t>
            </w:r>
          </w:p>
        </w:tc>
        <w:tc>
          <w:tcPr>
            <w:tcW w:w="1275" w:type="dxa"/>
            <w:noWrap/>
            <w:vAlign w:val="center"/>
          </w:tcPr>
          <w:p>
            <w:pPr>
              <w:jc w:val="center"/>
              <w:rPr>
                <w:rFonts w:ascii="宋体" w:hAnsi="宋体" w:eastAsia="宋体" w:cs="宋体"/>
                <w:color w:val="000000"/>
                <w:kern w:val="2"/>
                <w:sz w:val="18"/>
                <w:szCs w:val="18"/>
                <w:lang w:val="en-US" w:eastAsia="zh-CN" w:bidi="ar-SA"/>
              </w:rPr>
            </w:pPr>
            <w:r>
              <w:rPr>
                <w:rFonts w:hint="eastAsia" w:ascii="宋体" w:hAnsi="宋体" w:cs="宋体"/>
                <w:color w:val="000000"/>
                <w:sz w:val="18"/>
                <w:szCs w:val="18"/>
              </w:rPr>
              <w:t>限期整改</w:t>
            </w:r>
          </w:p>
        </w:tc>
        <w:tc>
          <w:tcPr>
            <w:tcW w:w="709" w:type="dxa"/>
            <w:noWrap/>
            <w:vAlign w:val="center"/>
          </w:tcPr>
          <w:p>
            <w:pPr>
              <w:jc w:val="center"/>
              <w:rPr>
                <w:rFonts w:hint="eastAsia" w:ascii="宋体" w:hAnsi="宋体" w:eastAsia="宋体" w:cs="宋体"/>
                <w:color w:val="000000"/>
                <w:kern w:val="2"/>
                <w:sz w:val="18"/>
                <w:szCs w:val="18"/>
                <w:lang w:val="en-US" w:eastAsia="zh-CN" w:bidi="ar-SA"/>
              </w:rPr>
            </w:pPr>
            <w:r>
              <w:rPr>
                <w:rFonts w:hint="eastAsia" w:ascii="宋体" w:hAnsi="宋体" w:cs="宋体"/>
                <w:color w:val="000000"/>
                <w:sz w:val="18"/>
                <w:szCs w:val="18"/>
              </w:rPr>
              <w:t>7.</w:t>
            </w:r>
            <w:r>
              <w:rPr>
                <w:rFonts w:hint="eastAsia" w:ascii="宋体" w:hAnsi="宋体" w:cs="宋体"/>
                <w:color w:val="000000"/>
                <w:sz w:val="18"/>
                <w:szCs w:val="18"/>
                <w:lang w:val="en-US" w:eastAsia="zh-CN"/>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534" w:type="dxa"/>
            <w:noWrap/>
            <w:vAlign w:val="center"/>
          </w:tcPr>
          <w:p>
            <w:pPr>
              <w:numPr>
                <w:ilvl w:val="0"/>
                <w:numId w:val="6"/>
              </w:numPr>
              <w:jc w:val="center"/>
              <w:rPr>
                <w:rFonts w:ascii="宋体" w:hAnsi="宋体" w:cs="宋体"/>
                <w:color w:val="000000"/>
                <w:sz w:val="18"/>
                <w:szCs w:val="18"/>
              </w:rPr>
            </w:pPr>
          </w:p>
        </w:tc>
        <w:tc>
          <w:tcPr>
            <w:tcW w:w="3685" w:type="dxa"/>
            <w:noWrap/>
            <w:vAlign w:val="center"/>
          </w:tcPr>
          <w:p>
            <w:pPr>
              <w:rPr>
                <w:rFonts w:ascii="宋体" w:hAnsi="宋体" w:eastAsia="宋体" w:cs="宋体"/>
                <w:color w:val="auto"/>
                <w:kern w:val="2"/>
                <w:sz w:val="18"/>
                <w:szCs w:val="18"/>
                <w:lang w:val="en-US" w:eastAsia="zh-CN" w:bidi="ar-SA"/>
              </w:rPr>
            </w:pPr>
            <w:r>
              <w:rPr>
                <w:rFonts w:hint="eastAsia" w:ascii="宋体" w:hAnsi="宋体" w:cs="宋体"/>
                <w:color w:val="000000"/>
                <w:sz w:val="18"/>
                <w:szCs w:val="18"/>
                <w:lang w:eastAsia="zh-CN"/>
              </w:rPr>
              <w:t>安全交底风险辨识不规范</w:t>
            </w:r>
          </w:p>
        </w:tc>
        <w:tc>
          <w:tcPr>
            <w:tcW w:w="3119" w:type="dxa"/>
            <w:noWrap/>
            <w:vAlign w:val="center"/>
          </w:tcPr>
          <w:p>
            <w:pPr>
              <w:jc w:val="center"/>
              <w:rPr>
                <w:rFonts w:hint="eastAsia" w:ascii="宋体" w:hAnsi="宋体" w:eastAsia="宋体" w:cs="宋体"/>
                <w:color w:val="auto"/>
                <w:kern w:val="2"/>
                <w:sz w:val="18"/>
                <w:szCs w:val="18"/>
                <w:lang w:val="en-US" w:eastAsia="zh-CN" w:bidi="ar-SA"/>
              </w:rPr>
            </w:pPr>
            <w:r>
              <w:rPr>
                <w:rFonts w:hint="eastAsia" w:ascii="宋体" w:hAnsi="宋体" w:cs="宋体"/>
                <w:color w:val="auto"/>
                <w:sz w:val="18"/>
                <w:szCs w:val="18"/>
                <w:lang w:eastAsia="zh-CN"/>
              </w:rPr>
              <w:t>完善承包商安全交底风险辨识</w:t>
            </w:r>
          </w:p>
        </w:tc>
        <w:tc>
          <w:tcPr>
            <w:tcW w:w="1275" w:type="dxa"/>
            <w:noWrap/>
            <w:vAlign w:val="center"/>
          </w:tcPr>
          <w:p>
            <w:pPr>
              <w:jc w:val="center"/>
              <w:rPr>
                <w:rFonts w:ascii="宋体" w:hAnsi="宋体" w:eastAsia="宋体" w:cs="宋体"/>
                <w:color w:val="auto"/>
                <w:kern w:val="2"/>
                <w:sz w:val="18"/>
                <w:szCs w:val="18"/>
                <w:lang w:val="en-US" w:eastAsia="zh-CN" w:bidi="ar-SA"/>
              </w:rPr>
            </w:pPr>
            <w:r>
              <w:rPr>
                <w:rFonts w:hint="eastAsia" w:ascii="宋体" w:hAnsi="宋体" w:cs="宋体"/>
                <w:color w:val="auto"/>
                <w:sz w:val="18"/>
                <w:szCs w:val="18"/>
              </w:rPr>
              <w:t>限期整改</w:t>
            </w:r>
          </w:p>
        </w:tc>
        <w:tc>
          <w:tcPr>
            <w:tcW w:w="709" w:type="dxa"/>
            <w:noWrap/>
            <w:vAlign w:val="center"/>
          </w:tcPr>
          <w:p>
            <w:pPr>
              <w:jc w:val="center"/>
              <w:rPr>
                <w:rFonts w:ascii="宋体" w:hAnsi="宋体" w:eastAsia="宋体" w:cs="宋体"/>
                <w:color w:val="auto"/>
                <w:kern w:val="2"/>
                <w:sz w:val="18"/>
                <w:szCs w:val="18"/>
                <w:lang w:val="en-US" w:eastAsia="zh-CN" w:bidi="ar-SA"/>
              </w:rPr>
            </w:pPr>
            <w:r>
              <w:rPr>
                <w:rFonts w:hint="eastAsia" w:ascii="宋体" w:hAnsi="宋体" w:cs="宋体"/>
                <w:color w:val="auto"/>
                <w:sz w:val="18"/>
                <w:szCs w:val="18"/>
              </w:rPr>
              <w:t>7.4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534" w:type="dxa"/>
            <w:noWrap/>
            <w:vAlign w:val="center"/>
          </w:tcPr>
          <w:p>
            <w:pPr>
              <w:numPr>
                <w:ilvl w:val="0"/>
                <w:numId w:val="6"/>
              </w:numPr>
              <w:jc w:val="center"/>
              <w:rPr>
                <w:rFonts w:ascii="宋体" w:hAnsi="宋体" w:cs="宋体"/>
                <w:color w:val="000000"/>
                <w:sz w:val="18"/>
                <w:szCs w:val="18"/>
              </w:rPr>
            </w:pPr>
          </w:p>
        </w:tc>
        <w:tc>
          <w:tcPr>
            <w:tcW w:w="3685" w:type="dxa"/>
            <w:noWrap/>
            <w:vAlign w:val="center"/>
          </w:tcPr>
          <w:p>
            <w:pPr>
              <w:rPr>
                <w:rFonts w:ascii="宋体" w:hAnsi="宋体" w:eastAsia="宋体" w:cs="宋体"/>
                <w:color w:val="auto"/>
                <w:kern w:val="2"/>
                <w:sz w:val="18"/>
                <w:szCs w:val="18"/>
                <w:lang w:val="en-US" w:eastAsia="zh-CN" w:bidi="ar-SA"/>
              </w:rPr>
            </w:pPr>
            <w:r>
              <w:rPr>
                <w:rFonts w:hint="eastAsia" w:ascii="宋体" w:hAnsi="宋体" w:cs="宋体"/>
                <w:color w:val="auto"/>
                <w:sz w:val="18"/>
                <w:szCs w:val="18"/>
              </w:rPr>
              <w:t>从业人员健康监护档案不规范</w:t>
            </w:r>
          </w:p>
        </w:tc>
        <w:tc>
          <w:tcPr>
            <w:tcW w:w="3119" w:type="dxa"/>
            <w:noWrap/>
            <w:vAlign w:val="center"/>
          </w:tcPr>
          <w:p>
            <w:pPr>
              <w:jc w:val="center"/>
              <w:rPr>
                <w:rFonts w:ascii="宋体" w:hAnsi="宋体" w:eastAsia="宋体" w:cs="宋体"/>
                <w:color w:val="auto"/>
                <w:kern w:val="2"/>
                <w:sz w:val="18"/>
                <w:szCs w:val="18"/>
                <w:lang w:val="en-US" w:eastAsia="zh-CN" w:bidi="ar-SA"/>
              </w:rPr>
            </w:pPr>
            <w:r>
              <w:rPr>
                <w:rFonts w:hint="eastAsia" w:ascii="宋体" w:hAnsi="宋体" w:cs="宋体"/>
                <w:color w:val="auto"/>
                <w:sz w:val="18"/>
                <w:szCs w:val="18"/>
              </w:rPr>
              <w:t>完善从业人员健康监护档案</w:t>
            </w:r>
          </w:p>
        </w:tc>
        <w:tc>
          <w:tcPr>
            <w:tcW w:w="1275" w:type="dxa"/>
            <w:noWrap/>
            <w:vAlign w:val="center"/>
          </w:tcPr>
          <w:p>
            <w:pPr>
              <w:jc w:val="center"/>
              <w:rPr>
                <w:rFonts w:ascii="宋体" w:hAnsi="宋体" w:eastAsia="宋体" w:cs="宋体"/>
                <w:color w:val="auto"/>
                <w:kern w:val="2"/>
                <w:sz w:val="18"/>
                <w:szCs w:val="18"/>
                <w:lang w:val="en-US" w:eastAsia="zh-CN" w:bidi="ar-SA"/>
              </w:rPr>
            </w:pPr>
            <w:r>
              <w:rPr>
                <w:rFonts w:hint="eastAsia" w:ascii="宋体" w:hAnsi="宋体" w:cs="宋体"/>
                <w:color w:val="auto"/>
                <w:sz w:val="18"/>
                <w:szCs w:val="18"/>
              </w:rPr>
              <w:t>限期整改</w:t>
            </w:r>
          </w:p>
        </w:tc>
        <w:tc>
          <w:tcPr>
            <w:tcW w:w="709" w:type="dxa"/>
            <w:noWrap/>
            <w:vAlign w:val="center"/>
          </w:tcPr>
          <w:p>
            <w:pPr>
              <w:jc w:val="center"/>
              <w:rPr>
                <w:rFonts w:ascii="宋体" w:hAnsi="宋体" w:eastAsia="宋体" w:cs="宋体"/>
                <w:color w:val="auto"/>
                <w:kern w:val="2"/>
                <w:sz w:val="18"/>
                <w:szCs w:val="18"/>
                <w:lang w:val="en-US" w:eastAsia="zh-CN" w:bidi="ar-SA"/>
              </w:rPr>
            </w:pPr>
            <w:r>
              <w:rPr>
                <w:rFonts w:hint="eastAsia" w:ascii="宋体" w:hAnsi="宋体" w:cs="宋体"/>
                <w:color w:val="auto"/>
                <w:sz w:val="18"/>
                <w:szCs w:val="18"/>
              </w:rPr>
              <w:t>8.2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534" w:type="dxa"/>
            <w:noWrap/>
            <w:vAlign w:val="center"/>
          </w:tcPr>
          <w:p>
            <w:pPr>
              <w:numPr>
                <w:ilvl w:val="0"/>
                <w:numId w:val="6"/>
              </w:numPr>
              <w:jc w:val="center"/>
              <w:rPr>
                <w:rFonts w:ascii="宋体" w:hAnsi="宋体" w:cs="宋体"/>
                <w:color w:val="000000"/>
                <w:sz w:val="18"/>
                <w:szCs w:val="18"/>
              </w:rPr>
            </w:pPr>
          </w:p>
        </w:tc>
        <w:tc>
          <w:tcPr>
            <w:tcW w:w="3685" w:type="dxa"/>
            <w:noWrap/>
            <w:vAlign w:val="center"/>
          </w:tcPr>
          <w:p>
            <w:pPr>
              <w:widowControl/>
              <w:snapToGrid w:val="0"/>
              <w:spacing w:line="300" w:lineRule="auto"/>
              <w:ind w:right="-94" w:rightChars="0"/>
              <w:jc w:val="left"/>
              <w:rPr>
                <w:rFonts w:hint="eastAsia" w:ascii="宋体" w:hAnsi="宋体" w:eastAsia="宋体" w:cs="宋体"/>
                <w:color w:val="auto"/>
                <w:kern w:val="2"/>
                <w:sz w:val="18"/>
                <w:szCs w:val="18"/>
                <w:lang w:val="en-US" w:eastAsia="zh-CN" w:bidi="ar-SA"/>
              </w:rPr>
            </w:pPr>
            <w:r>
              <w:rPr>
                <w:rFonts w:hint="eastAsia" w:ascii="宋体" w:hAnsi="宋体" w:cs="宋体"/>
                <w:bCs/>
                <w:color w:val="auto"/>
                <w:sz w:val="18"/>
                <w:szCs w:val="18"/>
                <w:lang w:eastAsia="zh-CN"/>
              </w:rPr>
              <w:t>洗眼器冲淋拉杆损坏</w:t>
            </w:r>
          </w:p>
        </w:tc>
        <w:tc>
          <w:tcPr>
            <w:tcW w:w="3119" w:type="dxa"/>
            <w:noWrap/>
            <w:vAlign w:val="center"/>
          </w:tcPr>
          <w:p>
            <w:pPr>
              <w:spacing w:line="300" w:lineRule="exact"/>
              <w:jc w:val="center"/>
              <w:rPr>
                <w:rFonts w:hint="eastAsia" w:ascii="宋体" w:hAnsi="宋体" w:eastAsia="宋体" w:cs="宋体"/>
                <w:color w:val="auto"/>
                <w:kern w:val="2"/>
                <w:sz w:val="18"/>
                <w:szCs w:val="18"/>
                <w:lang w:val="en-US" w:eastAsia="zh-CN" w:bidi="ar-SA"/>
              </w:rPr>
            </w:pPr>
            <w:r>
              <w:rPr>
                <w:rFonts w:hint="eastAsia" w:ascii="宋体" w:hAnsi="宋体" w:cs="宋体"/>
                <w:bCs/>
                <w:color w:val="auto"/>
                <w:sz w:val="18"/>
                <w:szCs w:val="18"/>
              </w:rPr>
              <w:t>修复</w:t>
            </w:r>
            <w:r>
              <w:rPr>
                <w:rFonts w:hint="eastAsia" w:ascii="宋体" w:hAnsi="宋体" w:cs="宋体"/>
                <w:bCs/>
                <w:color w:val="auto"/>
                <w:sz w:val="18"/>
                <w:szCs w:val="18"/>
                <w:lang w:eastAsia="zh-CN"/>
              </w:rPr>
              <w:t>损坏</w:t>
            </w:r>
            <w:r>
              <w:rPr>
                <w:rFonts w:hint="eastAsia" w:ascii="宋体" w:hAnsi="宋体" w:cs="宋体"/>
                <w:bCs/>
                <w:color w:val="auto"/>
                <w:sz w:val="18"/>
                <w:szCs w:val="18"/>
              </w:rPr>
              <w:t>的</w:t>
            </w:r>
            <w:r>
              <w:rPr>
                <w:rFonts w:hint="eastAsia" w:ascii="宋体" w:hAnsi="宋体" w:cs="宋体"/>
                <w:bCs/>
                <w:color w:val="auto"/>
                <w:sz w:val="18"/>
                <w:szCs w:val="18"/>
                <w:lang w:eastAsia="zh-CN"/>
              </w:rPr>
              <w:t>洗眼器拉杆</w:t>
            </w:r>
          </w:p>
        </w:tc>
        <w:tc>
          <w:tcPr>
            <w:tcW w:w="1275" w:type="dxa"/>
            <w:noWrap/>
            <w:vAlign w:val="center"/>
          </w:tcPr>
          <w:p>
            <w:pPr>
              <w:jc w:val="center"/>
              <w:rPr>
                <w:rFonts w:ascii="宋体" w:hAnsi="宋体" w:eastAsia="宋体" w:cs="宋体"/>
                <w:color w:val="auto"/>
                <w:kern w:val="2"/>
                <w:sz w:val="18"/>
                <w:szCs w:val="18"/>
                <w:lang w:val="en-US" w:eastAsia="zh-CN" w:bidi="ar-SA"/>
              </w:rPr>
            </w:pPr>
            <w:r>
              <w:rPr>
                <w:rFonts w:hint="eastAsia" w:ascii="宋体" w:hAnsi="宋体" w:cs="宋体"/>
                <w:color w:val="auto"/>
                <w:sz w:val="18"/>
                <w:szCs w:val="18"/>
              </w:rPr>
              <w:t>限期整改</w:t>
            </w:r>
          </w:p>
        </w:tc>
        <w:tc>
          <w:tcPr>
            <w:tcW w:w="709" w:type="dxa"/>
            <w:noWrap/>
            <w:vAlign w:val="center"/>
          </w:tcPr>
          <w:p>
            <w:pPr>
              <w:jc w:val="center"/>
              <w:rPr>
                <w:rFonts w:ascii="宋体" w:hAnsi="宋体" w:eastAsia="宋体" w:cs="宋体"/>
                <w:color w:val="auto"/>
                <w:kern w:val="2"/>
                <w:sz w:val="18"/>
                <w:szCs w:val="18"/>
                <w:lang w:val="en-US" w:eastAsia="zh-CN" w:bidi="ar-SA"/>
              </w:rPr>
            </w:pPr>
            <w:r>
              <w:rPr>
                <w:rFonts w:hint="eastAsia" w:ascii="宋体" w:hAnsi="宋体" w:cs="宋体"/>
                <w:color w:val="auto"/>
                <w:sz w:val="18"/>
                <w:szCs w:val="18"/>
              </w:rPr>
              <w:t>8.2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534" w:type="dxa"/>
            <w:noWrap/>
            <w:vAlign w:val="center"/>
          </w:tcPr>
          <w:p>
            <w:pPr>
              <w:numPr>
                <w:ilvl w:val="0"/>
                <w:numId w:val="6"/>
              </w:numPr>
              <w:jc w:val="center"/>
              <w:rPr>
                <w:rFonts w:ascii="宋体" w:hAnsi="宋体" w:cs="宋体"/>
                <w:color w:val="000000"/>
                <w:sz w:val="18"/>
                <w:szCs w:val="18"/>
              </w:rPr>
            </w:pPr>
          </w:p>
        </w:tc>
        <w:tc>
          <w:tcPr>
            <w:tcW w:w="3685" w:type="dxa"/>
            <w:noWrap/>
            <w:vAlign w:val="center"/>
          </w:tcPr>
          <w:p>
            <w:pPr>
              <w:rPr>
                <w:rFonts w:ascii="宋体" w:hAnsi="宋体" w:eastAsia="宋体" w:cs="宋体"/>
                <w:color w:val="auto"/>
                <w:kern w:val="2"/>
                <w:sz w:val="18"/>
                <w:szCs w:val="18"/>
                <w:lang w:val="en-US" w:eastAsia="zh-CN" w:bidi="ar-SA"/>
              </w:rPr>
            </w:pPr>
            <w:r>
              <w:rPr>
                <w:rFonts w:hint="eastAsia" w:ascii="宋体" w:hAnsi="宋体" w:cs="宋体"/>
                <w:color w:val="auto"/>
                <w:sz w:val="18"/>
                <w:szCs w:val="18"/>
              </w:rPr>
              <w:t>化验室化学试剂分类清单不规范</w:t>
            </w:r>
          </w:p>
        </w:tc>
        <w:tc>
          <w:tcPr>
            <w:tcW w:w="3119" w:type="dxa"/>
            <w:noWrap/>
            <w:vAlign w:val="center"/>
          </w:tcPr>
          <w:p>
            <w:pPr>
              <w:jc w:val="center"/>
              <w:rPr>
                <w:rFonts w:ascii="宋体" w:hAnsi="宋体" w:eastAsia="宋体" w:cs="宋体"/>
                <w:color w:val="auto"/>
                <w:kern w:val="2"/>
                <w:sz w:val="18"/>
                <w:szCs w:val="18"/>
                <w:lang w:val="en-US" w:eastAsia="zh-CN" w:bidi="ar-SA"/>
              </w:rPr>
            </w:pPr>
            <w:r>
              <w:rPr>
                <w:rFonts w:hint="eastAsia" w:ascii="宋体" w:hAnsi="宋体" w:cs="宋体"/>
                <w:color w:val="auto"/>
                <w:sz w:val="18"/>
                <w:szCs w:val="18"/>
              </w:rPr>
              <w:t>督促化验室规范分类清单</w:t>
            </w:r>
          </w:p>
        </w:tc>
        <w:tc>
          <w:tcPr>
            <w:tcW w:w="1275" w:type="dxa"/>
            <w:noWrap/>
            <w:vAlign w:val="center"/>
          </w:tcPr>
          <w:p>
            <w:pPr>
              <w:jc w:val="center"/>
              <w:rPr>
                <w:rFonts w:ascii="宋体" w:hAnsi="宋体" w:eastAsia="宋体" w:cs="宋体"/>
                <w:color w:val="auto"/>
                <w:kern w:val="2"/>
                <w:sz w:val="18"/>
                <w:szCs w:val="18"/>
                <w:lang w:val="en-US" w:eastAsia="zh-CN" w:bidi="ar-SA"/>
              </w:rPr>
            </w:pPr>
            <w:r>
              <w:rPr>
                <w:rFonts w:hint="eastAsia" w:ascii="宋体" w:hAnsi="宋体" w:cs="宋体"/>
                <w:color w:val="auto"/>
                <w:sz w:val="18"/>
                <w:szCs w:val="18"/>
              </w:rPr>
              <w:t>限期整改</w:t>
            </w:r>
          </w:p>
        </w:tc>
        <w:tc>
          <w:tcPr>
            <w:tcW w:w="709" w:type="dxa"/>
            <w:noWrap/>
            <w:vAlign w:val="center"/>
          </w:tcPr>
          <w:p>
            <w:pPr>
              <w:jc w:val="center"/>
              <w:rPr>
                <w:rFonts w:ascii="宋体" w:hAnsi="宋体" w:eastAsia="宋体" w:cs="宋体"/>
                <w:color w:val="auto"/>
                <w:kern w:val="2"/>
                <w:sz w:val="18"/>
                <w:szCs w:val="18"/>
                <w:lang w:val="en-US" w:eastAsia="zh-CN" w:bidi="ar-SA"/>
              </w:rPr>
            </w:pPr>
            <w:r>
              <w:rPr>
                <w:rFonts w:hint="eastAsia" w:ascii="宋体" w:hAnsi="宋体" w:cs="宋体"/>
                <w:color w:val="auto"/>
                <w:sz w:val="18"/>
                <w:szCs w:val="18"/>
              </w:rPr>
              <w:t>9.2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534" w:type="dxa"/>
            <w:noWrap/>
            <w:vAlign w:val="center"/>
          </w:tcPr>
          <w:p>
            <w:pPr>
              <w:numPr>
                <w:ilvl w:val="0"/>
                <w:numId w:val="6"/>
              </w:numPr>
              <w:jc w:val="center"/>
              <w:rPr>
                <w:rFonts w:ascii="宋体" w:hAnsi="宋体" w:cs="宋体"/>
                <w:color w:val="000000"/>
                <w:sz w:val="18"/>
                <w:szCs w:val="18"/>
              </w:rPr>
            </w:pPr>
          </w:p>
        </w:tc>
        <w:tc>
          <w:tcPr>
            <w:tcW w:w="3685" w:type="dxa"/>
            <w:noWrap/>
            <w:vAlign w:val="center"/>
          </w:tcPr>
          <w:p>
            <w:pPr>
              <w:rPr>
                <w:rFonts w:ascii="宋体" w:hAnsi="宋体" w:eastAsia="宋体" w:cs="宋体"/>
                <w:color w:val="auto"/>
                <w:kern w:val="2"/>
                <w:sz w:val="18"/>
                <w:szCs w:val="18"/>
                <w:lang w:val="en-US" w:eastAsia="zh-CN" w:bidi="ar-SA"/>
              </w:rPr>
            </w:pPr>
            <w:r>
              <w:rPr>
                <w:rFonts w:hint="eastAsia" w:ascii="宋体" w:hAnsi="宋体" w:cs="宋体"/>
                <w:color w:val="auto"/>
                <w:sz w:val="18"/>
                <w:szCs w:val="18"/>
              </w:rPr>
              <w:t>未设立应急咨询服务固定电话</w:t>
            </w:r>
          </w:p>
        </w:tc>
        <w:tc>
          <w:tcPr>
            <w:tcW w:w="3119" w:type="dxa"/>
            <w:noWrap/>
            <w:vAlign w:val="center"/>
          </w:tcPr>
          <w:p>
            <w:pPr>
              <w:jc w:val="center"/>
              <w:rPr>
                <w:rFonts w:ascii="宋体" w:hAnsi="宋体" w:eastAsia="宋体" w:cs="宋体"/>
                <w:color w:val="auto"/>
                <w:kern w:val="2"/>
                <w:sz w:val="18"/>
                <w:szCs w:val="18"/>
                <w:lang w:val="en-US" w:eastAsia="zh-CN" w:bidi="ar-SA"/>
              </w:rPr>
            </w:pPr>
            <w:r>
              <w:rPr>
                <w:rFonts w:hint="eastAsia" w:ascii="宋体" w:hAnsi="宋体" w:cs="宋体"/>
                <w:color w:val="auto"/>
                <w:sz w:val="18"/>
                <w:szCs w:val="18"/>
              </w:rPr>
              <w:t>增设应急咨询服务固定电话</w:t>
            </w:r>
          </w:p>
        </w:tc>
        <w:tc>
          <w:tcPr>
            <w:tcW w:w="1275" w:type="dxa"/>
            <w:noWrap/>
            <w:vAlign w:val="center"/>
          </w:tcPr>
          <w:p>
            <w:pPr>
              <w:jc w:val="center"/>
              <w:rPr>
                <w:rFonts w:ascii="宋体" w:hAnsi="宋体" w:eastAsia="宋体" w:cs="宋体"/>
                <w:color w:val="auto"/>
                <w:kern w:val="2"/>
                <w:sz w:val="18"/>
                <w:szCs w:val="18"/>
                <w:lang w:val="en-US" w:eastAsia="zh-CN" w:bidi="ar-SA"/>
              </w:rPr>
            </w:pPr>
            <w:r>
              <w:rPr>
                <w:rFonts w:hint="eastAsia" w:ascii="宋体" w:hAnsi="宋体" w:cs="宋体"/>
                <w:color w:val="auto"/>
                <w:sz w:val="18"/>
                <w:szCs w:val="18"/>
              </w:rPr>
              <w:t>限期整改</w:t>
            </w:r>
          </w:p>
        </w:tc>
        <w:tc>
          <w:tcPr>
            <w:tcW w:w="709" w:type="dxa"/>
            <w:noWrap/>
            <w:vAlign w:val="center"/>
          </w:tcPr>
          <w:p>
            <w:pPr>
              <w:jc w:val="center"/>
              <w:rPr>
                <w:rFonts w:ascii="宋体" w:hAnsi="宋体" w:eastAsia="宋体" w:cs="宋体"/>
                <w:color w:val="auto"/>
                <w:kern w:val="2"/>
                <w:sz w:val="18"/>
                <w:szCs w:val="18"/>
                <w:lang w:val="en-US" w:eastAsia="zh-CN" w:bidi="ar-SA"/>
              </w:rPr>
            </w:pPr>
            <w:r>
              <w:rPr>
                <w:rFonts w:hint="eastAsia" w:ascii="宋体" w:hAnsi="宋体" w:cs="宋体"/>
                <w:color w:val="auto"/>
                <w:sz w:val="18"/>
                <w:szCs w:val="18"/>
              </w:rPr>
              <w:t>9.4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534" w:type="dxa"/>
            <w:noWrap/>
            <w:vAlign w:val="center"/>
          </w:tcPr>
          <w:p>
            <w:pPr>
              <w:numPr>
                <w:ilvl w:val="0"/>
                <w:numId w:val="6"/>
              </w:numPr>
              <w:jc w:val="center"/>
              <w:rPr>
                <w:rFonts w:ascii="宋体" w:hAnsi="宋体" w:cs="宋体"/>
                <w:color w:val="000000"/>
                <w:sz w:val="18"/>
                <w:szCs w:val="18"/>
              </w:rPr>
            </w:pPr>
          </w:p>
        </w:tc>
        <w:tc>
          <w:tcPr>
            <w:tcW w:w="3685" w:type="dxa"/>
            <w:noWrap/>
            <w:vAlign w:val="center"/>
          </w:tcPr>
          <w:p>
            <w:pPr>
              <w:rPr>
                <w:rFonts w:ascii="宋体" w:hAnsi="宋体" w:eastAsia="宋体" w:cs="宋体"/>
                <w:color w:val="000000"/>
                <w:kern w:val="2"/>
                <w:sz w:val="18"/>
                <w:szCs w:val="18"/>
                <w:lang w:val="en-US" w:eastAsia="zh-CN" w:bidi="ar-SA"/>
              </w:rPr>
            </w:pPr>
            <w:r>
              <w:rPr>
                <w:rFonts w:hint="eastAsia" w:ascii="宋体" w:hAnsi="宋体" w:cs="宋体"/>
                <w:color w:val="000000"/>
                <w:sz w:val="18"/>
                <w:szCs w:val="18"/>
              </w:rPr>
              <w:t>危险化学品输送管道巡线记录不规范</w:t>
            </w:r>
          </w:p>
        </w:tc>
        <w:tc>
          <w:tcPr>
            <w:tcW w:w="3119" w:type="dxa"/>
            <w:noWrap/>
            <w:vAlign w:val="center"/>
          </w:tcPr>
          <w:p>
            <w:pPr>
              <w:jc w:val="center"/>
              <w:rPr>
                <w:rFonts w:ascii="宋体" w:hAnsi="宋体" w:eastAsia="宋体" w:cs="宋体"/>
                <w:color w:val="000000"/>
                <w:kern w:val="2"/>
                <w:sz w:val="18"/>
                <w:szCs w:val="18"/>
                <w:lang w:val="en-US" w:eastAsia="zh-CN" w:bidi="ar-SA"/>
              </w:rPr>
            </w:pPr>
            <w:r>
              <w:rPr>
                <w:rFonts w:hint="eastAsia" w:ascii="宋体" w:hAnsi="宋体" w:cs="宋体"/>
                <w:color w:val="000000"/>
                <w:sz w:val="18"/>
                <w:szCs w:val="18"/>
              </w:rPr>
              <w:t>完善巡线记录</w:t>
            </w:r>
          </w:p>
        </w:tc>
        <w:tc>
          <w:tcPr>
            <w:tcW w:w="1275" w:type="dxa"/>
            <w:noWrap/>
            <w:vAlign w:val="center"/>
          </w:tcPr>
          <w:p>
            <w:pPr>
              <w:jc w:val="center"/>
              <w:rPr>
                <w:rFonts w:ascii="宋体" w:hAnsi="宋体" w:eastAsia="宋体" w:cs="宋体"/>
                <w:color w:val="000000"/>
                <w:kern w:val="2"/>
                <w:sz w:val="18"/>
                <w:szCs w:val="18"/>
                <w:lang w:val="en-US" w:eastAsia="zh-CN" w:bidi="ar-SA"/>
              </w:rPr>
            </w:pPr>
            <w:r>
              <w:rPr>
                <w:rFonts w:hint="eastAsia" w:ascii="宋体" w:hAnsi="宋体" w:cs="宋体"/>
                <w:color w:val="000000"/>
                <w:sz w:val="18"/>
                <w:szCs w:val="18"/>
              </w:rPr>
              <w:t>限期整改</w:t>
            </w:r>
          </w:p>
        </w:tc>
        <w:tc>
          <w:tcPr>
            <w:tcW w:w="709" w:type="dxa"/>
            <w:noWrap/>
            <w:vAlign w:val="center"/>
          </w:tcPr>
          <w:p>
            <w:pPr>
              <w:jc w:val="center"/>
              <w:rPr>
                <w:rFonts w:ascii="宋体" w:hAnsi="宋体" w:eastAsia="宋体" w:cs="宋体"/>
                <w:color w:val="000000"/>
                <w:kern w:val="2"/>
                <w:sz w:val="18"/>
                <w:szCs w:val="18"/>
                <w:lang w:val="en-US" w:eastAsia="zh-CN" w:bidi="ar-SA"/>
              </w:rPr>
            </w:pPr>
            <w:r>
              <w:rPr>
                <w:rFonts w:hint="eastAsia" w:ascii="宋体" w:hAnsi="宋体" w:cs="宋体"/>
                <w:color w:val="000000"/>
                <w:sz w:val="18"/>
                <w:szCs w:val="18"/>
              </w:rPr>
              <w:t>9.7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534" w:type="dxa"/>
            <w:noWrap/>
            <w:vAlign w:val="center"/>
          </w:tcPr>
          <w:p>
            <w:pPr>
              <w:numPr>
                <w:ilvl w:val="0"/>
                <w:numId w:val="6"/>
              </w:numPr>
              <w:jc w:val="center"/>
              <w:rPr>
                <w:rFonts w:ascii="宋体" w:hAnsi="宋体" w:cs="宋体"/>
                <w:color w:val="000000"/>
                <w:sz w:val="18"/>
                <w:szCs w:val="18"/>
              </w:rPr>
            </w:pPr>
          </w:p>
        </w:tc>
        <w:tc>
          <w:tcPr>
            <w:tcW w:w="3685" w:type="dxa"/>
            <w:noWrap/>
            <w:vAlign w:val="center"/>
          </w:tcPr>
          <w:p>
            <w:pPr>
              <w:rPr>
                <w:rFonts w:ascii="宋体" w:hAnsi="宋体" w:eastAsia="宋体" w:cs="宋体"/>
                <w:color w:val="000000"/>
                <w:kern w:val="2"/>
                <w:sz w:val="18"/>
                <w:szCs w:val="18"/>
                <w:lang w:val="en-US" w:eastAsia="zh-CN" w:bidi="ar-SA"/>
              </w:rPr>
            </w:pPr>
            <w:r>
              <w:rPr>
                <w:rFonts w:hint="eastAsia" w:ascii="宋体" w:hAnsi="宋体" w:cs="宋体"/>
                <w:color w:val="000000"/>
                <w:sz w:val="18"/>
                <w:szCs w:val="18"/>
              </w:rPr>
              <w:t>现场询问岗位人员不了解其应急职责</w:t>
            </w:r>
          </w:p>
        </w:tc>
        <w:tc>
          <w:tcPr>
            <w:tcW w:w="3119" w:type="dxa"/>
            <w:noWrap/>
            <w:vAlign w:val="center"/>
          </w:tcPr>
          <w:p>
            <w:pPr>
              <w:jc w:val="center"/>
              <w:rPr>
                <w:rFonts w:ascii="宋体" w:hAnsi="宋体" w:eastAsia="宋体" w:cs="宋体"/>
                <w:color w:val="000000"/>
                <w:kern w:val="2"/>
                <w:sz w:val="18"/>
                <w:szCs w:val="18"/>
                <w:lang w:val="en-US" w:eastAsia="zh-CN" w:bidi="ar-SA"/>
              </w:rPr>
            </w:pPr>
            <w:r>
              <w:rPr>
                <w:rFonts w:hint="eastAsia" w:ascii="宋体" w:hAnsi="宋体" w:cs="宋体"/>
                <w:color w:val="000000"/>
                <w:sz w:val="18"/>
                <w:szCs w:val="18"/>
              </w:rPr>
              <w:t>组织培训学习</w:t>
            </w:r>
          </w:p>
        </w:tc>
        <w:tc>
          <w:tcPr>
            <w:tcW w:w="1275" w:type="dxa"/>
            <w:noWrap/>
            <w:vAlign w:val="center"/>
          </w:tcPr>
          <w:p>
            <w:pPr>
              <w:jc w:val="center"/>
              <w:rPr>
                <w:rFonts w:ascii="宋体" w:hAnsi="宋体" w:eastAsia="宋体" w:cs="宋体"/>
                <w:color w:val="000000"/>
                <w:kern w:val="2"/>
                <w:sz w:val="18"/>
                <w:szCs w:val="18"/>
                <w:lang w:val="en-US" w:eastAsia="zh-CN" w:bidi="ar-SA"/>
              </w:rPr>
            </w:pPr>
            <w:r>
              <w:rPr>
                <w:rFonts w:hint="eastAsia" w:ascii="宋体" w:hAnsi="宋体" w:cs="宋体"/>
                <w:color w:val="000000"/>
                <w:sz w:val="18"/>
                <w:szCs w:val="18"/>
              </w:rPr>
              <w:t>限期整改</w:t>
            </w:r>
          </w:p>
        </w:tc>
        <w:tc>
          <w:tcPr>
            <w:tcW w:w="709" w:type="dxa"/>
            <w:noWrap/>
            <w:vAlign w:val="center"/>
          </w:tcPr>
          <w:p>
            <w:pPr>
              <w:jc w:val="center"/>
              <w:rPr>
                <w:rFonts w:ascii="宋体" w:hAnsi="宋体" w:eastAsia="宋体" w:cs="宋体"/>
                <w:color w:val="000000"/>
                <w:kern w:val="2"/>
                <w:sz w:val="18"/>
                <w:szCs w:val="18"/>
                <w:lang w:val="en-US" w:eastAsia="zh-CN" w:bidi="ar-SA"/>
              </w:rPr>
            </w:pPr>
            <w:r>
              <w:rPr>
                <w:rFonts w:hint="eastAsia" w:ascii="宋体" w:hAnsi="宋体" w:cs="宋体"/>
                <w:color w:val="000000"/>
                <w:sz w:val="18"/>
                <w:szCs w:val="18"/>
              </w:rPr>
              <w:t>10.1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534" w:type="dxa"/>
            <w:noWrap/>
            <w:vAlign w:val="center"/>
          </w:tcPr>
          <w:p>
            <w:pPr>
              <w:numPr>
                <w:ilvl w:val="0"/>
                <w:numId w:val="6"/>
              </w:numPr>
              <w:jc w:val="center"/>
              <w:rPr>
                <w:rFonts w:ascii="宋体" w:hAnsi="宋体" w:cs="宋体"/>
                <w:color w:val="000000"/>
                <w:sz w:val="18"/>
                <w:szCs w:val="18"/>
              </w:rPr>
            </w:pPr>
          </w:p>
        </w:tc>
        <w:tc>
          <w:tcPr>
            <w:tcW w:w="3685" w:type="dxa"/>
            <w:noWrap/>
            <w:vAlign w:val="center"/>
          </w:tcPr>
          <w:p>
            <w:pPr>
              <w:spacing w:line="300" w:lineRule="exact"/>
              <w:rPr>
                <w:rFonts w:hint="eastAsia" w:ascii="宋体" w:hAnsi="宋体" w:eastAsia="宋体" w:cs="宋体"/>
                <w:bCs/>
                <w:kern w:val="2"/>
                <w:sz w:val="18"/>
                <w:szCs w:val="18"/>
                <w:lang w:val="en-US" w:eastAsia="zh-CN" w:bidi="ar-SA"/>
              </w:rPr>
            </w:pPr>
            <w:r>
              <w:rPr>
                <w:rFonts w:hint="default" w:ascii="宋体" w:hAnsi="宋体" w:eastAsia="宋体" w:cs="宋体"/>
                <w:bCs/>
                <w:sz w:val="18"/>
                <w:szCs w:val="18"/>
                <w:lang w:val="en-US" w:eastAsia="zh-CN"/>
              </w:rPr>
              <w:t>消防控制室未设置应急照明灯</w:t>
            </w:r>
          </w:p>
        </w:tc>
        <w:tc>
          <w:tcPr>
            <w:tcW w:w="3119" w:type="dxa"/>
            <w:noWrap/>
            <w:vAlign w:val="center"/>
          </w:tcPr>
          <w:p>
            <w:pPr>
              <w:spacing w:line="300" w:lineRule="exact"/>
              <w:jc w:val="center"/>
              <w:rPr>
                <w:rFonts w:hint="eastAsia" w:ascii="宋体" w:hAnsi="宋体" w:eastAsia="宋体" w:cs="宋体"/>
                <w:bCs/>
                <w:kern w:val="2"/>
                <w:sz w:val="18"/>
                <w:szCs w:val="18"/>
                <w:lang w:val="en-US" w:eastAsia="zh-CN" w:bidi="ar-SA"/>
              </w:rPr>
            </w:pPr>
            <w:r>
              <w:rPr>
                <w:rFonts w:hint="eastAsia" w:ascii="仿宋" w:hAnsi="仿宋" w:eastAsia="仿宋" w:cs="仿宋"/>
                <w:b w:val="0"/>
                <w:bCs w:val="0"/>
                <w:kern w:val="2"/>
                <w:sz w:val="18"/>
                <w:szCs w:val="18"/>
                <w:lang w:val="en-US" w:eastAsia="zh-CN" w:bidi="ar-SA"/>
              </w:rPr>
              <w:t>安排维修</w:t>
            </w:r>
            <w:r>
              <w:rPr>
                <w:rFonts w:hint="eastAsia" w:ascii="宋体" w:hAnsi="宋体" w:cs="宋体"/>
                <w:bCs/>
                <w:sz w:val="18"/>
                <w:szCs w:val="18"/>
                <w:lang w:eastAsia="zh-CN"/>
              </w:rPr>
              <w:t>电工安装应急照明灯</w:t>
            </w:r>
          </w:p>
        </w:tc>
        <w:tc>
          <w:tcPr>
            <w:tcW w:w="1275" w:type="dxa"/>
            <w:noWrap/>
            <w:vAlign w:val="center"/>
          </w:tcPr>
          <w:p>
            <w:pPr>
              <w:jc w:val="center"/>
              <w:rPr>
                <w:rFonts w:ascii="宋体" w:hAnsi="宋体" w:eastAsia="宋体" w:cs="宋体"/>
                <w:color w:val="000000"/>
                <w:kern w:val="2"/>
                <w:sz w:val="18"/>
                <w:szCs w:val="18"/>
                <w:lang w:val="en-US" w:eastAsia="zh-CN" w:bidi="ar-SA"/>
              </w:rPr>
            </w:pPr>
            <w:r>
              <w:rPr>
                <w:rFonts w:hint="eastAsia" w:ascii="宋体" w:hAnsi="宋体" w:cs="宋体"/>
                <w:color w:val="000000"/>
                <w:sz w:val="18"/>
                <w:szCs w:val="18"/>
              </w:rPr>
              <w:t>限期整改</w:t>
            </w:r>
          </w:p>
        </w:tc>
        <w:tc>
          <w:tcPr>
            <w:tcW w:w="709" w:type="dxa"/>
            <w:noWrap/>
            <w:vAlign w:val="center"/>
          </w:tcPr>
          <w:p>
            <w:pPr>
              <w:jc w:val="center"/>
              <w:rPr>
                <w:rFonts w:ascii="宋体" w:hAnsi="宋体" w:eastAsia="宋体" w:cs="宋体"/>
                <w:color w:val="000000"/>
                <w:kern w:val="2"/>
                <w:sz w:val="18"/>
                <w:szCs w:val="18"/>
                <w:lang w:val="en-US" w:eastAsia="zh-CN" w:bidi="ar-SA"/>
              </w:rPr>
            </w:pPr>
            <w:r>
              <w:rPr>
                <w:rFonts w:hint="eastAsia" w:ascii="宋体" w:hAnsi="宋体" w:cs="宋体"/>
                <w:color w:val="000000"/>
                <w:sz w:val="18"/>
                <w:szCs w:val="18"/>
              </w:rPr>
              <w:t>10.2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534" w:type="dxa"/>
            <w:noWrap/>
            <w:vAlign w:val="center"/>
          </w:tcPr>
          <w:p>
            <w:pPr>
              <w:numPr>
                <w:ilvl w:val="0"/>
                <w:numId w:val="6"/>
              </w:numPr>
              <w:jc w:val="center"/>
              <w:rPr>
                <w:rFonts w:ascii="宋体" w:hAnsi="宋体" w:cs="宋体"/>
                <w:color w:val="000000"/>
                <w:sz w:val="18"/>
                <w:szCs w:val="18"/>
              </w:rPr>
            </w:pPr>
          </w:p>
        </w:tc>
        <w:tc>
          <w:tcPr>
            <w:tcW w:w="3685" w:type="dxa"/>
            <w:noWrap/>
            <w:vAlign w:val="center"/>
          </w:tcPr>
          <w:p>
            <w:pPr>
              <w:rPr>
                <w:rFonts w:hint="eastAsia" w:ascii="宋体" w:hAnsi="宋体" w:eastAsia="宋体" w:cs="宋体"/>
                <w:color w:val="000000"/>
                <w:kern w:val="2"/>
                <w:sz w:val="18"/>
                <w:szCs w:val="18"/>
                <w:lang w:val="en-US" w:eastAsia="zh-CN" w:bidi="ar-SA"/>
              </w:rPr>
            </w:pPr>
            <w:r>
              <w:rPr>
                <w:rFonts w:hint="eastAsia" w:ascii="宋体" w:hAnsi="宋体" w:cs="宋体"/>
                <w:bCs/>
                <w:sz w:val="18"/>
                <w:szCs w:val="18"/>
                <w:lang w:val="en-US" w:eastAsia="zh-CN"/>
              </w:rPr>
              <w:t>车间消防水泵接合器未设置永久性标志牌</w:t>
            </w:r>
          </w:p>
        </w:tc>
        <w:tc>
          <w:tcPr>
            <w:tcW w:w="3119" w:type="dxa"/>
            <w:noWrap/>
            <w:vAlign w:val="center"/>
          </w:tcPr>
          <w:p>
            <w:pPr>
              <w:jc w:val="center"/>
              <w:rPr>
                <w:rFonts w:hint="eastAsia" w:ascii="宋体" w:hAnsi="宋体" w:eastAsia="宋体" w:cs="宋体"/>
                <w:color w:val="000000"/>
                <w:kern w:val="2"/>
                <w:sz w:val="18"/>
                <w:szCs w:val="18"/>
                <w:lang w:val="en-US" w:eastAsia="zh-CN" w:bidi="ar-SA"/>
              </w:rPr>
            </w:pPr>
            <w:r>
              <w:rPr>
                <w:rFonts w:hint="eastAsia" w:ascii="宋体" w:hAnsi="宋体" w:eastAsia="宋体" w:cs="宋体"/>
                <w:color w:val="000000"/>
                <w:sz w:val="18"/>
                <w:szCs w:val="18"/>
                <w:lang w:val="en-US" w:eastAsia="zh-CN"/>
              </w:rPr>
              <w:t>安排</w:t>
            </w:r>
            <w:r>
              <w:rPr>
                <w:rFonts w:hint="eastAsia" w:ascii="宋体" w:hAnsi="宋体" w:cs="宋体"/>
                <w:color w:val="000000"/>
                <w:sz w:val="18"/>
                <w:szCs w:val="18"/>
                <w:lang w:val="en-US" w:eastAsia="zh-CN"/>
              </w:rPr>
              <w:t>安环部</w:t>
            </w:r>
            <w:r>
              <w:rPr>
                <w:rFonts w:hint="eastAsia" w:ascii="宋体" w:hAnsi="宋体" w:eastAsia="宋体" w:cs="宋体"/>
                <w:color w:val="000000"/>
                <w:sz w:val="18"/>
                <w:szCs w:val="18"/>
                <w:lang w:val="en-US" w:eastAsia="zh-CN"/>
              </w:rPr>
              <w:t>整改此隐患</w:t>
            </w:r>
          </w:p>
        </w:tc>
        <w:tc>
          <w:tcPr>
            <w:tcW w:w="1275" w:type="dxa"/>
            <w:noWrap/>
            <w:vAlign w:val="center"/>
          </w:tcPr>
          <w:p>
            <w:pPr>
              <w:jc w:val="center"/>
              <w:rPr>
                <w:rFonts w:ascii="宋体" w:hAnsi="宋体" w:eastAsia="宋体" w:cs="宋体"/>
                <w:color w:val="000000"/>
                <w:kern w:val="2"/>
                <w:sz w:val="18"/>
                <w:szCs w:val="18"/>
                <w:lang w:val="en-US" w:eastAsia="zh-CN" w:bidi="ar-SA"/>
              </w:rPr>
            </w:pPr>
            <w:r>
              <w:rPr>
                <w:rFonts w:hint="eastAsia" w:ascii="宋体" w:hAnsi="宋体" w:cs="宋体"/>
                <w:color w:val="000000"/>
                <w:sz w:val="18"/>
                <w:szCs w:val="18"/>
              </w:rPr>
              <w:t>限期整改</w:t>
            </w:r>
          </w:p>
        </w:tc>
        <w:tc>
          <w:tcPr>
            <w:tcW w:w="709" w:type="dxa"/>
            <w:noWrap/>
            <w:vAlign w:val="center"/>
          </w:tcPr>
          <w:p>
            <w:pPr>
              <w:jc w:val="center"/>
              <w:rPr>
                <w:rFonts w:hint="eastAsia" w:ascii="宋体" w:hAnsi="宋体" w:eastAsia="宋体" w:cs="宋体"/>
                <w:color w:val="000000"/>
                <w:kern w:val="2"/>
                <w:sz w:val="18"/>
                <w:szCs w:val="18"/>
                <w:lang w:val="en-US" w:eastAsia="zh-CN" w:bidi="ar-SA"/>
              </w:rPr>
            </w:pPr>
            <w:r>
              <w:rPr>
                <w:rFonts w:hint="eastAsia" w:ascii="宋体" w:hAnsi="宋体" w:cs="宋体"/>
                <w:color w:val="000000"/>
                <w:sz w:val="18"/>
                <w:szCs w:val="18"/>
              </w:rPr>
              <w:t>10.</w:t>
            </w:r>
            <w:r>
              <w:rPr>
                <w:rFonts w:hint="eastAsia" w:ascii="宋体" w:hAnsi="宋体" w:cs="宋体"/>
                <w:color w:val="000000"/>
                <w:sz w:val="18"/>
                <w:szCs w:val="18"/>
                <w:lang w:val="en-US" w:eastAsia="zh-CN"/>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534" w:type="dxa"/>
            <w:noWrap/>
            <w:vAlign w:val="center"/>
          </w:tcPr>
          <w:p>
            <w:pPr>
              <w:numPr>
                <w:ilvl w:val="0"/>
                <w:numId w:val="6"/>
              </w:numPr>
              <w:jc w:val="center"/>
              <w:rPr>
                <w:rFonts w:ascii="宋体" w:hAnsi="宋体" w:cs="宋体"/>
                <w:color w:val="000000"/>
                <w:sz w:val="18"/>
                <w:szCs w:val="18"/>
              </w:rPr>
            </w:pPr>
          </w:p>
        </w:tc>
        <w:tc>
          <w:tcPr>
            <w:tcW w:w="3685" w:type="dxa"/>
            <w:noWrap/>
            <w:vAlign w:val="center"/>
          </w:tcPr>
          <w:p>
            <w:pPr>
              <w:rPr>
                <w:rFonts w:ascii="宋体" w:hAnsi="宋体" w:eastAsia="宋体" w:cs="宋体"/>
                <w:color w:val="000000"/>
                <w:kern w:val="2"/>
                <w:sz w:val="18"/>
                <w:szCs w:val="18"/>
                <w:lang w:val="en-US" w:eastAsia="zh-CN" w:bidi="ar-SA"/>
              </w:rPr>
            </w:pPr>
            <w:r>
              <w:rPr>
                <w:rFonts w:hint="eastAsia" w:ascii="宋体" w:hAnsi="宋体" w:cs="宋体"/>
                <w:color w:val="000000"/>
                <w:sz w:val="18"/>
                <w:szCs w:val="18"/>
              </w:rPr>
              <w:t>岗位人员不了解事故报告程序</w:t>
            </w:r>
          </w:p>
        </w:tc>
        <w:tc>
          <w:tcPr>
            <w:tcW w:w="3119" w:type="dxa"/>
            <w:noWrap/>
            <w:vAlign w:val="center"/>
          </w:tcPr>
          <w:p>
            <w:pPr>
              <w:jc w:val="center"/>
              <w:rPr>
                <w:rFonts w:ascii="宋体" w:hAnsi="宋体" w:eastAsia="宋体" w:cs="宋体"/>
                <w:color w:val="000000"/>
                <w:kern w:val="2"/>
                <w:sz w:val="18"/>
                <w:szCs w:val="18"/>
                <w:lang w:val="en-US" w:eastAsia="zh-CN" w:bidi="ar-SA"/>
              </w:rPr>
            </w:pPr>
            <w:r>
              <w:rPr>
                <w:rFonts w:hint="eastAsia" w:ascii="宋体" w:hAnsi="宋体" w:cs="宋体"/>
                <w:color w:val="000000"/>
                <w:sz w:val="18"/>
                <w:szCs w:val="18"/>
              </w:rPr>
              <w:t>对从业人员进行培训</w:t>
            </w:r>
          </w:p>
        </w:tc>
        <w:tc>
          <w:tcPr>
            <w:tcW w:w="1275" w:type="dxa"/>
            <w:noWrap/>
            <w:vAlign w:val="center"/>
          </w:tcPr>
          <w:p>
            <w:pPr>
              <w:jc w:val="center"/>
              <w:rPr>
                <w:rFonts w:ascii="宋体" w:hAnsi="宋体" w:eastAsia="宋体" w:cs="宋体"/>
                <w:color w:val="000000"/>
                <w:kern w:val="2"/>
                <w:sz w:val="18"/>
                <w:szCs w:val="18"/>
                <w:lang w:val="en-US" w:eastAsia="zh-CN" w:bidi="ar-SA"/>
              </w:rPr>
            </w:pPr>
            <w:r>
              <w:rPr>
                <w:rFonts w:hint="eastAsia" w:ascii="宋体" w:hAnsi="宋体" w:cs="宋体"/>
                <w:color w:val="000000"/>
                <w:sz w:val="18"/>
                <w:szCs w:val="18"/>
              </w:rPr>
              <w:t>限期整改</w:t>
            </w:r>
          </w:p>
        </w:tc>
        <w:tc>
          <w:tcPr>
            <w:tcW w:w="709" w:type="dxa"/>
            <w:noWrap/>
            <w:vAlign w:val="center"/>
          </w:tcPr>
          <w:p>
            <w:pPr>
              <w:jc w:val="center"/>
              <w:rPr>
                <w:rFonts w:ascii="宋体" w:hAnsi="宋体" w:eastAsia="宋体" w:cs="宋体"/>
                <w:color w:val="000000"/>
                <w:kern w:val="2"/>
                <w:sz w:val="18"/>
                <w:szCs w:val="18"/>
                <w:lang w:val="en-US" w:eastAsia="zh-CN" w:bidi="ar-SA"/>
              </w:rPr>
            </w:pPr>
            <w:r>
              <w:rPr>
                <w:rFonts w:hint="eastAsia" w:ascii="宋体" w:hAnsi="宋体" w:cs="宋体"/>
                <w:color w:val="000000"/>
                <w:sz w:val="18"/>
                <w:szCs w:val="18"/>
              </w:rPr>
              <w:t>10.5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534" w:type="dxa"/>
            <w:noWrap/>
            <w:vAlign w:val="center"/>
          </w:tcPr>
          <w:p>
            <w:pPr>
              <w:numPr>
                <w:ilvl w:val="0"/>
                <w:numId w:val="6"/>
              </w:numPr>
              <w:jc w:val="center"/>
              <w:rPr>
                <w:rFonts w:ascii="宋体" w:hAnsi="宋体" w:cs="宋体"/>
                <w:color w:val="000000"/>
                <w:sz w:val="18"/>
                <w:szCs w:val="18"/>
              </w:rPr>
            </w:pPr>
          </w:p>
        </w:tc>
        <w:tc>
          <w:tcPr>
            <w:tcW w:w="3685" w:type="dxa"/>
            <w:noWrap/>
            <w:vAlign w:val="center"/>
          </w:tcPr>
          <w:p>
            <w:pPr>
              <w:rPr>
                <w:rFonts w:ascii="宋体" w:hAnsi="宋体" w:eastAsia="宋体" w:cs="宋体"/>
                <w:color w:val="000000"/>
                <w:kern w:val="2"/>
                <w:sz w:val="18"/>
                <w:szCs w:val="18"/>
                <w:lang w:val="en-US" w:eastAsia="zh-CN" w:bidi="ar-SA"/>
              </w:rPr>
            </w:pPr>
            <w:r>
              <w:rPr>
                <w:rFonts w:hint="eastAsia" w:ascii="宋体" w:hAnsi="宋体" w:cs="宋体"/>
                <w:color w:val="000000"/>
                <w:sz w:val="18"/>
                <w:szCs w:val="18"/>
              </w:rPr>
              <w:t>安全检查表未定期评审修订</w:t>
            </w:r>
          </w:p>
        </w:tc>
        <w:tc>
          <w:tcPr>
            <w:tcW w:w="3119" w:type="dxa"/>
            <w:noWrap/>
            <w:vAlign w:val="center"/>
          </w:tcPr>
          <w:p>
            <w:pPr>
              <w:jc w:val="center"/>
              <w:rPr>
                <w:rFonts w:ascii="宋体" w:hAnsi="宋体" w:eastAsia="宋体" w:cs="宋体"/>
                <w:color w:val="000000"/>
                <w:kern w:val="2"/>
                <w:sz w:val="18"/>
                <w:szCs w:val="18"/>
                <w:lang w:val="en-US" w:eastAsia="zh-CN" w:bidi="ar-SA"/>
              </w:rPr>
            </w:pPr>
            <w:r>
              <w:rPr>
                <w:rFonts w:hint="eastAsia" w:ascii="宋体" w:hAnsi="宋体" w:cs="宋体"/>
                <w:color w:val="000000"/>
                <w:sz w:val="18"/>
                <w:szCs w:val="18"/>
              </w:rPr>
              <w:t>定期组织评审，依据相关最新标准、结合实际修订</w:t>
            </w:r>
          </w:p>
        </w:tc>
        <w:tc>
          <w:tcPr>
            <w:tcW w:w="1275" w:type="dxa"/>
            <w:noWrap/>
            <w:vAlign w:val="center"/>
          </w:tcPr>
          <w:p>
            <w:pPr>
              <w:jc w:val="center"/>
              <w:rPr>
                <w:rFonts w:ascii="宋体" w:hAnsi="宋体" w:eastAsia="宋体" w:cs="宋体"/>
                <w:color w:val="000000"/>
                <w:kern w:val="2"/>
                <w:sz w:val="18"/>
                <w:szCs w:val="18"/>
                <w:lang w:val="en-US" w:eastAsia="zh-CN" w:bidi="ar-SA"/>
              </w:rPr>
            </w:pPr>
            <w:r>
              <w:rPr>
                <w:rFonts w:hint="eastAsia" w:ascii="宋体" w:hAnsi="宋体" w:cs="宋体"/>
                <w:color w:val="000000"/>
                <w:sz w:val="18"/>
                <w:szCs w:val="18"/>
              </w:rPr>
              <w:t>限期整改</w:t>
            </w:r>
          </w:p>
        </w:tc>
        <w:tc>
          <w:tcPr>
            <w:tcW w:w="709" w:type="dxa"/>
            <w:noWrap/>
            <w:vAlign w:val="center"/>
          </w:tcPr>
          <w:p>
            <w:pPr>
              <w:jc w:val="center"/>
              <w:rPr>
                <w:rFonts w:ascii="宋体" w:hAnsi="宋体" w:eastAsia="宋体" w:cs="宋体"/>
                <w:color w:val="000000"/>
                <w:kern w:val="2"/>
                <w:sz w:val="18"/>
                <w:szCs w:val="18"/>
                <w:lang w:val="en-US" w:eastAsia="zh-CN" w:bidi="ar-SA"/>
              </w:rPr>
            </w:pPr>
            <w:r>
              <w:rPr>
                <w:rFonts w:hint="eastAsia" w:ascii="宋体" w:hAnsi="宋体" w:cs="宋体"/>
                <w:color w:val="000000"/>
                <w:sz w:val="18"/>
                <w:szCs w:val="18"/>
              </w:rPr>
              <w:t>11.1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534" w:type="dxa"/>
            <w:noWrap/>
            <w:vAlign w:val="center"/>
          </w:tcPr>
          <w:p>
            <w:pPr>
              <w:numPr>
                <w:ilvl w:val="0"/>
                <w:numId w:val="6"/>
              </w:numPr>
              <w:jc w:val="center"/>
              <w:rPr>
                <w:rFonts w:ascii="宋体" w:hAnsi="宋体" w:cs="宋体"/>
                <w:color w:val="000000"/>
                <w:sz w:val="18"/>
                <w:szCs w:val="18"/>
              </w:rPr>
            </w:pPr>
          </w:p>
        </w:tc>
        <w:tc>
          <w:tcPr>
            <w:tcW w:w="3685" w:type="dxa"/>
            <w:noWrap/>
            <w:vAlign w:val="center"/>
          </w:tcPr>
          <w:p>
            <w:pPr>
              <w:rPr>
                <w:rFonts w:ascii="宋体" w:hAnsi="宋体" w:eastAsia="宋体" w:cs="宋体"/>
                <w:color w:val="000000"/>
                <w:kern w:val="2"/>
                <w:sz w:val="18"/>
                <w:szCs w:val="18"/>
                <w:lang w:val="en-US" w:eastAsia="zh-CN" w:bidi="ar-SA"/>
              </w:rPr>
            </w:pPr>
            <w:r>
              <w:rPr>
                <w:rFonts w:hint="eastAsia" w:ascii="宋体" w:hAnsi="宋体" w:cs="宋体"/>
                <w:color w:val="000000"/>
                <w:sz w:val="18"/>
                <w:szCs w:val="18"/>
              </w:rPr>
              <w:t>自评文件不全</w:t>
            </w:r>
          </w:p>
        </w:tc>
        <w:tc>
          <w:tcPr>
            <w:tcW w:w="3119" w:type="dxa"/>
            <w:noWrap/>
            <w:vAlign w:val="center"/>
          </w:tcPr>
          <w:p>
            <w:pPr>
              <w:jc w:val="center"/>
              <w:rPr>
                <w:rFonts w:hint="default" w:ascii="宋体" w:hAnsi="宋体" w:eastAsia="宋体" w:cs="宋体"/>
                <w:color w:val="000000"/>
                <w:kern w:val="2"/>
                <w:sz w:val="18"/>
                <w:szCs w:val="18"/>
                <w:lang w:val="en-US" w:eastAsia="zh-CN" w:bidi="ar-SA"/>
              </w:rPr>
            </w:pPr>
            <w:r>
              <w:rPr>
                <w:rFonts w:hint="eastAsia" w:ascii="宋体" w:hAnsi="宋体" w:cs="宋体"/>
                <w:color w:val="000000"/>
                <w:sz w:val="18"/>
                <w:szCs w:val="18"/>
              </w:rPr>
              <w:t>完善自评文件、材料</w:t>
            </w:r>
          </w:p>
        </w:tc>
        <w:tc>
          <w:tcPr>
            <w:tcW w:w="1275" w:type="dxa"/>
            <w:noWrap/>
            <w:vAlign w:val="center"/>
          </w:tcPr>
          <w:p>
            <w:pPr>
              <w:jc w:val="center"/>
              <w:rPr>
                <w:rFonts w:ascii="宋体" w:hAnsi="宋体" w:eastAsia="宋体" w:cs="宋体"/>
                <w:color w:val="000000"/>
                <w:kern w:val="2"/>
                <w:sz w:val="18"/>
                <w:szCs w:val="18"/>
                <w:lang w:val="en-US" w:eastAsia="zh-CN" w:bidi="ar-SA"/>
              </w:rPr>
            </w:pPr>
            <w:r>
              <w:rPr>
                <w:rFonts w:hint="eastAsia" w:ascii="宋体" w:hAnsi="宋体" w:cs="宋体"/>
                <w:color w:val="000000"/>
                <w:sz w:val="18"/>
                <w:szCs w:val="18"/>
              </w:rPr>
              <w:t>限期整改</w:t>
            </w:r>
          </w:p>
        </w:tc>
        <w:tc>
          <w:tcPr>
            <w:tcW w:w="709" w:type="dxa"/>
            <w:noWrap/>
            <w:vAlign w:val="center"/>
          </w:tcPr>
          <w:p>
            <w:pPr>
              <w:jc w:val="center"/>
              <w:rPr>
                <w:rFonts w:ascii="宋体" w:hAnsi="宋体" w:eastAsia="宋体" w:cs="宋体"/>
                <w:color w:val="000000"/>
                <w:kern w:val="2"/>
                <w:sz w:val="18"/>
                <w:szCs w:val="18"/>
                <w:lang w:val="en-US" w:eastAsia="zh-CN" w:bidi="ar-SA"/>
              </w:rPr>
            </w:pPr>
            <w:r>
              <w:rPr>
                <w:rFonts w:hint="eastAsia" w:ascii="宋体" w:hAnsi="宋体" w:cs="宋体"/>
                <w:color w:val="000000"/>
                <w:sz w:val="18"/>
                <w:szCs w:val="18"/>
              </w:rPr>
              <w:t>11.4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534" w:type="dxa"/>
            <w:noWrap/>
            <w:vAlign w:val="center"/>
          </w:tcPr>
          <w:p>
            <w:pPr>
              <w:numPr>
                <w:ilvl w:val="0"/>
                <w:numId w:val="6"/>
              </w:numPr>
              <w:jc w:val="center"/>
              <w:rPr>
                <w:rFonts w:ascii="宋体" w:hAnsi="宋体" w:cs="宋体"/>
                <w:color w:val="000000"/>
                <w:sz w:val="18"/>
                <w:szCs w:val="18"/>
              </w:rPr>
            </w:pPr>
          </w:p>
        </w:tc>
        <w:tc>
          <w:tcPr>
            <w:tcW w:w="3685" w:type="dxa"/>
            <w:noWrap/>
            <w:vAlign w:val="center"/>
          </w:tcPr>
          <w:p>
            <w:pPr>
              <w:rPr>
                <w:rFonts w:ascii="宋体" w:hAnsi="宋体" w:eastAsia="宋体" w:cs="宋体"/>
                <w:color w:val="auto"/>
                <w:kern w:val="2"/>
                <w:sz w:val="18"/>
                <w:szCs w:val="18"/>
                <w:lang w:val="en-US" w:eastAsia="zh-CN" w:bidi="ar-SA"/>
              </w:rPr>
            </w:pPr>
            <w:r>
              <w:rPr>
                <w:rFonts w:hint="eastAsia" w:ascii="宋体" w:hAnsi="宋体" w:cs="宋体"/>
                <w:color w:val="auto"/>
                <w:sz w:val="18"/>
                <w:szCs w:val="18"/>
              </w:rPr>
              <w:t>缺少危险工艺操作岗位人员学历证书</w:t>
            </w:r>
          </w:p>
        </w:tc>
        <w:tc>
          <w:tcPr>
            <w:tcW w:w="3119" w:type="dxa"/>
            <w:noWrap/>
            <w:vAlign w:val="center"/>
          </w:tcPr>
          <w:p>
            <w:pPr>
              <w:jc w:val="center"/>
              <w:rPr>
                <w:rFonts w:hint="default" w:ascii="宋体" w:hAnsi="宋体" w:eastAsia="宋体" w:cs="宋体"/>
                <w:color w:val="auto"/>
                <w:kern w:val="2"/>
                <w:sz w:val="18"/>
                <w:szCs w:val="18"/>
                <w:lang w:val="en-US" w:eastAsia="zh-CN" w:bidi="ar-SA"/>
              </w:rPr>
            </w:pPr>
            <w:r>
              <w:rPr>
                <w:rFonts w:hint="eastAsia" w:ascii="宋体" w:hAnsi="宋体" w:cs="宋体"/>
                <w:color w:val="auto"/>
                <w:sz w:val="18"/>
                <w:szCs w:val="18"/>
              </w:rPr>
              <w:t>补充危险工艺操作岗位从业人员证书</w:t>
            </w:r>
            <w:r>
              <w:rPr>
                <w:rFonts w:hint="eastAsia" w:ascii="宋体" w:hAnsi="宋体" w:cs="宋体"/>
                <w:color w:val="auto"/>
                <w:sz w:val="18"/>
                <w:szCs w:val="18"/>
                <w:lang w:val="en-US" w:eastAsia="zh-CN"/>
              </w:rPr>
              <w:t xml:space="preserve">                                                                                                                                                                                                                                                                                                         </w:t>
            </w:r>
          </w:p>
        </w:tc>
        <w:tc>
          <w:tcPr>
            <w:tcW w:w="1275" w:type="dxa"/>
            <w:noWrap/>
            <w:vAlign w:val="center"/>
          </w:tcPr>
          <w:p>
            <w:pPr>
              <w:jc w:val="center"/>
              <w:rPr>
                <w:rFonts w:ascii="宋体" w:hAnsi="宋体" w:eastAsia="宋体" w:cs="宋体"/>
                <w:color w:val="auto"/>
                <w:kern w:val="2"/>
                <w:sz w:val="18"/>
                <w:szCs w:val="18"/>
                <w:lang w:val="en-US" w:eastAsia="zh-CN" w:bidi="ar-SA"/>
              </w:rPr>
            </w:pPr>
            <w:r>
              <w:rPr>
                <w:rFonts w:hint="eastAsia" w:ascii="宋体" w:hAnsi="宋体" w:cs="宋体"/>
                <w:color w:val="auto"/>
                <w:sz w:val="18"/>
                <w:szCs w:val="18"/>
              </w:rPr>
              <w:t>限期整改</w:t>
            </w:r>
          </w:p>
        </w:tc>
        <w:tc>
          <w:tcPr>
            <w:tcW w:w="709" w:type="dxa"/>
            <w:noWrap/>
            <w:vAlign w:val="center"/>
          </w:tcPr>
          <w:p>
            <w:pPr>
              <w:jc w:val="center"/>
              <w:rPr>
                <w:rFonts w:ascii="宋体" w:hAnsi="宋体" w:eastAsia="宋体" w:cs="宋体"/>
                <w:color w:val="FF0000"/>
                <w:kern w:val="2"/>
                <w:sz w:val="18"/>
                <w:szCs w:val="18"/>
                <w:lang w:val="en-US" w:eastAsia="zh-CN" w:bidi="ar-SA"/>
              </w:rPr>
            </w:pPr>
            <w:r>
              <w:rPr>
                <w:rFonts w:hint="eastAsia" w:ascii="宋体" w:hAnsi="宋体" w:cs="宋体"/>
                <w:color w:val="auto"/>
                <w:sz w:val="18"/>
                <w:szCs w:val="18"/>
              </w:rPr>
              <w:t>12.1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534" w:type="dxa"/>
            <w:noWrap/>
            <w:vAlign w:val="center"/>
          </w:tcPr>
          <w:p>
            <w:pPr>
              <w:numPr>
                <w:ilvl w:val="0"/>
                <w:numId w:val="6"/>
              </w:numPr>
              <w:jc w:val="center"/>
              <w:rPr>
                <w:rFonts w:ascii="宋体" w:hAnsi="宋体" w:cs="宋体"/>
                <w:color w:val="000000"/>
                <w:sz w:val="18"/>
                <w:szCs w:val="18"/>
              </w:rPr>
            </w:pPr>
          </w:p>
        </w:tc>
        <w:tc>
          <w:tcPr>
            <w:tcW w:w="3685" w:type="dxa"/>
            <w:noWrap/>
            <w:vAlign w:val="center"/>
          </w:tcPr>
          <w:p>
            <w:pPr>
              <w:rPr>
                <w:rFonts w:hint="eastAsia" w:ascii="宋体" w:hAnsi="宋体" w:eastAsia="宋体" w:cs="宋体"/>
                <w:color w:val="000000"/>
                <w:kern w:val="2"/>
                <w:sz w:val="18"/>
                <w:szCs w:val="18"/>
                <w:lang w:val="en-US" w:eastAsia="zh-CN" w:bidi="ar-SA"/>
              </w:rPr>
            </w:pPr>
            <w:r>
              <w:rPr>
                <w:rFonts w:hint="eastAsia" w:ascii="宋体" w:hAnsi="宋体" w:cs="宋体"/>
                <w:color w:val="000000"/>
                <w:sz w:val="18"/>
                <w:szCs w:val="18"/>
              </w:rPr>
              <w:t>缺少企业安全生产管理人员待遇应高于其他同职级岗位管理人员待遇的文件</w:t>
            </w:r>
          </w:p>
        </w:tc>
        <w:tc>
          <w:tcPr>
            <w:tcW w:w="3119" w:type="dxa"/>
            <w:noWrap/>
            <w:vAlign w:val="center"/>
          </w:tcPr>
          <w:p>
            <w:pPr>
              <w:jc w:val="left"/>
              <w:rPr>
                <w:rFonts w:hint="eastAsia" w:ascii="宋体" w:hAnsi="宋体" w:eastAsia="宋体" w:cs="宋体"/>
                <w:color w:val="000000"/>
                <w:kern w:val="2"/>
                <w:sz w:val="18"/>
                <w:szCs w:val="18"/>
                <w:lang w:val="en-US" w:eastAsia="zh-CN" w:bidi="ar-SA"/>
              </w:rPr>
            </w:pPr>
            <w:r>
              <w:rPr>
                <w:rFonts w:hint="eastAsia" w:ascii="宋体" w:hAnsi="宋体" w:cs="宋体"/>
                <w:color w:val="000000"/>
                <w:sz w:val="18"/>
                <w:szCs w:val="18"/>
              </w:rPr>
              <w:t>补充企业安全生产管理人员待遇应高于其他同职级岗位管理人员待遇的文件</w:t>
            </w:r>
          </w:p>
        </w:tc>
        <w:tc>
          <w:tcPr>
            <w:tcW w:w="1275" w:type="dxa"/>
            <w:noWrap/>
            <w:vAlign w:val="center"/>
          </w:tcPr>
          <w:p>
            <w:pPr>
              <w:jc w:val="center"/>
              <w:rPr>
                <w:rFonts w:hint="eastAsia" w:ascii="宋体" w:hAnsi="宋体" w:eastAsia="宋体" w:cs="宋体"/>
                <w:color w:val="000000"/>
                <w:kern w:val="2"/>
                <w:sz w:val="18"/>
                <w:szCs w:val="18"/>
                <w:lang w:val="en-US" w:eastAsia="zh-CN" w:bidi="ar-SA"/>
              </w:rPr>
            </w:pPr>
            <w:r>
              <w:rPr>
                <w:rFonts w:hint="eastAsia" w:ascii="宋体" w:hAnsi="宋体" w:cs="宋体"/>
                <w:color w:val="000000"/>
                <w:sz w:val="18"/>
                <w:szCs w:val="18"/>
              </w:rPr>
              <w:t>限期整改</w:t>
            </w:r>
          </w:p>
        </w:tc>
        <w:tc>
          <w:tcPr>
            <w:tcW w:w="709" w:type="dxa"/>
            <w:noWrap/>
            <w:vAlign w:val="center"/>
          </w:tcPr>
          <w:p>
            <w:pPr>
              <w:jc w:val="center"/>
              <w:rPr>
                <w:rFonts w:hint="eastAsia" w:ascii="宋体" w:hAnsi="宋体" w:eastAsia="宋体" w:cs="宋体"/>
                <w:color w:val="000000"/>
                <w:kern w:val="2"/>
                <w:sz w:val="18"/>
                <w:szCs w:val="18"/>
                <w:lang w:val="en-US" w:eastAsia="zh-CN" w:bidi="ar-SA"/>
              </w:rPr>
            </w:pPr>
            <w:r>
              <w:rPr>
                <w:rFonts w:hint="eastAsia" w:ascii="宋体" w:hAnsi="宋体" w:cs="宋体"/>
                <w:color w:val="000000"/>
                <w:sz w:val="18"/>
                <w:szCs w:val="18"/>
              </w:rPr>
              <w:t>12.1</w:t>
            </w:r>
          </w:p>
        </w:tc>
      </w:tr>
    </w:tbl>
    <w:p>
      <w:pPr>
        <w:pStyle w:val="23"/>
        <w:ind w:left="0" w:leftChars="0" w:firstLine="0"/>
      </w:pPr>
    </w:p>
    <w:p>
      <w:pPr>
        <w:widowControl/>
        <w:ind w:firstLine="480" w:firstLineChars="200"/>
        <w:jc w:val="left"/>
        <w:rPr>
          <w:rFonts w:ascii="宋体" w:hAnsi="宋体" w:cs="宋体"/>
          <w:kern w:val="0"/>
          <w:sz w:val="24"/>
        </w:rPr>
      </w:pPr>
    </w:p>
    <w:p/>
    <w:p>
      <w:pPr>
        <w:widowControl/>
        <w:spacing w:line="540" w:lineRule="exact"/>
        <w:rPr>
          <w:rFonts w:ascii="宋体" w:hAnsi="宋体"/>
          <w:kern w:val="0"/>
          <w:sz w:val="24"/>
        </w:rPr>
      </w:pPr>
    </w:p>
    <w:p>
      <w:pPr>
        <w:widowControl/>
        <w:spacing w:line="540" w:lineRule="exact"/>
        <w:jc w:val="center"/>
        <w:rPr>
          <w:rFonts w:ascii="宋体" w:hAnsi="宋体"/>
          <w:kern w:val="0"/>
          <w:sz w:val="24"/>
        </w:rPr>
        <w:sectPr>
          <w:footerReference r:id="rId9" w:type="first"/>
          <w:headerReference r:id="rId5" w:type="default"/>
          <w:footerReference r:id="rId7" w:type="default"/>
          <w:headerReference r:id="rId6" w:type="even"/>
          <w:footerReference r:id="rId8" w:type="even"/>
          <w:pgSz w:w="11906" w:h="16838"/>
          <w:pgMar w:top="1418" w:right="1134" w:bottom="1134" w:left="1588" w:header="851" w:footer="992" w:gutter="0"/>
          <w:pgNumType w:start="1"/>
          <w:cols w:space="720" w:num="1"/>
          <w:titlePg/>
          <w:docGrid w:type="lines" w:linePitch="312" w:charSpace="0"/>
        </w:sectPr>
      </w:pPr>
    </w:p>
    <w:p>
      <w:pPr>
        <w:pStyle w:val="2"/>
        <w:spacing w:before="0" w:after="0" w:line="25" w:lineRule="atLeast"/>
        <w:rPr>
          <w:rFonts w:ascii="宋体" w:hAnsi="宋体"/>
          <w:sz w:val="30"/>
          <w:szCs w:val="30"/>
        </w:rPr>
      </w:pPr>
      <w:bookmarkStart w:id="185" w:name="_Toc432195114"/>
      <w:bookmarkStart w:id="186" w:name="_Toc3834"/>
      <w:bookmarkStart w:id="187" w:name="_Toc523396157"/>
      <w:r>
        <w:rPr>
          <w:rFonts w:hint="eastAsia" w:ascii="宋体" w:hAnsi="宋体"/>
          <w:sz w:val="30"/>
          <w:szCs w:val="30"/>
        </w:rPr>
        <w:t>六、自评综述及评分表</w:t>
      </w:r>
      <w:bookmarkEnd w:id="185"/>
      <w:bookmarkEnd w:id="186"/>
      <w:bookmarkEnd w:id="187"/>
    </w:p>
    <w:p>
      <w:pPr>
        <w:pStyle w:val="3"/>
        <w:spacing w:before="0" w:after="0" w:line="25" w:lineRule="atLeast"/>
        <w:rPr>
          <w:rFonts w:ascii="宋体" w:hAnsi="宋体"/>
          <w:sz w:val="28"/>
          <w:szCs w:val="28"/>
        </w:rPr>
      </w:pPr>
      <w:bookmarkStart w:id="188" w:name="_Toc523396158"/>
      <w:bookmarkStart w:id="189" w:name="_Toc20081"/>
      <w:bookmarkStart w:id="190" w:name="_Toc432195115"/>
      <w:r>
        <w:rPr>
          <w:rFonts w:hint="eastAsia" w:ascii="宋体" w:hAnsi="宋体"/>
          <w:sz w:val="28"/>
          <w:szCs w:val="28"/>
        </w:rPr>
        <w:t>（一）自评综述</w:t>
      </w:r>
      <w:bookmarkEnd w:id="188"/>
      <w:bookmarkEnd w:id="189"/>
      <w:bookmarkEnd w:id="190"/>
    </w:p>
    <w:p>
      <w:pPr>
        <w:widowControl/>
        <w:spacing w:line="360" w:lineRule="auto"/>
        <w:ind w:firstLine="480" w:firstLineChars="200"/>
        <w:rPr>
          <w:rFonts w:ascii="宋体" w:hAnsi="宋体"/>
          <w:kern w:val="0"/>
          <w:sz w:val="24"/>
        </w:rPr>
      </w:pPr>
      <w:bookmarkStart w:id="191" w:name="_Toc7332"/>
      <w:bookmarkStart w:id="192" w:name="_Toc432195116"/>
      <w:r>
        <w:rPr>
          <w:rFonts w:hint="eastAsia" w:ascii="宋体" w:hAnsi="宋体"/>
          <w:kern w:val="0"/>
          <w:sz w:val="24"/>
        </w:rPr>
        <w:t>公司安全生产标准化自评小组按照</w:t>
      </w:r>
      <w:r>
        <w:rPr>
          <w:rFonts w:hint="eastAsia" w:ascii="仿宋_GB2312"/>
          <w:snapToGrid w:val="0"/>
          <w:kern w:val="0"/>
          <w:sz w:val="24"/>
        </w:rPr>
        <w:t>《国家安全监管总局关于印发企业安全生产标准化评审工作管理办法（试行）的通知》（安监总办〔2014〕49号）</w:t>
      </w:r>
      <w:r>
        <w:rPr>
          <w:rFonts w:hint="eastAsia" w:ascii="宋体" w:hAnsi="宋体"/>
          <w:kern w:val="0"/>
          <w:sz w:val="24"/>
        </w:rPr>
        <w:t>，结合公司生产设备、作业现场、安全管理等现实情况，从法律、法规与标准、机构和职责、风险管理、管理制度、培训教育、生产设施及工艺安全、作业安全、职业健康、危险化学品管理、事故与应急、检查与自评、湖北省的要求共12个要素对标查核，虽然公司基础管理责任落实、制度健全、管理基本到位，设备设施运行规范良好，作业环境良好无职业病病例，但离要求还有一定差距，比如制度不健全，考核、培训还待加强、设备设施需要加强防护、职业健康管理不完善等。在今后工作中我们将正视不足，强化动态管理形成规范，为今后安全生产标准化的提升积累经验，创造条件。</w:t>
      </w:r>
    </w:p>
    <w:p>
      <w:pPr>
        <w:widowControl/>
        <w:numPr>
          <w:ilvl w:val="0"/>
          <w:numId w:val="7"/>
        </w:numPr>
        <w:jc w:val="left"/>
        <w:rPr>
          <w:rFonts w:ascii="宋体" w:hAnsi="宋体" w:cs="宋体"/>
          <w:b/>
          <w:kern w:val="0"/>
          <w:sz w:val="28"/>
          <w:szCs w:val="28"/>
        </w:rPr>
      </w:pPr>
      <w:r>
        <w:rPr>
          <w:rFonts w:hint="eastAsia" w:ascii="宋体" w:hAnsi="宋体" w:cs="宋体"/>
          <w:b/>
          <w:kern w:val="0"/>
          <w:sz w:val="28"/>
          <w:szCs w:val="28"/>
        </w:rPr>
        <w:t>自评评分表</w:t>
      </w:r>
      <w:bookmarkEnd w:id="191"/>
      <w:bookmarkEnd w:id="192"/>
    </w:p>
    <w:p>
      <w:pPr>
        <w:snapToGrid w:val="0"/>
        <w:spacing w:line="311" w:lineRule="atLeast"/>
        <w:rPr>
          <w:rFonts w:ascii="宋体" w:hAnsi="宋体"/>
          <w:b/>
          <w:bCs/>
          <w:sz w:val="28"/>
          <w:szCs w:val="28"/>
        </w:rPr>
      </w:pPr>
      <w:r>
        <w:rPr>
          <w:rFonts w:hint="eastAsia" w:ascii="宋体" w:hAnsi="宋体" w:cs="宋体"/>
          <w:kern w:val="0"/>
          <w:sz w:val="24"/>
        </w:rPr>
        <w:t>1、自评分数汇总表</w:t>
      </w:r>
    </w:p>
    <w:tbl>
      <w:tblPr>
        <w:tblStyle w:val="24"/>
        <w:tblW w:w="9400" w:type="dxa"/>
        <w:tblInd w:w="0" w:type="dxa"/>
        <w:tblLayout w:type="fixed"/>
        <w:tblCellMar>
          <w:top w:w="0" w:type="dxa"/>
          <w:left w:w="108" w:type="dxa"/>
          <w:bottom w:w="0" w:type="dxa"/>
          <w:right w:w="108" w:type="dxa"/>
        </w:tblCellMar>
      </w:tblPr>
      <w:tblGrid>
        <w:gridCol w:w="946"/>
        <w:gridCol w:w="3213"/>
        <w:gridCol w:w="922"/>
        <w:gridCol w:w="970"/>
        <w:gridCol w:w="976"/>
        <w:gridCol w:w="992"/>
        <w:gridCol w:w="1381"/>
      </w:tblGrid>
      <w:tr>
        <w:tblPrEx>
          <w:tblCellMar>
            <w:top w:w="0" w:type="dxa"/>
            <w:left w:w="108" w:type="dxa"/>
            <w:bottom w:w="0" w:type="dxa"/>
            <w:right w:w="108" w:type="dxa"/>
          </w:tblCellMar>
        </w:tblPrEx>
        <w:trPr>
          <w:trHeight w:val="510" w:hRule="atLeast"/>
        </w:trPr>
        <w:tc>
          <w:tcPr>
            <w:tcW w:w="94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kern w:val="0"/>
                <w:sz w:val="24"/>
              </w:rPr>
            </w:pPr>
            <w:r>
              <w:rPr>
                <w:rFonts w:hint="eastAsia" w:ascii="宋体" w:hAnsi="宋体" w:cs="宋体"/>
                <w:bCs/>
                <w:kern w:val="0"/>
                <w:sz w:val="24"/>
              </w:rPr>
              <w:t>序号</w:t>
            </w:r>
          </w:p>
        </w:tc>
        <w:tc>
          <w:tcPr>
            <w:tcW w:w="3213"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bCs/>
                <w:kern w:val="0"/>
                <w:sz w:val="24"/>
              </w:rPr>
            </w:pPr>
            <w:r>
              <w:rPr>
                <w:rFonts w:hint="eastAsia" w:ascii="宋体" w:hAnsi="宋体" w:cs="宋体"/>
                <w:bCs/>
                <w:kern w:val="0"/>
                <w:sz w:val="24"/>
              </w:rPr>
              <w:t>要素</w:t>
            </w:r>
          </w:p>
        </w:tc>
        <w:tc>
          <w:tcPr>
            <w:tcW w:w="922" w:type="dxa"/>
            <w:tcBorders>
              <w:top w:val="single" w:color="auto" w:sz="4" w:space="0"/>
              <w:left w:val="nil"/>
              <w:bottom w:val="single" w:color="auto" w:sz="4" w:space="0"/>
              <w:right w:val="single" w:color="auto" w:sz="4" w:space="0"/>
            </w:tcBorders>
            <w:vAlign w:val="center"/>
          </w:tcPr>
          <w:p>
            <w:pPr>
              <w:widowControl/>
              <w:jc w:val="center"/>
              <w:rPr>
                <w:rFonts w:hint="eastAsia" w:ascii="宋体" w:hAnsi="宋体" w:eastAsia="宋体" w:cs="宋体"/>
                <w:b/>
                <w:bCs/>
                <w:kern w:val="0"/>
                <w:sz w:val="24"/>
                <w:lang w:eastAsia="zh-CN"/>
              </w:rPr>
            </w:pPr>
            <w:r>
              <w:rPr>
                <w:rFonts w:hint="eastAsia" w:ascii="宋体" w:hAnsi="宋体" w:cs="宋体"/>
                <w:b/>
                <w:bCs/>
                <w:kern w:val="0"/>
                <w:sz w:val="24"/>
              </w:rPr>
              <w:t>标准</w:t>
            </w:r>
          </w:p>
          <w:p>
            <w:pPr>
              <w:widowControl/>
              <w:jc w:val="center"/>
              <w:rPr>
                <w:rFonts w:ascii="宋体" w:hAnsi="宋体" w:cs="宋体"/>
                <w:b/>
                <w:bCs/>
                <w:kern w:val="0"/>
                <w:sz w:val="24"/>
              </w:rPr>
            </w:pPr>
            <w:r>
              <w:rPr>
                <w:rFonts w:hint="eastAsia" w:ascii="宋体" w:hAnsi="宋体" w:cs="宋体"/>
                <w:b/>
                <w:bCs/>
                <w:kern w:val="0"/>
                <w:sz w:val="24"/>
              </w:rPr>
              <w:t>分值</w:t>
            </w:r>
          </w:p>
        </w:tc>
        <w:tc>
          <w:tcPr>
            <w:tcW w:w="970"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b/>
                <w:bCs/>
                <w:kern w:val="0"/>
                <w:sz w:val="24"/>
              </w:rPr>
            </w:pPr>
            <w:r>
              <w:rPr>
                <w:rFonts w:hint="eastAsia" w:ascii="宋体" w:hAnsi="宋体" w:cs="宋体"/>
                <w:b/>
                <w:bCs/>
                <w:kern w:val="0"/>
                <w:sz w:val="24"/>
              </w:rPr>
              <w:t>自评</w:t>
            </w:r>
          </w:p>
          <w:p>
            <w:pPr>
              <w:widowControl/>
              <w:jc w:val="center"/>
              <w:rPr>
                <w:rFonts w:ascii="宋体" w:hAnsi="宋体" w:cs="宋体"/>
                <w:b/>
                <w:bCs/>
                <w:kern w:val="0"/>
                <w:sz w:val="24"/>
              </w:rPr>
            </w:pPr>
            <w:r>
              <w:rPr>
                <w:rFonts w:hint="eastAsia" w:ascii="宋体" w:hAnsi="宋体" w:cs="宋体"/>
                <w:b/>
                <w:bCs/>
                <w:kern w:val="0"/>
                <w:sz w:val="24"/>
              </w:rPr>
              <w:t>得分</w:t>
            </w:r>
          </w:p>
        </w:tc>
        <w:tc>
          <w:tcPr>
            <w:tcW w:w="976"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b/>
                <w:bCs/>
                <w:kern w:val="0"/>
                <w:sz w:val="24"/>
              </w:rPr>
            </w:pPr>
            <w:r>
              <w:rPr>
                <w:rFonts w:hint="eastAsia" w:ascii="宋体" w:hAnsi="宋体" w:cs="宋体"/>
                <w:b/>
                <w:bCs/>
                <w:kern w:val="0"/>
                <w:sz w:val="24"/>
              </w:rPr>
              <w:t>权重</w:t>
            </w:r>
          </w:p>
          <w:p>
            <w:pPr>
              <w:widowControl/>
              <w:jc w:val="center"/>
              <w:rPr>
                <w:rFonts w:ascii="宋体" w:hAnsi="宋体" w:cs="宋体"/>
                <w:b/>
                <w:bCs/>
                <w:kern w:val="0"/>
                <w:sz w:val="24"/>
              </w:rPr>
            </w:pPr>
            <w:r>
              <w:rPr>
                <w:rFonts w:hint="eastAsia" w:ascii="宋体" w:hAnsi="宋体" w:cs="宋体"/>
                <w:b/>
                <w:bCs/>
                <w:kern w:val="0"/>
                <w:sz w:val="24"/>
              </w:rPr>
              <w:t>系数</w:t>
            </w:r>
          </w:p>
        </w:tc>
        <w:tc>
          <w:tcPr>
            <w:tcW w:w="992"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b/>
                <w:bCs/>
                <w:sz w:val="24"/>
              </w:rPr>
            </w:pPr>
            <w:r>
              <w:rPr>
                <w:rFonts w:hint="eastAsia" w:ascii="宋体" w:hAnsi="宋体" w:cs="宋体"/>
                <w:b/>
                <w:bCs/>
                <w:sz w:val="24"/>
              </w:rPr>
              <w:t>总计</w:t>
            </w:r>
          </w:p>
          <w:p>
            <w:pPr>
              <w:widowControl/>
              <w:jc w:val="center"/>
              <w:rPr>
                <w:rFonts w:ascii="宋体" w:hAnsi="宋体" w:cs="宋体"/>
                <w:b/>
                <w:bCs/>
                <w:sz w:val="24"/>
              </w:rPr>
            </w:pPr>
            <w:r>
              <w:rPr>
                <w:rFonts w:hint="eastAsia" w:ascii="宋体" w:hAnsi="宋体" w:cs="宋体"/>
                <w:b/>
                <w:bCs/>
                <w:sz w:val="24"/>
              </w:rPr>
              <w:t>得分</w:t>
            </w:r>
          </w:p>
        </w:tc>
        <w:tc>
          <w:tcPr>
            <w:tcW w:w="1381"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bCs/>
                <w:sz w:val="24"/>
              </w:rPr>
            </w:pPr>
            <w:r>
              <w:rPr>
                <w:rFonts w:hint="eastAsia" w:ascii="宋体" w:hAnsi="宋体" w:cs="宋体"/>
                <w:bCs/>
                <w:sz w:val="24"/>
              </w:rPr>
              <w:t>得分率（100%）</w:t>
            </w:r>
          </w:p>
        </w:tc>
      </w:tr>
      <w:tr>
        <w:tblPrEx>
          <w:tblCellMar>
            <w:top w:w="0" w:type="dxa"/>
            <w:left w:w="108" w:type="dxa"/>
            <w:bottom w:w="0" w:type="dxa"/>
            <w:right w:w="108" w:type="dxa"/>
          </w:tblCellMar>
        </w:tblPrEx>
        <w:trPr>
          <w:trHeight w:val="510" w:hRule="atLeast"/>
        </w:trPr>
        <w:tc>
          <w:tcPr>
            <w:tcW w:w="946"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bCs/>
                <w:kern w:val="0"/>
                <w:sz w:val="24"/>
              </w:rPr>
            </w:pPr>
            <w:r>
              <w:rPr>
                <w:rFonts w:hint="eastAsia" w:ascii="宋体" w:hAnsi="宋体" w:cs="宋体"/>
                <w:bCs/>
                <w:kern w:val="0"/>
                <w:sz w:val="24"/>
              </w:rPr>
              <w:t>一</w:t>
            </w:r>
          </w:p>
        </w:tc>
        <w:tc>
          <w:tcPr>
            <w:tcW w:w="3213" w:type="dxa"/>
            <w:tcBorders>
              <w:top w:val="nil"/>
              <w:left w:val="nil"/>
              <w:bottom w:val="single" w:color="auto" w:sz="4" w:space="0"/>
              <w:right w:val="single" w:color="auto" w:sz="4" w:space="0"/>
            </w:tcBorders>
            <w:vAlign w:val="center"/>
          </w:tcPr>
          <w:p>
            <w:pPr>
              <w:widowControl/>
              <w:jc w:val="left"/>
              <w:rPr>
                <w:rFonts w:ascii="宋体" w:hAnsi="宋体" w:cs="宋体"/>
                <w:bCs/>
                <w:kern w:val="0"/>
                <w:sz w:val="24"/>
              </w:rPr>
            </w:pPr>
            <w:r>
              <w:rPr>
                <w:rFonts w:hint="eastAsia" w:ascii="宋体" w:hAnsi="宋体"/>
                <w:b/>
                <w:sz w:val="24"/>
              </w:rPr>
              <w:t>法律、法规与标准</w:t>
            </w:r>
          </w:p>
        </w:tc>
        <w:tc>
          <w:tcPr>
            <w:tcW w:w="922" w:type="dxa"/>
            <w:tcBorders>
              <w:top w:val="nil"/>
              <w:left w:val="nil"/>
              <w:bottom w:val="single" w:color="auto" w:sz="4" w:space="0"/>
              <w:right w:val="single" w:color="auto" w:sz="4" w:space="0"/>
            </w:tcBorders>
            <w:vAlign w:val="center"/>
          </w:tcPr>
          <w:p>
            <w:pPr>
              <w:widowControl/>
              <w:jc w:val="center"/>
              <w:rPr>
                <w:rFonts w:ascii="宋体" w:hAnsi="宋体" w:cs="宋体"/>
                <w:bCs/>
                <w:kern w:val="0"/>
                <w:sz w:val="24"/>
              </w:rPr>
            </w:pPr>
            <w:r>
              <w:rPr>
                <w:rFonts w:hint="eastAsia" w:ascii="宋体" w:hAnsi="宋体" w:cs="宋体"/>
                <w:bCs/>
                <w:kern w:val="0"/>
                <w:sz w:val="24"/>
              </w:rPr>
              <w:t>100</w:t>
            </w:r>
          </w:p>
        </w:tc>
        <w:tc>
          <w:tcPr>
            <w:tcW w:w="970" w:type="dxa"/>
            <w:tcBorders>
              <w:top w:val="nil"/>
              <w:left w:val="nil"/>
              <w:bottom w:val="single" w:color="auto" w:sz="4" w:space="0"/>
              <w:right w:val="single" w:color="auto" w:sz="4" w:space="0"/>
            </w:tcBorders>
            <w:vAlign w:val="center"/>
          </w:tcPr>
          <w:p>
            <w:pPr>
              <w:widowControl/>
              <w:jc w:val="center"/>
              <w:rPr>
                <w:rFonts w:ascii="宋体" w:hAnsi="宋体" w:cs="宋体"/>
                <w:bCs/>
                <w:kern w:val="0"/>
                <w:sz w:val="24"/>
              </w:rPr>
            </w:pPr>
            <w:r>
              <w:rPr>
                <w:rFonts w:hint="eastAsia" w:ascii="宋体" w:hAnsi="宋体" w:cs="宋体"/>
                <w:bCs/>
                <w:kern w:val="0"/>
                <w:sz w:val="24"/>
              </w:rPr>
              <w:t>93</w:t>
            </w:r>
          </w:p>
        </w:tc>
        <w:tc>
          <w:tcPr>
            <w:tcW w:w="976" w:type="dxa"/>
            <w:tcBorders>
              <w:top w:val="nil"/>
              <w:left w:val="nil"/>
              <w:bottom w:val="single" w:color="auto" w:sz="4" w:space="0"/>
              <w:right w:val="single" w:color="auto" w:sz="4" w:space="0"/>
            </w:tcBorders>
            <w:vAlign w:val="center"/>
          </w:tcPr>
          <w:p>
            <w:pPr>
              <w:jc w:val="center"/>
              <w:rPr>
                <w:rFonts w:ascii="宋体" w:hAnsi="宋体"/>
                <w:szCs w:val="21"/>
              </w:rPr>
            </w:pPr>
            <w:r>
              <w:rPr>
                <w:rFonts w:hint="eastAsia" w:ascii="宋体" w:hAnsi="宋体"/>
              </w:rPr>
              <w:t>0.05</w:t>
            </w:r>
          </w:p>
        </w:tc>
        <w:tc>
          <w:tcPr>
            <w:tcW w:w="992" w:type="dxa"/>
            <w:tcBorders>
              <w:top w:val="nil"/>
              <w:left w:val="nil"/>
              <w:bottom w:val="single" w:color="auto" w:sz="4" w:space="0"/>
              <w:right w:val="single" w:color="auto" w:sz="4" w:space="0"/>
            </w:tcBorders>
            <w:vAlign w:val="center"/>
          </w:tcPr>
          <w:p>
            <w:pPr>
              <w:widowControl/>
              <w:jc w:val="center"/>
              <w:rPr>
                <w:rFonts w:ascii="宋体" w:hAnsi="宋体" w:cs="宋体"/>
                <w:bCs/>
                <w:sz w:val="24"/>
              </w:rPr>
            </w:pPr>
            <w:r>
              <w:rPr>
                <w:rFonts w:hint="eastAsia" w:ascii="宋体" w:hAnsi="宋体" w:cs="宋体"/>
                <w:bCs/>
                <w:sz w:val="24"/>
              </w:rPr>
              <w:t>4.65</w:t>
            </w:r>
          </w:p>
        </w:tc>
        <w:tc>
          <w:tcPr>
            <w:tcW w:w="1381" w:type="dxa"/>
            <w:tcBorders>
              <w:top w:val="nil"/>
              <w:left w:val="nil"/>
              <w:bottom w:val="single" w:color="auto" w:sz="4" w:space="0"/>
              <w:right w:val="single" w:color="auto" w:sz="4" w:space="0"/>
            </w:tcBorders>
            <w:vAlign w:val="center"/>
          </w:tcPr>
          <w:p>
            <w:pPr>
              <w:widowControl/>
              <w:jc w:val="center"/>
              <w:rPr>
                <w:rFonts w:ascii="宋体" w:hAnsi="宋体" w:cs="宋体"/>
                <w:bCs/>
                <w:sz w:val="24"/>
              </w:rPr>
            </w:pPr>
          </w:p>
        </w:tc>
      </w:tr>
      <w:tr>
        <w:tblPrEx>
          <w:tblCellMar>
            <w:top w:w="0" w:type="dxa"/>
            <w:left w:w="108" w:type="dxa"/>
            <w:bottom w:w="0" w:type="dxa"/>
            <w:right w:w="108" w:type="dxa"/>
          </w:tblCellMar>
        </w:tblPrEx>
        <w:trPr>
          <w:trHeight w:val="510" w:hRule="atLeast"/>
        </w:trPr>
        <w:tc>
          <w:tcPr>
            <w:tcW w:w="94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kern w:val="0"/>
                <w:sz w:val="24"/>
              </w:rPr>
            </w:pPr>
            <w:r>
              <w:rPr>
                <w:rFonts w:hint="eastAsia" w:ascii="宋体" w:hAnsi="宋体" w:cs="宋体"/>
                <w:bCs/>
                <w:kern w:val="0"/>
                <w:sz w:val="24"/>
              </w:rPr>
              <w:t>二</w:t>
            </w:r>
          </w:p>
        </w:tc>
        <w:tc>
          <w:tcPr>
            <w:tcW w:w="3213"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bCs/>
                <w:kern w:val="0"/>
                <w:sz w:val="24"/>
              </w:rPr>
            </w:pPr>
            <w:r>
              <w:rPr>
                <w:rFonts w:ascii="宋体" w:hAnsi="宋体"/>
                <w:b/>
                <w:sz w:val="24"/>
              </w:rPr>
              <w:t>机构和职责</w:t>
            </w:r>
          </w:p>
        </w:tc>
        <w:tc>
          <w:tcPr>
            <w:tcW w:w="922" w:type="dxa"/>
            <w:tcBorders>
              <w:top w:val="single" w:color="auto" w:sz="4" w:space="0"/>
              <w:left w:val="single" w:color="auto" w:sz="4" w:space="0"/>
              <w:bottom w:val="single" w:color="auto" w:sz="4" w:space="0"/>
              <w:right w:val="single" w:color="auto" w:sz="4" w:space="0"/>
            </w:tcBorders>
            <w:vAlign w:val="center"/>
          </w:tcPr>
          <w:p>
            <w:pPr>
              <w:jc w:val="center"/>
              <w:rPr>
                <w:sz w:val="24"/>
              </w:rPr>
            </w:pPr>
            <w:r>
              <w:rPr>
                <w:rFonts w:hint="eastAsia" w:ascii="宋体" w:hAnsi="宋体" w:cs="宋体"/>
                <w:bCs/>
                <w:kern w:val="0"/>
                <w:sz w:val="24"/>
              </w:rPr>
              <w:t>100</w:t>
            </w:r>
          </w:p>
        </w:tc>
        <w:tc>
          <w:tcPr>
            <w:tcW w:w="97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kern w:val="0"/>
                <w:sz w:val="24"/>
              </w:rPr>
            </w:pPr>
            <w:r>
              <w:rPr>
                <w:rFonts w:hint="eastAsia" w:ascii="宋体" w:hAnsi="宋体" w:cs="宋体"/>
                <w:bCs/>
                <w:kern w:val="0"/>
                <w:sz w:val="24"/>
              </w:rPr>
              <w:t>95</w:t>
            </w:r>
          </w:p>
        </w:tc>
        <w:tc>
          <w:tcPr>
            <w:tcW w:w="97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1"/>
              </w:rPr>
            </w:pPr>
            <w:r>
              <w:rPr>
                <w:rFonts w:hint="eastAsia" w:ascii="宋体" w:hAnsi="宋体"/>
              </w:rPr>
              <w:t>0.06</w:t>
            </w:r>
          </w:p>
        </w:tc>
        <w:tc>
          <w:tcPr>
            <w:tcW w:w="992"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sz w:val="24"/>
              </w:rPr>
            </w:pPr>
            <w:r>
              <w:rPr>
                <w:rFonts w:hint="eastAsia" w:ascii="宋体" w:hAnsi="宋体" w:cs="宋体"/>
                <w:bCs/>
                <w:sz w:val="24"/>
              </w:rPr>
              <w:t>5.70</w:t>
            </w:r>
          </w:p>
        </w:tc>
        <w:tc>
          <w:tcPr>
            <w:tcW w:w="138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sz w:val="24"/>
              </w:rPr>
            </w:pPr>
          </w:p>
        </w:tc>
      </w:tr>
      <w:tr>
        <w:tblPrEx>
          <w:tblCellMar>
            <w:top w:w="0" w:type="dxa"/>
            <w:left w:w="108" w:type="dxa"/>
            <w:bottom w:w="0" w:type="dxa"/>
            <w:right w:w="108" w:type="dxa"/>
          </w:tblCellMar>
        </w:tblPrEx>
        <w:trPr>
          <w:trHeight w:val="510" w:hRule="atLeast"/>
        </w:trPr>
        <w:tc>
          <w:tcPr>
            <w:tcW w:w="94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kern w:val="0"/>
                <w:sz w:val="24"/>
              </w:rPr>
            </w:pPr>
            <w:r>
              <w:rPr>
                <w:rFonts w:hint="eastAsia" w:ascii="宋体" w:hAnsi="宋体" w:cs="宋体"/>
                <w:bCs/>
                <w:kern w:val="0"/>
                <w:sz w:val="24"/>
              </w:rPr>
              <w:t>三</w:t>
            </w:r>
          </w:p>
        </w:tc>
        <w:tc>
          <w:tcPr>
            <w:tcW w:w="3213" w:type="dxa"/>
            <w:tcBorders>
              <w:top w:val="single" w:color="auto" w:sz="4" w:space="0"/>
              <w:left w:val="nil"/>
              <w:bottom w:val="single" w:color="auto" w:sz="4" w:space="0"/>
              <w:right w:val="single" w:color="auto" w:sz="4" w:space="0"/>
            </w:tcBorders>
            <w:vAlign w:val="center"/>
          </w:tcPr>
          <w:p>
            <w:pPr>
              <w:widowControl/>
              <w:jc w:val="left"/>
              <w:rPr>
                <w:rFonts w:ascii="宋体" w:hAnsi="宋体" w:cs="宋体"/>
                <w:bCs/>
                <w:kern w:val="0"/>
                <w:sz w:val="24"/>
              </w:rPr>
            </w:pPr>
            <w:r>
              <w:rPr>
                <w:rFonts w:ascii="宋体" w:hAnsi="宋体"/>
                <w:b/>
                <w:sz w:val="24"/>
              </w:rPr>
              <w:t>风险管理</w:t>
            </w:r>
          </w:p>
        </w:tc>
        <w:tc>
          <w:tcPr>
            <w:tcW w:w="922" w:type="dxa"/>
            <w:tcBorders>
              <w:top w:val="single" w:color="auto" w:sz="4" w:space="0"/>
              <w:left w:val="nil"/>
              <w:bottom w:val="single" w:color="auto" w:sz="4" w:space="0"/>
              <w:right w:val="single" w:color="auto" w:sz="4" w:space="0"/>
            </w:tcBorders>
            <w:vAlign w:val="center"/>
          </w:tcPr>
          <w:p>
            <w:pPr>
              <w:jc w:val="center"/>
              <w:rPr>
                <w:sz w:val="24"/>
              </w:rPr>
            </w:pPr>
            <w:r>
              <w:rPr>
                <w:rFonts w:hint="eastAsia" w:ascii="宋体" w:hAnsi="宋体" w:cs="宋体"/>
                <w:bCs/>
                <w:kern w:val="0"/>
                <w:sz w:val="24"/>
              </w:rPr>
              <w:t>100</w:t>
            </w:r>
          </w:p>
        </w:tc>
        <w:tc>
          <w:tcPr>
            <w:tcW w:w="970"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bCs/>
                <w:kern w:val="0"/>
                <w:sz w:val="24"/>
              </w:rPr>
            </w:pPr>
            <w:r>
              <w:rPr>
                <w:rFonts w:hint="eastAsia" w:ascii="宋体" w:hAnsi="宋体" w:cs="宋体"/>
                <w:bCs/>
                <w:kern w:val="0"/>
                <w:sz w:val="24"/>
              </w:rPr>
              <w:t>78</w:t>
            </w:r>
          </w:p>
        </w:tc>
        <w:tc>
          <w:tcPr>
            <w:tcW w:w="976" w:type="dxa"/>
            <w:tcBorders>
              <w:top w:val="single" w:color="auto" w:sz="4" w:space="0"/>
              <w:left w:val="nil"/>
              <w:bottom w:val="single" w:color="auto" w:sz="4" w:space="0"/>
              <w:right w:val="single" w:color="auto" w:sz="4" w:space="0"/>
            </w:tcBorders>
            <w:vAlign w:val="center"/>
          </w:tcPr>
          <w:p>
            <w:pPr>
              <w:jc w:val="center"/>
              <w:rPr>
                <w:rFonts w:ascii="宋体" w:hAnsi="宋体"/>
                <w:szCs w:val="21"/>
              </w:rPr>
            </w:pPr>
            <w:r>
              <w:rPr>
                <w:rFonts w:hint="eastAsia" w:ascii="宋体" w:hAnsi="宋体"/>
              </w:rPr>
              <w:t>0.12</w:t>
            </w:r>
          </w:p>
        </w:tc>
        <w:tc>
          <w:tcPr>
            <w:tcW w:w="992"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bCs/>
                <w:sz w:val="24"/>
              </w:rPr>
            </w:pPr>
            <w:r>
              <w:rPr>
                <w:rFonts w:hint="eastAsia" w:ascii="宋体" w:hAnsi="宋体" w:cs="宋体"/>
                <w:bCs/>
                <w:sz w:val="24"/>
              </w:rPr>
              <w:t>9.36</w:t>
            </w:r>
          </w:p>
        </w:tc>
        <w:tc>
          <w:tcPr>
            <w:tcW w:w="1381"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bCs/>
                <w:sz w:val="24"/>
              </w:rPr>
            </w:pPr>
          </w:p>
        </w:tc>
      </w:tr>
      <w:tr>
        <w:tblPrEx>
          <w:tblCellMar>
            <w:top w:w="0" w:type="dxa"/>
            <w:left w:w="108" w:type="dxa"/>
            <w:bottom w:w="0" w:type="dxa"/>
            <w:right w:w="108" w:type="dxa"/>
          </w:tblCellMar>
        </w:tblPrEx>
        <w:trPr>
          <w:trHeight w:val="510" w:hRule="atLeast"/>
        </w:trPr>
        <w:tc>
          <w:tcPr>
            <w:tcW w:w="94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kern w:val="0"/>
                <w:sz w:val="24"/>
              </w:rPr>
            </w:pPr>
            <w:r>
              <w:rPr>
                <w:rFonts w:hint="eastAsia" w:ascii="宋体" w:hAnsi="宋体" w:cs="宋体"/>
                <w:bCs/>
                <w:kern w:val="0"/>
                <w:sz w:val="24"/>
              </w:rPr>
              <w:t>四</w:t>
            </w:r>
          </w:p>
        </w:tc>
        <w:tc>
          <w:tcPr>
            <w:tcW w:w="3213" w:type="dxa"/>
            <w:tcBorders>
              <w:top w:val="single" w:color="auto" w:sz="4" w:space="0"/>
              <w:left w:val="nil"/>
              <w:bottom w:val="single" w:color="auto" w:sz="4" w:space="0"/>
              <w:right w:val="single" w:color="auto" w:sz="4" w:space="0"/>
            </w:tcBorders>
            <w:vAlign w:val="center"/>
          </w:tcPr>
          <w:p>
            <w:pPr>
              <w:widowControl/>
              <w:jc w:val="left"/>
              <w:rPr>
                <w:rFonts w:ascii="宋体" w:hAnsi="宋体" w:cs="宋体"/>
                <w:bCs/>
                <w:kern w:val="0"/>
                <w:sz w:val="24"/>
              </w:rPr>
            </w:pPr>
            <w:r>
              <w:rPr>
                <w:rFonts w:ascii="宋体" w:hAnsi="宋体"/>
                <w:b/>
                <w:sz w:val="24"/>
              </w:rPr>
              <w:t>管理制度</w:t>
            </w:r>
          </w:p>
        </w:tc>
        <w:tc>
          <w:tcPr>
            <w:tcW w:w="922" w:type="dxa"/>
            <w:tcBorders>
              <w:top w:val="single" w:color="auto" w:sz="4" w:space="0"/>
              <w:left w:val="nil"/>
              <w:bottom w:val="single" w:color="auto" w:sz="4" w:space="0"/>
              <w:right w:val="single" w:color="auto" w:sz="4" w:space="0"/>
            </w:tcBorders>
            <w:vAlign w:val="center"/>
          </w:tcPr>
          <w:p>
            <w:pPr>
              <w:jc w:val="center"/>
              <w:rPr>
                <w:sz w:val="24"/>
              </w:rPr>
            </w:pPr>
            <w:r>
              <w:rPr>
                <w:rFonts w:hint="eastAsia" w:ascii="宋体" w:hAnsi="宋体" w:cs="宋体"/>
                <w:bCs/>
                <w:kern w:val="0"/>
                <w:sz w:val="24"/>
              </w:rPr>
              <w:t>100</w:t>
            </w:r>
          </w:p>
        </w:tc>
        <w:tc>
          <w:tcPr>
            <w:tcW w:w="970"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bCs/>
                <w:kern w:val="0"/>
                <w:sz w:val="24"/>
              </w:rPr>
            </w:pPr>
            <w:r>
              <w:rPr>
                <w:rFonts w:hint="eastAsia" w:ascii="宋体" w:hAnsi="宋体" w:cs="宋体"/>
                <w:bCs/>
                <w:kern w:val="0"/>
                <w:sz w:val="24"/>
              </w:rPr>
              <w:t>90　</w:t>
            </w:r>
          </w:p>
        </w:tc>
        <w:tc>
          <w:tcPr>
            <w:tcW w:w="976" w:type="dxa"/>
            <w:tcBorders>
              <w:top w:val="single" w:color="auto" w:sz="4" w:space="0"/>
              <w:left w:val="nil"/>
              <w:bottom w:val="single" w:color="auto" w:sz="4" w:space="0"/>
              <w:right w:val="single" w:color="auto" w:sz="4" w:space="0"/>
            </w:tcBorders>
            <w:vAlign w:val="center"/>
          </w:tcPr>
          <w:p>
            <w:pPr>
              <w:jc w:val="center"/>
              <w:rPr>
                <w:rFonts w:ascii="宋体" w:hAnsi="宋体"/>
                <w:szCs w:val="21"/>
              </w:rPr>
            </w:pPr>
            <w:r>
              <w:rPr>
                <w:rFonts w:hint="eastAsia" w:ascii="宋体" w:hAnsi="宋体"/>
              </w:rPr>
              <w:t>0.05</w:t>
            </w:r>
          </w:p>
        </w:tc>
        <w:tc>
          <w:tcPr>
            <w:tcW w:w="992"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bCs/>
                <w:sz w:val="24"/>
              </w:rPr>
            </w:pPr>
            <w:r>
              <w:rPr>
                <w:rFonts w:hint="eastAsia" w:ascii="宋体" w:hAnsi="宋体" w:cs="宋体"/>
                <w:bCs/>
                <w:sz w:val="24"/>
              </w:rPr>
              <w:t>4.50</w:t>
            </w:r>
          </w:p>
        </w:tc>
        <w:tc>
          <w:tcPr>
            <w:tcW w:w="1381"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bCs/>
                <w:sz w:val="24"/>
              </w:rPr>
            </w:pPr>
          </w:p>
        </w:tc>
      </w:tr>
      <w:tr>
        <w:tblPrEx>
          <w:tblCellMar>
            <w:top w:w="0" w:type="dxa"/>
            <w:left w:w="108" w:type="dxa"/>
            <w:bottom w:w="0" w:type="dxa"/>
            <w:right w:w="108" w:type="dxa"/>
          </w:tblCellMar>
        </w:tblPrEx>
        <w:trPr>
          <w:trHeight w:val="510" w:hRule="atLeast"/>
        </w:trPr>
        <w:tc>
          <w:tcPr>
            <w:tcW w:w="94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kern w:val="0"/>
                <w:sz w:val="24"/>
              </w:rPr>
            </w:pPr>
            <w:r>
              <w:rPr>
                <w:rFonts w:hint="eastAsia" w:ascii="宋体" w:hAnsi="宋体" w:cs="宋体"/>
                <w:bCs/>
                <w:kern w:val="0"/>
                <w:sz w:val="24"/>
              </w:rPr>
              <w:t>五</w:t>
            </w:r>
          </w:p>
        </w:tc>
        <w:tc>
          <w:tcPr>
            <w:tcW w:w="3213" w:type="dxa"/>
            <w:tcBorders>
              <w:top w:val="single" w:color="auto" w:sz="4" w:space="0"/>
              <w:left w:val="nil"/>
              <w:bottom w:val="single" w:color="auto" w:sz="4" w:space="0"/>
              <w:right w:val="single" w:color="auto" w:sz="4" w:space="0"/>
            </w:tcBorders>
            <w:vAlign w:val="center"/>
          </w:tcPr>
          <w:p>
            <w:pPr>
              <w:widowControl/>
              <w:jc w:val="left"/>
              <w:rPr>
                <w:rFonts w:ascii="宋体" w:hAnsi="宋体" w:cs="宋体"/>
                <w:bCs/>
                <w:kern w:val="0"/>
                <w:sz w:val="24"/>
              </w:rPr>
            </w:pPr>
            <w:r>
              <w:rPr>
                <w:rFonts w:ascii="宋体" w:hAnsi="宋体"/>
                <w:b/>
                <w:sz w:val="24"/>
              </w:rPr>
              <w:t>培训教育</w:t>
            </w:r>
          </w:p>
        </w:tc>
        <w:tc>
          <w:tcPr>
            <w:tcW w:w="922" w:type="dxa"/>
            <w:tcBorders>
              <w:top w:val="single" w:color="auto" w:sz="4" w:space="0"/>
              <w:left w:val="nil"/>
              <w:bottom w:val="single" w:color="auto" w:sz="4" w:space="0"/>
              <w:right w:val="single" w:color="auto" w:sz="4" w:space="0"/>
            </w:tcBorders>
            <w:vAlign w:val="center"/>
          </w:tcPr>
          <w:p>
            <w:pPr>
              <w:jc w:val="center"/>
              <w:rPr>
                <w:sz w:val="24"/>
              </w:rPr>
            </w:pPr>
            <w:r>
              <w:rPr>
                <w:rFonts w:hint="eastAsia" w:ascii="宋体" w:hAnsi="宋体" w:cs="宋体"/>
                <w:bCs/>
                <w:kern w:val="0"/>
                <w:sz w:val="24"/>
              </w:rPr>
              <w:t>100</w:t>
            </w:r>
          </w:p>
        </w:tc>
        <w:tc>
          <w:tcPr>
            <w:tcW w:w="970"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bCs/>
                <w:kern w:val="0"/>
                <w:sz w:val="24"/>
              </w:rPr>
            </w:pPr>
            <w:r>
              <w:rPr>
                <w:rFonts w:hint="eastAsia" w:ascii="宋体" w:hAnsi="宋体" w:cs="宋体"/>
                <w:bCs/>
                <w:kern w:val="0"/>
                <w:sz w:val="24"/>
              </w:rPr>
              <w:t>90　</w:t>
            </w:r>
          </w:p>
        </w:tc>
        <w:tc>
          <w:tcPr>
            <w:tcW w:w="976" w:type="dxa"/>
            <w:tcBorders>
              <w:top w:val="single" w:color="auto" w:sz="4" w:space="0"/>
              <w:left w:val="nil"/>
              <w:bottom w:val="single" w:color="auto" w:sz="4" w:space="0"/>
              <w:right w:val="single" w:color="auto" w:sz="4" w:space="0"/>
            </w:tcBorders>
            <w:vAlign w:val="center"/>
          </w:tcPr>
          <w:p>
            <w:pPr>
              <w:jc w:val="center"/>
              <w:rPr>
                <w:rFonts w:ascii="宋体" w:hAnsi="宋体"/>
                <w:szCs w:val="21"/>
              </w:rPr>
            </w:pPr>
            <w:r>
              <w:rPr>
                <w:rFonts w:hint="eastAsia" w:ascii="宋体" w:hAnsi="宋体"/>
              </w:rPr>
              <w:t>0.10</w:t>
            </w:r>
          </w:p>
        </w:tc>
        <w:tc>
          <w:tcPr>
            <w:tcW w:w="992"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bCs/>
                <w:sz w:val="24"/>
              </w:rPr>
            </w:pPr>
            <w:r>
              <w:rPr>
                <w:rFonts w:hint="eastAsia" w:ascii="宋体" w:hAnsi="宋体" w:cs="宋体"/>
                <w:bCs/>
                <w:sz w:val="24"/>
              </w:rPr>
              <w:t>9.00</w:t>
            </w:r>
          </w:p>
        </w:tc>
        <w:tc>
          <w:tcPr>
            <w:tcW w:w="1381"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bCs/>
                <w:sz w:val="24"/>
              </w:rPr>
            </w:pPr>
          </w:p>
        </w:tc>
      </w:tr>
      <w:tr>
        <w:tblPrEx>
          <w:tblCellMar>
            <w:top w:w="0" w:type="dxa"/>
            <w:left w:w="108" w:type="dxa"/>
            <w:bottom w:w="0" w:type="dxa"/>
            <w:right w:w="108" w:type="dxa"/>
          </w:tblCellMar>
        </w:tblPrEx>
        <w:trPr>
          <w:trHeight w:val="510" w:hRule="atLeast"/>
        </w:trPr>
        <w:tc>
          <w:tcPr>
            <w:tcW w:w="946"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bCs/>
                <w:kern w:val="0"/>
                <w:sz w:val="24"/>
              </w:rPr>
            </w:pPr>
            <w:r>
              <w:rPr>
                <w:rFonts w:hint="eastAsia" w:ascii="宋体" w:hAnsi="宋体" w:cs="宋体"/>
                <w:bCs/>
                <w:kern w:val="0"/>
                <w:sz w:val="24"/>
              </w:rPr>
              <w:t>六</w:t>
            </w:r>
          </w:p>
        </w:tc>
        <w:tc>
          <w:tcPr>
            <w:tcW w:w="3213" w:type="dxa"/>
            <w:tcBorders>
              <w:top w:val="nil"/>
              <w:left w:val="nil"/>
              <w:bottom w:val="single" w:color="auto" w:sz="4" w:space="0"/>
              <w:right w:val="single" w:color="auto" w:sz="4" w:space="0"/>
            </w:tcBorders>
            <w:vAlign w:val="center"/>
          </w:tcPr>
          <w:p>
            <w:pPr>
              <w:widowControl/>
              <w:jc w:val="left"/>
              <w:rPr>
                <w:rFonts w:ascii="宋体" w:hAnsi="宋体" w:cs="宋体"/>
                <w:bCs/>
                <w:kern w:val="0"/>
                <w:sz w:val="24"/>
              </w:rPr>
            </w:pPr>
            <w:r>
              <w:rPr>
                <w:rFonts w:ascii="宋体" w:hAnsi="宋体"/>
                <w:b/>
                <w:sz w:val="24"/>
              </w:rPr>
              <w:t>生产设施及工艺安全</w:t>
            </w:r>
          </w:p>
        </w:tc>
        <w:tc>
          <w:tcPr>
            <w:tcW w:w="922" w:type="dxa"/>
            <w:tcBorders>
              <w:top w:val="nil"/>
              <w:left w:val="nil"/>
              <w:bottom w:val="single" w:color="auto" w:sz="4" w:space="0"/>
              <w:right w:val="single" w:color="auto" w:sz="4" w:space="0"/>
            </w:tcBorders>
            <w:vAlign w:val="center"/>
          </w:tcPr>
          <w:p>
            <w:pPr>
              <w:jc w:val="center"/>
              <w:rPr>
                <w:sz w:val="24"/>
              </w:rPr>
            </w:pPr>
            <w:r>
              <w:rPr>
                <w:rFonts w:hint="eastAsia" w:ascii="宋体" w:hAnsi="宋体" w:cs="宋体"/>
                <w:bCs/>
                <w:kern w:val="0"/>
                <w:sz w:val="24"/>
              </w:rPr>
              <w:t>100</w:t>
            </w:r>
          </w:p>
        </w:tc>
        <w:tc>
          <w:tcPr>
            <w:tcW w:w="970" w:type="dxa"/>
            <w:tcBorders>
              <w:top w:val="nil"/>
              <w:left w:val="nil"/>
              <w:bottom w:val="single" w:color="auto" w:sz="4" w:space="0"/>
              <w:right w:val="single" w:color="auto" w:sz="4" w:space="0"/>
            </w:tcBorders>
            <w:vAlign w:val="center"/>
          </w:tcPr>
          <w:p>
            <w:pPr>
              <w:widowControl/>
              <w:jc w:val="center"/>
              <w:rPr>
                <w:rFonts w:ascii="宋体" w:hAnsi="宋体" w:cs="宋体"/>
                <w:bCs/>
                <w:kern w:val="0"/>
                <w:sz w:val="24"/>
              </w:rPr>
            </w:pPr>
            <w:r>
              <w:rPr>
                <w:rFonts w:hint="eastAsia" w:ascii="宋体" w:hAnsi="宋体" w:cs="宋体"/>
                <w:bCs/>
                <w:kern w:val="0"/>
                <w:sz w:val="24"/>
                <w:lang w:val="en-US" w:eastAsia="zh-CN"/>
              </w:rPr>
              <w:t>90</w:t>
            </w:r>
            <w:r>
              <w:rPr>
                <w:rFonts w:hint="eastAsia" w:ascii="宋体" w:hAnsi="宋体" w:cs="宋体"/>
                <w:bCs/>
                <w:kern w:val="0"/>
                <w:sz w:val="24"/>
              </w:rPr>
              <w:t>　</w:t>
            </w:r>
          </w:p>
        </w:tc>
        <w:tc>
          <w:tcPr>
            <w:tcW w:w="976" w:type="dxa"/>
            <w:tcBorders>
              <w:top w:val="nil"/>
              <w:left w:val="nil"/>
              <w:bottom w:val="single" w:color="auto" w:sz="4" w:space="0"/>
              <w:right w:val="single" w:color="auto" w:sz="4" w:space="0"/>
            </w:tcBorders>
            <w:vAlign w:val="center"/>
          </w:tcPr>
          <w:p>
            <w:pPr>
              <w:jc w:val="center"/>
              <w:rPr>
                <w:rFonts w:ascii="宋体" w:hAnsi="宋体"/>
                <w:szCs w:val="21"/>
              </w:rPr>
            </w:pPr>
            <w:r>
              <w:rPr>
                <w:rFonts w:hint="eastAsia" w:ascii="宋体" w:hAnsi="宋体"/>
              </w:rPr>
              <w:t>0.20</w:t>
            </w:r>
          </w:p>
        </w:tc>
        <w:tc>
          <w:tcPr>
            <w:tcW w:w="992" w:type="dxa"/>
            <w:tcBorders>
              <w:top w:val="nil"/>
              <w:left w:val="nil"/>
              <w:bottom w:val="single" w:color="auto" w:sz="4" w:space="0"/>
              <w:right w:val="single" w:color="auto" w:sz="4" w:space="0"/>
            </w:tcBorders>
            <w:vAlign w:val="center"/>
          </w:tcPr>
          <w:p>
            <w:pPr>
              <w:widowControl/>
              <w:jc w:val="center"/>
              <w:rPr>
                <w:rFonts w:hint="default" w:ascii="宋体" w:hAnsi="宋体" w:eastAsia="宋体" w:cs="宋体"/>
                <w:bCs/>
                <w:sz w:val="24"/>
                <w:lang w:val="en-US" w:eastAsia="zh-CN"/>
              </w:rPr>
            </w:pPr>
            <w:r>
              <w:rPr>
                <w:rFonts w:hint="eastAsia" w:ascii="宋体" w:hAnsi="宋体" w:cs="宋体"/>
                <w:bCs/>
                <w:sz w:val="24"/>
                <w:lang w:val="en-US" w:eastAsia="zh-CN"/>
              </w:rPr>
              <w:t>18.00</w:t>
            </w:r>
          </w:p>
        </w:tc>
        <w:tc>
          <w:tcPr>
            <w:tcW w:w="1381" w:type="dxa"/>
            <w:tcBorders>
              <w:top w:val="nil"/>
              <w:left w:val="nil"/>
              <w:bottom w:val="single" w:color="auto" w:sz="4" w:space="0"/>
              <w:right w:val="single" w:color="auto" w:sz="4" w:space="0"/>
            </w:tcBorders>
            <w:vAlign w:val="center"/>
          </w:tcPr>
          <w:p>
            <w:pPr>
              <w:widowControl/>
              <w:jc w:val="center"/>
              <w:rPr>
                <w:rFonts w:ascii="宋体" w:hAnsi="宋体" w:cs="宋体"/>
                <w:bCs/>
                <w:sz w:val="24"/>
              </w:rPr>
            </w:pPr>
          </w:p>
        </w:tc>
      </w:tr>
      <w:tr>
        <w:tblPrEx>
          <w:tblCellMar>
            <w:top w:w="0" w:type="dxa"/>
            <w:left w:w="108" w:type="dxa"/>
            <w:bottom w:w="0" w:type="dxa"/>
            <w:right w:w="108" w:type="dxa"/>
          </w:tblCellMar>
        </w:tblPrEx>
        <w:trPr>
          <w:trHeight w:val="510" w:hRule="atLeast"/>
        </w:trPr>
        <w:tc>
          <w:tcPr>
            <w:tcW w:w="946"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bCs/>
                <w:kern w:val="0"/>
                <w:sz w:val="24"/>
              </w:rPr>
            </w:pPr>
            <w:r>
              <w:rPr>
                <w:rFonts w:hint="eastAsia" w:ascii="宋体" w:hAnsi="宋体" w:cs="宋体"/>
                <w:bCs/>
                <w:kern w:val="0"/>
                <w:sz w:val="24"/>
              </w:rPr>
              <w:t>七</w:t>
            </w:r>
          </w:p>
        </w:tc>
        <w:tc>
          <w:tcPr>
            <w:tcW w:w="3213" w:type="dxa"/>
            <w:tcBorders>
              <w:top w:val="nil"/>
              <w:left w:val="nil"/>
              <w:bottom w:val="single" w:color="auto" w:sz="4" w:space="0"/>
              <w:right w:val="single" w:color="auto" w:sz="4" w:space="0"/>
            </w:tcBorders>
            <w:vAlign w:val="center"/>
          </w:tcPr>
          <w:p>
            <w:pPr>
              <w:widowControl/>
              <w:jc w:val="left"/>
              <w:rPr>
                <w:rFonts w:ascii="宋体" w:hAnsi="宋体" w:cs="宋体"/>
                <w:bCs/>
                <w:kern w:val="0"/>
                <w:sz w:val="24"/>
              </w:rPr>
            </w:pPr>
            <w:r>
              <w:rPr>
                <w:rFonts w:ascii="宋体" w:hAnsi="宋体"/>
                <w:b/>
                <w:sz w:val="24"/>
              </w:rPr>
              <w:t>作业安全</w:t>
            </w:r>
          </w:p>
        </w:tc>
        <w:tc>
          <w:tcPr>
            <w:tcW w:w="922" w:type="dxa"/>
            <w:tcBorders>
              <w:top w:val="nil"/>
              <w:left w:val="nil"/>
              <w:bottom w:val="single" w:color="auto" w:sz="4" w:space="0"/>
              <w:right w:val="single" w:color="auto" w:sz="4" w:space="0"/>
            </w:tcBorders>
            <w:vAlign w:val="center"/>
          </w:tcPr>
          <w:p>
            <w:pPr>
              <w:jc w:val="center"/>
              <w:rPr>
                <w:sz w:val="24"/>
              </w:rPr>
            </w:pPr>
            <w:r>
              <w:rPr>
                <w:rFonts w:hint="eastAsia" w:ascii="宋体" w:hAnsi="宋体" w:cs="宋体"/>
                <w:bCs/>
                <w:kern w:val="0"/>
                <w:sz w:val="24"/>
              </w:rPr>
              <w:t>100</w:t>
            </w:r>
          </w:p>
        </w:tc>
        <w:tc>
          <w:tcPr>
            <w:tcW w:w="970" w:type="dxa"/>
            <w:tcBorders>
              <w:top w:val="nil"/>
              <w:left w:val="nil"/>
              <w:bottom w:val="single" w:color="auto" w:sz="4" w:space="0"/>
              <w:right w:val="single" w:color="auto" w:sz="4" w:space="0"/>
            </w:tcBorders>
            <w:vAlign w:val="center"/>
          </w:tcPr>
          <w:p>
            <w:pPr>
              <w:widowControl/>
              <w:jc w:val="center"/>
              <w:rPr>
                <w:rFonts w:ascii="宋体" w:hAnsi="宋体" w:cs="宋体"/>
                <w:bCs/>
                <w:kern w:val="0"/>
                <w:sz w:val="24"/>
              </w:rPr>
            </w:pPr>
            <w:r>
              <w:rPr>
                <w:rFonts w:hint="eastAsia" w:ascii="宋体" w:hAnsi="宋体" w:cs="宋体"/>
                <w:bCs/>
                <w:kern w:val="0"/>
                <w:sz w:val="24"/>
              </w:rPr>
              <w:t>87</w:t>
            </w:r>
          </w:p>
        </w:tc>
        <w:tc>
          <w:tcPr>
            <w:tcW w:w="976" w:type="dxa"/>
            <w:tcBorders>
              <w:top w:val="nil"/>
              <w:left w:val="nil"/>
              <w:bottom w:val="single" w:color="auto" w:sz="4" w:space="0"/>
              <w:right w:val="single" w:color="auto" w:sz="4" w:space="0"/>
            </w:tcBorders>
            <w:vAlign w:val="center"/>
          </w:tcPr>
          <w:p>
            <w:pPr>
              <w:jc w:val="center"/>
              <w:rPr>
                <w:rFonts w:ascii="宋体" w:hAnsi="宋体"/>
                <w:szCs w:val="21"/>
              </w:rPr>
            </w:pPr>
            <w:r>
              <w:rPr>
                <w:rFonts w:hint="eastAsia" w:ascii="宋体" w:hAnsi="宋体"/>
              </w:rPr>
              <w:t>0.15</w:t>
            </w:r>
          </w:p>
        </w:tc>
        <w:tc>
          <w:tcPr>
            <w:tcW w:w="992" w:type="dxa"/>
            <w:tcBorders>
              <w:top w:val="nil"/>
              <w:left w:val="nil"/>
              <w:bottom w:val="single" w:color="auto" w:sz="4" w:space="0"/>
              <w:right w:val="single" w:color="auto" w:sz="4" w:space="0"/>
            </w:tcBorders>
            <w:vAlign w:val="center"/>
          </w:tcPr>
          <w:p>
            <w:pPr>
              <w:widowControl/>
              <w:jc w:val="center"/>
              <w:rPr>
                <w:rFonts w:ascii="宋体" w:hAnsi="宋体" w:cs="宋体"/>
                <w:bCs/>
                <w:sz w:val="24"/>
              </w:rPr>
            </w:pPr>
            <w:r>
              <w:rPr>
                <w:rFonts w:hint="eastAsia" w:ascii="宋体" w:hAnsi="宋体" w:cs="宋体"/>
                <w:bCs/>
                <w:sz w:val="24"/>
              </w:rPr>
              <w:t>13.05</w:t>
            </w:r>
          </w:p>
        </w:tc>
        <w:tc>
          <w:tcPr>
            <w:tcW w:w="1381" w:type="dxa"/>
            <w:tcBorders>
              <w:top w:val="nil"/>
              <w:left w:val="nil"/>
              <w:bottom w:val="single" w:color="auto" w:sz="4" w:space="0"/>
              <w:right w:val="single" w:color="auto" w:sz="4" w:space="0"/>
            </w:tcBorders>
            <w:vAlign w:val="center"/>
          </w:tcPr>
          <w:p>
            <w:pPr>
              <w:widowControl/>
              <w:jc w:val="center"/>
              <w:rPr>
                <w:rFonts w:ascii="宋体" w:hAnsi="宋体" w:cs="宋体"/>
                <w:bCs/>
                <w:sz w:val="24"/>
              </w:rPr>
            </w:pPr>
          </w:p>
        </w:tc>
      </w:tr>
      <w:tr>
        <w:tblPrEx>
          <w:tblCellMar>
            <w:top w:w="0" w:type="dxa"/>
            <w:left w:w="108" w:type="dxa"/>
            <w:bottom w:w="0" w:type="dxa"/>
            <w:right w:w="108" w:type="dxa"/>
          </w:tblCellMar>
        </w:tblPrEx>
        <w:trPr>
          <w:trHeight w:val="510" w:hRule="atLeast"/>
        </w:trPr>
        <w:tc>
          <w:tcPr>
            <w:tcW w:w="946"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bCs/>
                <w:kern w:val="0"/>
                <w:sz w:val="24"/>
              </w:rPr>
            </w:pPr>
            <w:r>
              <w:rPr>
                <w:rFonts w:hint="eastAsia" w:ascii="宋体" w:hAnsi="宋体" w:cs="宋体"/>
                <w:bCs/>
                <w:kern w:val="0"/>
                <w:sz w:val="24"/>
              </w:rPr>
              <w:t>八</w:t>
            </w:r>
          </w:p>
        </w:tc>
        <w:tc>
          <w:tcPr>
            <w:tcW w:w="3213" w:type="dxa"/>
            <w:tcBorders>
              <w:top w:val="nil"/>
              <w:left w:val="nil"/>
              <w:bottom w:val="single" w:color="auto" w:sz="4" w:space="0"/>
              <w:right w:val="single" w:color="auto" w:sz="4" w:space="0"/>
            </w:tcBorders>
            <w:vAlign w:val="center"/>
          </w:tcPr>
          <w:p>
            <w:pPr>
              <w:widowControl/>
              <w:jc w:val="left"/>
              <w:rPr>
                <w:rFonts w:ascii="宋体" w:hAnsi="宋体" w:cs="宋体"/>
                <w:bCs/>
                <w:kern w:val="0"/>
                <w:sz w:val="24"/>
              </w:rPr>
            </w:pPr>
            <w:r>
              <w:rPr>
                <w:rFonts w:hint="eastAsia" w:ascii="宋体" w:hAnsi="宋体"/>
                <w:b/>
                <w:sz w:val="24"/>
              </w:rPr>
              <w:t>职业健康</w:t>
            </w:r>
          </w:p>
        </w:tc>
        <w:tc>
          <w:tcPr>
            <w:tcW w:w="922" w:type="dxa"/>
            <w:tcBorders>
              <w:top w:val="nil"/>
              <w:left w:val="nil"/>
              <w:bottom w:val="single" w:color="auto" w:sz="4" w:space="0"/>
              <w:right w:val="single" w:color="auto" w:sz="4" w:space="0"/>
            </w:tcBorders>
            <w:vAlign w:val="center"/>
          </w:tcPr>
          <w:p>
            <w:pPr>
              <w:jc w:val="center"/>
              <w:rPr>
                <w:sz w:val="24"/>
              </w:rPr>
            </w:pPr>
            <w:r>
              <w:rPr>
                <w:rFonts w:hint="eastAsia" w:ascii="宋体" w:hAnsi="宋体" w:cs="宋体"/>
                <w:bCs/>
                <w:kern w:val="0"/>
                <w:sz w:val="24"/>
              </w:rPr>
              <w:t>100</w:t>
            </w:r>
          </w:p>
        </w:tc>
        <w:tc>
          <w:tcPr>
            <w:tcW w:w="970" w:type="dxa"/>
            <w:tcBorders>
              <w:top w:val="nil"/>
              <w:left w:val="nil"/>
              <w:bottom w:val="single" w:color="auto" w:sz="4" w:space="0"/>
              <w:right w:val="single" w:color="auto" w:sz="4" w:space="0"/>
            </w:tcBorders>
            <w:vAlign w:val="center"/>
          </w:tcPr>
          <w:p>
            <w:pPr>
              <w:widowControl/>
              <w:jc w:val="center"/>
              <w:rPr>
                <w:rFonts w:ascii="宋体" w:hAnsi="宋体" w:cs="宋体"/>
                <w:bCs/>
                <w:kern w:val="0"/>
                <w:sz w:val="24"/>
              </w:rPr>
            </w:pPr>
            <w:r>
              <w:rPr>
                <w:rFonts w:hint="eastAsia" w:ascii="宋体" w:hAnsi="宋体" w:cs="宋体"/>
                <w:bCs/>
                <w:kern w:val="0"/>
                <w:sz w:val="24"/>
              </w:rPr>
              <w:t>90　</w:t>
            </w:r>
          </w:p>
        </w:tc>
        <w:tc>
          <w:tcPr>
            <w:tcW w:w="976" w:type="dxa"/>
            <w:tcBorders>
              <w:top w:val="nil"/>
              <w:left w:val="nil"/>
              <w:bottom w:val="single" w:color="auto" w:sz="4" w:space="0"/>
              <w:right w:val="single" w:color="auto" w:sz="4" w:space="0"/>
            </w:tcBorders>
            <w:vAlign w:val="center"/>
          </w:tcPr>
          <w:p>
            <w:pPr>
              <w:jc w:val="center"/>
              <w:rPr>
                <w:rFonts w:ascii="宋体" w:hAnsi="宋体"/>
                <w:szCs w:val="21"/>
              </w:rPr>
            </w:pPr>
            <w:r>
              <w:rPr>
                <w:rFonts w:hint="eastAsia" w:ascii="宋体" w:hAnsi="宋体"/>
              </w:rPr>
              <w:t>0.05</w:t>
            </w:r>
          </w:p>
        </w:tc>
        <w:tc>
          <w:tcPr>
            <w:tcW w:w="992" w:type="dxa"/>
            <w:tcBorders>
              <w:top w:val="nil"/>
              <w:left w:val="nil"/>
              <w:bottom w:val="single" w:color="auto" w:sz="4" w:space="0"/>
              <w:right w:val="single" w:color="auto" w:sz="4" w:space="0"/>
            </w:tcBorders>
            <w:vAlign w:val="center"/>
          </w:tcPr>
          <w:p>
            <w:pPr>
              <w:widowControl/>
              <w:jc w:val="center"/>
              <w:rPr>
                <w:rFonts w:ascii="宋体" w:hAnsi="宋体" w:cs="宋体"/>
                <w:bCs/>
                <w:sz w:val="24"/>
              </w:rPr>
            </w:pPr>
            <w:r>
              <w:rPr>
                <w:rFonts w:hint="eastAsia" w:ascii="宋体" w:hAnsi="宋体" w:cs="宋体"/>
                <w:bCs/>
                <w:sz w:val="24"/>
              </w:rPr>
              <w:t>4.50</w:t>
            </w:r>
          </w:p>
        </w:tc>
        <w:tc>
          <w:tcPr>
            <w:tcW w:w="1381" w:type="dxa"/>
            <w:tcBorders>
              <w:top w:val="nil"/>
              <w:left w:val="nil"/>
              <w:bottom w:val="single" w:color="auto" w:sz="4" w:space="0"/>
              <w:right w:val="single" w:color="auto" w:sz="4" w:space="0"/>
            </w:tcBorders>
            <w:vAlign w:val="center"/>
          </w:tcPr>
          <w:p>
            <w:pPr>
              <w:widowControl/>
              <w:jc w:val="center"/>
              <w:rPr>
                <w:rFonts w:ascii="宋体" w:hAnsi="宋体" w:cs="宋体"/>
                <w:bCs/>
                <w:sz w:val="24"/>
              </w:rPr>
            </w:pPr>
          </w:p>
        </w:tc>
      </w:tr>
      <w:tr>
        <w:tblPrEx>
          <w:tblCellMar>
            <w:top w:w="0" w:type="dxa"/>
            <w:left w:w="108" w:type="dxa"/>
            <w:bottom w:w="0" w:type="dxa"/>
            <w:right w:w="108" w:type="dxa"/>
          </w:tblCellMar>
        </w:tblPrEx>
        <w:trPr>
          <w:trHeight w:val="510" w:hRule="atLeast"/>
        </w:trPr>
        <w:tc>
          <w:tcPr>
            <w:tcW w:w="946"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bCs/>
                <w:kern w:val="0"/>
                <w:sz w:val="24"/>
              </w:rPr>
            </w:pPr>
            <w:r>
              <w:rPr>
                <w:rFonts w:hint="eastAsia" w:ascii="宋体" w:hAnsi="宋体" w:cs="宋体"/>
                <w:bCs/>
                <w:kern w:val="0"/>
                <w:sz w:val="24"/>
              </w:rPr>
              <w:t>九</w:t>
            </w:r>
          </w:p>
        </w:tc>
        <w:tc>
          <w:tcPr>
            <w:tcW w:w="3213" w:type="dxa"/>
            <w:tcBorders>
              <w:top w:val="nil"/>
              <w:left w:val="nil"/>
              <w:bottom w:val="single" w:color="auto" w:sz="4" w:space="0"/>
              <w:right w:val="single" w:color="auto" w:sz="4" w:space="0"/>
            </w:tcBorders>
            <w:vAlign w:val="center"/>
          </w:tcPr>
          <w:p>
            <w:pPr>
              <w:widowControl/>
              <w:jc w:val="left"/>
              <w:rPr>
                <w:rFonts w:ascii="宋体" w:hAnsi="宋体" w:cs="宋体"/>
                <w:bCs/>
                <w:kern w:val="0"/>
                <w:sz w:val="24"/>
              </w:rPr>
            </w:pPr>
            <w:r>
              <w:rPr>
                <w:rFonts w:hint="eastAsia" w:ascii="宋体" w:hAnsi="宋体"/>
                <w:b/>
                <w:sz w:val="24"/>
              </w:rPr>
              <w:t>危险化学品管理</w:t>
            </w:r>
          </w:p>
        </w:tc>
        <w:tc>
          <w:tcPr>
            <w:tcW w:w="922" w:type="dxa"/>
            <w:tcBorders>
              <w:top w:val="nil"/>
              <w:left w:val="nil"/>
              <w:bottom w:val="single" w:color="auto" w:sz="4" w:space="0"/>
              <w:right w:val="single" w:color="auto" w:sz="4" w:space="0"/>
            </w:tcBorders>
            <w:vAlign w:val="center"/>
          </w:tcPr>
          <w:p>
            <w:pPr>
              <w:jc w:val="center"/>
              <w:rPr>
                <w:sz w:val="24"/>
              </w:rPr>
            </w:pPr>
            <w:r>
              <w:rPr>
                <w:rFonts w:hint="eastAsia" w:ascii="宋体" w:hAnsi="宋体" w:cs="宋体"/>
                <w:bCs/>
                <w:kern w:val="0"/>
                <w:sz w:val="24"/>
              </w:rPr>
              <w:t>100</w:t>
            </w:r>
          </w:p>
        </w:tc>
        <w:tc>
          <w:tcPr>
            <w:tcW w:w="970" w:type="dxa"/>
            <w:tcBorders>
              <w:top w:val="nil"/>
              <w:left w:val="nil"/>
              <w:bottom w:val="single" w:color="auto" w:sz="4" w:space="0"/>
              <w:right w:val="single" w:color="auto" w:sz="4" w:space="0"/>
            </w:tcBorders>
            <w:vAlign w:val="center"/>
          </w:tcPr>
          <w:p>
            <w:pPr>
              <w:widowControl/>
              <w:jc w:val="center"/>
              <w:rPr>
                <w:rFonts w:ascii="宋体" w:hAnsi="宋体" w:cs="宋体"/>
                <w:bCs/>
                <w:kern w:val="0"/>
                <w:sz w:val="24"/>
              </w:rPr>
            </w:pPr>
            <w:r>
              <w:rPr>
                <w:rFonts w:hint="eastAsia" w:ascii="宋体" w:hAnsi="宋体" w:cs="宋体"/>
                <w:bCs/>
                <w:kern w:val="0"/>
                <w:sz w:val="24"/>
              </w:rPr>
              <w:t>85</w:t>
            </w:r>
          </w:p>
        </w:tc>
        <w:tc>
          <w:tcPr>
            <w:tcW w:w="976" w:type="dxa"/>
            <w:tcBorders>
              <w:top w:val="nil"/>
              <w:left w:val="nil"/>
              <w:bottom w:val="single" w:color="auto" w:sz="4" w:space="0"/>
              <w:right w:val="single" w:color="auto" w:sz="4" w:space="0"/>
            </w:tcBorders>
            <w:vAlign w:val="center"/>
          </w:tcPr>
          <w:p>
            <w:pPr>
              <w:jc w:val="center"/>
              <w:rPr>
                <w:rFonts w:ascii="宋体" w:hAnsi="宋体"/>
                <w:szCs w:val="21"/>
              </w:rPr>
            </w:pPr>
            <w:r>
              <w:rPr>
                <w:rFonts w:hint="eastAsia" w:ascii="宋体" w:hAnsi="宋体"/>
              </w:rPr>
              <w:t>0.05</w:t>
            </w:r>
          </w:p>
        </w:tc>
        <w:tc>
          <w:tcPr>
            <w:tcW w:w="992" w:type="dxa"/>
            <w:tcBorders>
              <w:top w:val="nil"/>
              <w:left w:val="nil"/>
              <w:bottom w:val="single" w:color="auto" w:sz="4" w:space="0"/>
              <w:right w:val="single" w:color="auto" w:sz="4" w:space="0"/>
            </w:tcBorders>
            <w:vAlign w:val="center"/>
          </w:tcPr>
          <w:p>
            <w:pPr>
              <w:widowControl/>
              <w:jc w:val="center"/>
              <w:rPr>
                <w:rFonts w:ascii="宋体" w:hAnsi="宋体" w:cs="宋体"/>
                <w:bCs/>
                <w:sz w:val="24"/>
              </w:rPr>
            </w:pPr>
            <w:r>
              <w:rPr>
                <w:rFonts w:hint="eastAsia" w:ascii="宋体" w:hAnsi="宋体" w:cs="宋体"/>
                <w:bCs/>
                <w:sz w:val="24"/>
              </w:rPr>
              <w:t>4.25</w:t>
            </w:r>
          </w:p>
        </w:tc>
        <w:tc>
          <w:tcPr>
            <w:tcW w:w="1381" w:type="dxa"/>
            <w:tcBorders>
              <w:top w:val="nil"/>
              <w:left w:val="nil"/>
              <w:bottom w:val="single" w:color="auto" w:sz="4" w:space="0"/>
              <w:right w:val="single" w:color="auto" w:sz="4" w:space="0"/>
            </w:tcBorders>
            <w:vAlign w:val="center"/>
          </w:tcPr>
          <w:p>
            <w:pPr>
              <w:widowControl/>
              <w:jc w:val="center"/>
              <w:rPr>
                <w:rFonts w:ascii="宋体" w:hAnsi="宋体" w:cs="宋体"/>
                <w:bCs/>
                <w:sz w:val="24"/>
              </w:rPr>
            </w:pPr>
          </w:p>
        </w:tc>
      </w:tr>
      <w:tr>
        <w:tblPrEx>
          <w:tblCellMar>
            <w:top w:w="0" w:type="dxa"/>
            <w:left w:w="108" w:type="dxa"/>
            <w:bottom w:w="0" w:type="dxa"/>
            <w:right w:w="108" w:type="dxa"/>
          </w:tblCellMar>
        </w:tblPrEx>
        <w:trPr>
          <w:trHeight w:val="510" w:hRule="atLeast"/>
        </w:trPr>
        <w:tc>
          <w:tcPr>
            <w:tcW w:w="94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kern w:val="0"/>
                <w:sz w:val="24"/>
              </w:rPr>
            </w:pPr>
            <w:r>
              <w:rPr>
                <w:rFonts w:hint="eastAsia" w:ascii="宋体" w:hAnsi="宋体" w:cs="宋体"/>
                <w:bCs/>
                <w:kern w:val="0"/>
                <w:sz w:val="24"/>
              </w:rPr>
              <w:t>十</w:t>
            </w:r>
          </w:p>
        </w:tc>
        <w:tc>
          <w:tcPr>
            <w:tcW w:w="3213"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bCs/>
                <w:kern w:val="0"/>
                <w:sz w:val="24"/>
              </w:rPr>
            </w:pPr>
            <w:r>
              <w:rPr>
                <w:rFonts w:ascii="宋体" w:hAnsi="宋体"/>
                <w:b/>
                <w:sz w:val="24"/>
              </w:rPr>
              <w:t>事故与应急</w:t>
            </w:r>
          </w:p>
        </w:tc>
        <w:tc>
          <w:tcPr>
            <w:tcW w:w="922" w:type="dxa"/>
            <w:tcBorders>
              <w:top w:val="single" w:color="auto" w:sz="4" w:space="0"/>
              <w:left w:val="single" w:color="auto" w:sz="4" w:space="0"/>
              <w:bottom w:val="single" w:color="auto" w:sz="4" w:space="0"/>
              <w:right w:val="single" w:color="auto" w:sz="4" w:space="0"/>
            </w:tcBorders>
            <w:vAlign w:val="center"/>
          </w:tcPr>
          <w:p>
            <w:pPr>
              <w:jc w:val="center"/>
              <w:rPr>
                <w:sz w:val="24"/>
              </w:rPr>
            </w:pPr>
            <w:r>
              <w:rPr>
                <w:rFonts w:hint="eastAsia" w:ascii="宋体" w:hAnsi="宋体" w:cs="宋体"/>
                <w:bCs/>
                <w:kern w:val="0"/>
                <w:sz w:val="24"/>
              </w:rPr>
              <w:t>100</w:t>
            </w:r>
          </w:p>
        </w:tc>
        <w:tc>
          <w:tcPr>
            <w:tcW w:w="97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kern w:val="0"/>
                <w:sz w:val="24"/>
              </w:rPr>
            </w:pPr>
            <w:r>
              <w:rPr>
                <w:rFonts w:hint="eastAsia" w:ascii="宋体" w:hAnsi="宋体" w:cs="宋体"/>
                <w:bCs/>
                <w:kern w:val="0"/>
                <w:sz w:val="24"/>
              </w:rPr>
              <w:t>80</w:t>
            </w:r>
          </w:p>
        </w:tc>
        <w:tc>
          <w:tcPr>
            <w:tcW w:w="97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1"/>
              </w:rPr>
            </w:pPr>
            <w:r>
              <w:rPr>
                <w:rFonts w:hint="eastAsia" w:ascii="宋体" w:hAnsi="宋体"/>
              </w:rPr>
              <w:t>0.06</w:t>
            </w:r>
          </w:p>
        </w:tc>
        <w:tc>
          <w:tcPr>
            <w:tcW w:w="992"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sz w:val="24"/>
              </w:rPr>
            </w:pPr>
            <w:r>
              <w:rPr>
                <w:rFonts w:hint="eastAsia" w:ascii="宋体" w:hAnsi="宋体" w:cs="宋体"/>
                <w:bCs/>
                <w:sz w:val="24"/>
              </w:rPr>
              <w:t>4.80</w:t>
            </w:r>
          </w:p>
        </w:tc>
        <w:tc>
          <w:tcPr>
            <w:tcW w:w="138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sz w:val="24"/>
              </w:rPr>
            </w:pPr>
          </w:p>
        </w:tc>
      </w:tr>
      <w:tr>
        <w:tblPrEx>
          <w:tblCellMar>
            <w:top w:w="0" w:type="dxa"/>
            <w:left w:w="108" w:type="dxa"/>
            <w:bottom w:w="0" w:type="dxa"/>
            <w:right w:w="108" w:type="dxa"/>
          </w:tblCellMar>
        </w:tblPrEx>
        <w:trPr>
          <w:trHeight w:val="510" w:hRule="atLeast"/>
        </w:trPr>
        <w:tc>
          <w:tcPr>
            <w:tcW w:w="94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kern w:val="0"/>
                <w:sz w:val="24"/>
              </w:rPr>
            </w:pPr>
            <w:r>
              <w:rPr>
                <w:rFonts w:hint="eastAsia" w:ascii="宋体" w:hAnsi="宋体" w:cs="宋体"/>
                <w:bCs/>
                <w:kern w:val="0"/>
                <w:sz w:val="24"/>
              </w:rPr>
              <w:t>十一</w:t>
            </w:r>
          </w:p>
        </w:tc>
        <w:tc>
          <w:tcPr>
            <w:tcW w:w="3213"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bCs/>
                <w:kern w:val="0"/>
                <w:sz w:val="24"/>
              </w:rPr>
            </w:pPr>
            <w:r>
              <w:rPr>
                <w:rFonts w:ascii="宋体" w:hAnsi="宋体"/>
                <w:b/>
                <w:sz w:val="24"/>
              </w:rPr>
              <w:t>检查与自评</w:t>
            </w:r>
          </w:p>
        </w:tc>
        <w:tc>
          <w:tcPr>
            <w:tcW w:w="922" w:type="dxa"/>
            <w:tcBorders>
              <w:top w:val="single" w:color="auto" w:sz="4" w:space="0"/>
              <w:left w:val="single" w:color="auto" w:sz="4" w:space="0"/>
              <w:bottom w:val="single" w:color="auto" w:sz="4" w:space="0"/>
              <w:right w:val="single" w:color="auto" w:sz="4" w:space="0"/>
            </w:tcBorders>
            <w:vAlign w:val="center"/>
          </w:tcPr>
          <w:p>
            <w:pPr>
              <w:jc w:val="center"/>
              <w:rPr>
                <w:sz w:val="24"/>
              </w:rPr>
            </w:pPr>
            <w:r>
              <w:rPr>
                <w:rFonts w:hint="eastAsia" w:ascii="宋体" w:hAnsi="宋体" w:cs="宋体"/>
                <w:bCs/>
                <w:kern w:val="0"/>
                <w:sz w:val="24"/>
              </w:rPr>
              <w:t>100</w:t>
            </w:r>
          </w:p>
        </w:tc>
        <w:tc>
          <w:tcPr>
            <w:tcW w:w="97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kern w:val="0"/>
                <w:sz w:val="24"/>
              </w:rPr>
            </w:pPr>
            <w:r>
              <w:rPr>
                <w:rFonts w:hint="eastAsia" w:ascii="宋体" w:hAnsi="宋体" w:cs="宋体"/>
                <w:bCs/>
                <w:kern w:val="0"/>
                <w:sz w:val="24"/>
              </w:rPr>
              <w:t>88</w:t>
            </w:r>
          </w:p>
        </w:tc>
        <w:tc>
          <w:tcPr>
            <w:tcW w:w="97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1"/>
              </w:rPr>
            </w:pPr>
            <w:r>
              <w:rPr>
                <w:rFonts w:hint="eastAsia" w:ascii="宋体" w:hAnsi="宋体"/>
              </w:rPr>
              <w:t>0.06</w:t>
            </w:r>
          </w:p>
        </w:tc>
        <w:tc>
          <w:tcPr>
            <w:tcW w:w="992"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sz w:val="24"/>
              </w:rPr>
            </w:pPr>
            <w:r>
              <w:rPr>
                <w:rFonts w:hint="eastAsia" w:ascii="宋体" w:hAnsi="宋体" w:cs="宋体"/>
                <w:bCs/>
                <w:sz w:val="24"/>
              </w:rPr>
              <w:t>5.28</w:t>
            </w:r>
          </w:p>
        </w:tc>
        <w:tc>
          <w:tcPr>
            <w:tcW w:w="138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sz w:val="24"/>
              </w:rPr>
            </w:pPr>
          </w:p>
        </w:tc>
      </w:tr>
      <w:tr>
        <w:tblPrEx>
          <w:tblCellMar>
            <w:top w:w="0" w:type="dxa"/>
            <w:left w:w="108" w:type="dxa"/>
            <w:bottom w:w="0" w:type="dxa"/>
            <w:right w:w="108" w:type="dxa"/>
          </w:tblCellMar>
        </w:tblPrEx>
        <w:trPr>
          <w:trHeight w:val="510" w:hRule="atLeast"/>
        </w:trPr>
        <w:tc>
          <w:tcPr>
            <w:tcW w:w="94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kern w:val="0"/>
                <w:sz w:val="24"/>
              </w:rPr>
            </w:pPr>
            <w:r>
              <w:rPr>
                <w:rFonts w:hint="eastAsia" w:ascii="宋体" w:hAnsi="宋体" w:cs="宋体"/>
                <w:bCs/>
                <w:kern w:val="0"/>
                <w:sz w:val="24"/>
              </w:rPr>
              <w:t>十二</w:t>
            </w:r>
          </w:p>
        </w:tc>
        <w:tc>
          <w:tcPr>
            <w:tcW w:w="3213" w:type="dxa"/>
            <w:tcBorders>
              <w:top w:val="single" w:color="auto" w:sz="4" w:space="0"/>
              <w:left w:val="nil"/>
              <w:bottom w:val="single" w:color="auto" w:sz="4" w:space="0"/>
              <w:right w:val="single" w:color="auto" w:sz="4" w:space="0"/>
            </w:tcBorders>
            <w:vAlign w:val="center"/>
          </w:tcPr>
          <w:p>
            <w:pPr>
              <w:widowControl/>
              <w:jc w:val="left"/>
              <w:rPr>
                <w:rFonts w:ascii="宋体" w:hAnsi="宋体" w:cs="宋体"/>
                <w:b/>
                <w:bCs/>
                <w:kern w:val="0"/>
                <w:sz w:val="24"/>
              </w:rPr>
            </w:pPr>
            <w:r>
              <w:rPr>
                <w:rFonts w:hint="eastAsia" w:ascii="宋体" w:hAnsi="宋体" w:cs="宋体"/>
                <w:b/>
                <w:bCs/>
                <w:kern w:val="0"/>
                <w:sz w:val="24"/>
              </w:rPr>
              <w:t>湖北省的要求</w:t>
            </w:r>
          </w:p>
        </w:tc>
        <w:tc>
          <w:tcPr>
            <w:tcW w:w="922" w:type="dxa"/>
            <w:tcBorders>
              <w:top w:val="single" w:color="auto" w:sz="4" w:space="0"/>
              <w:left w:val="nil"/>
              <w:bottom w:val="single" w:color="auto" w:sz="4" w:space="0"/>
              <w:right w:val="single" w:color="auto" w:sz="4" w:space="0"/>
            </w:tcBorders>
            <w:vAlign w:val="center"/>
          </w:tcPr>
          <w:p>
            <w:pPr>
              <w:jc w:val="center"/>
              <w:rPr>
                <w:sz w:val="24"/>
              </w:rPr>
            </w:pPr>
            <w:r>
              <w:rPr>
                <w:rFonts w:hint="eastAsia" w:ascii="宋体" w:hAnsi="宋体" w:cs="宋体"/>
                <w:bCs/>
                <w:kern w:val="0"/>
                <w:sz w:val="24"/>
              </w:rPr>
              <w:t>100</w:t>
            </w:r>
          </w:p>
        </w:tc>
        <w:tc>
          <w:tcPr>
            <w:tcW w:w="970"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bCs/>
                <w:kern w:val="0"/>
                <w:sz w:val="24"/>
              </w:rPr>
            </w:pPr>
            <w:r>
              <w:rPr>
                <w:rFonts w:hint="eastAsia" w:ascii="宋体" w:hAnsi="宋体" w:cs="宋体"/>
                <w:bCs/>
                <w:kern w:val="0"/>
                <w:sz w:val="24"/>
              </w:rPr>
              <w:t>85</w:t>
            </w:r>
          </w:p>
        </w:tc>
        <w:tc>
          <w:tcPr>
            <w:tcW w:w="976" w:type="dxa"/>
            <w:tcBorders>
              <w:top w:val="single" w:color="auto" w:sz="4" w:space="0"/>
              <w:left w:val="nil"/>
              <w:bottom w:val="single" w:color="auto" w:sz="4" w:space="0"/>
              <w:right w:val="single" w:color="auto" w:sz="4" w:space="0"/>
            </w:tcBorders>
            <w:vAlign w:val="center"/>
          </w:tcPr>
          <w:p>
            <w:pPr>
              <w:jc w:val="center"/>
              <w:rPr>
                <w:rFonts w:ascii="宋体" w:hAnsi="宋体"/>
                <w:szCs w:val="21"/>
              </w:rPr>
            </w:pPr>
            <w:r>
              <w:rPr>
                <w:rFonts w:hint="eastAsia" w:ascii="宋体" w:hAnsi="宋体"/>
              </w:rPr>
              <w:t>0.05</w:t>
            </w:r>
          </w:p>
        </w:tc>
        <w:tc>
          <w:tcPr>
            <w:tcW w:w="992"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bCs/>
                <w:sz w:val="24"/>
              </w:rPr>
            </w:pPr>
            <w:r>
              <w:rPr>
                <w:rFonts w:hint="eastAsia" w:ascii="宋体" w:hAnsi="宋体" w:cs="宋体"/>
                <w:bCs/>
                <w:sz w:val="24"/>
              </w:rPr>
              <w:t>4.25</w:t>
            </w:r>
          </w:p>
        </w:tc>
        <w:tc>
          <w:tcPr>
            <w:tcW w:w="1381"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bCs/>
                <w:sz w:val="24"/>
              </w:rPr>
            </w:pPr>
          </w:p>
        </w:tc>
      </w:tr>
      <w:tr>
        <w:tblPrEx>
          <w:tblCellMar>
            <w:top w:w="0" w:type="dxa"/>
            <w:left w:w="108" w:type="dxa"/>
            <w:bottom w:w="0" w:type="dxa"/>
            <w:right w:w="108" w:type="dxa"/>
          </w:tblCellMar>
        </w:tblPrEx>
        <w:trPr>
          <w:trHeight w:val="510" w:hRule="atLeast"/>
        </w:trPr>
        <w:tc>
          <w:tcPr>
            <w:tcW w:w="4159" w:type="dxa"/>
            <w:gridSpan w:val="2"/>
            <w:tcBorders>
              <w:top w:val="single" w:color="auto" w:sz="4" w:space="0"/>
              <w:left w:val="single" w:color="auto" w:sz="4" w:space="0"/>
              <w:bottom w:val="single" w:color="auto" w:sz="4" w:space="0"/>
              <w:right w:val="single" w:color="000000" w:sz="4" w:space="0"/>
            </w:tcBorders>
            <w:vAlign w:val="center"/>
          </w:tcPr>
          <w:p>
            <w:pPr>
              <w:widowControl/>
              <w:jc w:val="center"/>
              <w:rPr>
                <w:rFonts w:ascii="宋体" w:hAnsi="宋体" w:cs="宋体"/>
                <w:bCs/>
                <w:kern w:val="0"/>
                <w:sz w:val="24"/>
              </w:rPr>
            </w:pPr>
            <w:r>
              <w:rPr>
                <w:rFonts w:hint="eastAsia" w:ascii="宋体" w:hAnsi="宋体" w:cs="宋体"/>
                <w:bCs/>
                <w:kern w:val="0"/>
                <w:sz w:val="24"/>
              </w:rPr>
              <w:t>合   计</w:t>
            </w:r>
          </w:p>
        </w:tc>
        <w:tc>
          <w:tcPr>
            <w:tcW w:w="922" w:type="dxa"/>
            <w:tcBorders>
              <w:top w:val="nil"/>
              <w:left w:val="nil"/>
              <w:bottom w:val="single" w:color="auto" w:sz="4" w:space="0"/>
              <w:right w:val="single" w:color="auto" w:sz="4" w:space="0"/>
            </w:tcBorders>
            <w:vAlign w:val="center"/>
          </w:tcPr>
          <w:p>
            <w:pPr>
              <w:widowControl/>
              <w:jc w:val="center"/>
              <w:rPr>
                <w:rFonts w:ascii="宋体" w:hAnsi="宋体" w:cs="宋体"/>
                <w:bCs/>
                <w:kern w:val="0"/>
                <w:sz w:val="24"/>
              </w:rPr>
            </w:pPr>
            <w:r>
              <w:rPr>
                <w:rFonts w:ascii="宋体" w:hAnsi="宋体" w:cs="宋体"/>
                <w:bCs/>
                <w:kern w:val="0"/>
                <w:sz w:val="24"/>
              </w:rPr>
              <w:fldChar w:fldCharType="begin"/>
            </w:r>
            <w:r>
              <w:rPr>
                <w:rFonts w:hint="eastAsia" w:ascii="宋体" w:hAnsi="宋体" w:cs="宋体"/>
                <w:bCs/>
                <w:kern w:val="0"/>
                <w:sz w:val="24"/>
              </w:rPr>
              <w:instrText xml:space="preserve">=SUM(ABOVE)</w:instrText>
            </w:r>
            <w:r>
              <w:rPr>
                <w:rFonts w:ascii="宋体" w:hAnsi="宋体" w:cs="宋体"/>
                <w:bCs/>
                <w:kern w:val="0"/>
                <w:sz w:val="24"/>
              </w:rPr>
              <w:fldChar w:fldCharType="separate"/>
            </w:r>
            <w:r>
              <w:rPr>
                <w:rFonts w:ascii="宋体" w:hAnsi="宋体" w:cs="宋体"/>
                <w:bCs/>
                <w:kern w:val="0"/>
                <w:sz w:val="24"/>
              </w:rPr>
              <w:t>1200</w:t>
            </w:r>
            <w:r>
              <w:rPr>
                <w:rFonts w:ascii="宋体" w:hAnsi="宋体" w:cs="宋体"/>
                <w:bCs/>
                <w:kern w:val="0"/>
                <w:sz w:val="24"/>
              </w:rPr>
              <w:fldChar w:fldCharType="end"/>
            </w:r>
          </w:p>
        </w:tc>
        <w:tc>
          <w:tcPr>
            <w:tcW w:w="970" w:type="dxa"/>
            <w:tcBorders>
              <w:top w:val="nil"/>
              <w:left w:val="nil"/>
              <w:bottom w:val="single" w:color="auto" w:sz="4" w:space="0"/>
              <w:right w:val="single" w:color="auto" w:sz="4" w:space="0"/>
            </w:tcBorders>
            <w:vAlign w:val="center"/>
          </w:tcPr>
          <w:p>
            <w:pPr>
              <w:widowControl/>
              <w:jc w:val="center"/>
              <w:rPr>
                <w:rFonts w:hint="default" w:ascii="宋体" w:hAnsi="宋体" w:eastAsia="宋体" w:cs="宋体"/>
                <w:bCs/>
                <w:kern w:val="0"/>
                <w:sz w:val="24"/>
                <w:lang w:val="en-US" w:eastAsia="zh-CN"/>
              </w:rPr>
            </w:pPr>
            <w:r>
              <w:rPr>
                <w:rFonts w:hint="eastAsia" w:ascii="宋体" w:hAnsi="宋体" w:cs="宋体"/>
                <w:bCs/>
                <w:kern w:val="0"/>
                <w:sz w:val="24"/>
                <w:lang w:val="en-US" w:eastAsia="zh-CN"/>
              </w:rPr>
              <w:t>1013</w:t>
            </w:r>
          </w:p>
        </w:tc>
        <w:tc>
          <w:tcPr>
            <w:tcW w:w="976" w:type="dxa"/>
            <w:tcBorders>
              <w:top w:val="nil"/>
              <w:left w:val="nil"/>
              <w:bottom w:val="single" w:color="auto" w:sz="4" w:space="0"/>
              <w:right w:val="single" w:color="auto" w:sz="4" w:space="0"/>
            </w:tcBorders>
            <w:vAlign w:val="center"/>
          </w:tcPr>
          <w:p>
            <w:pPr>
              <w:widowControl/>
              <w:jc w:val="center"/>
              <w:rPr>
                <w:rFonts w:ascii="宋体" w:hAnsi="宋体" w:cs="宋体"/>
                <w:bCs/>
                <w:kern w:val="0"/>
                <w:sz w:val="24"/>
              </w:rPr>
            </w:pPr>
            <w:r>
              <w:rPr>
                <w:rFonts w:ascii="宋体" w:hAnsi="宋体" w:cs="宋体"/>
                <w:bCs/>
                <w:kern w:val="0"/>
                <w:sz w:val="24"/>
              </w:rPr>
              <w:fldChar w:fldCharType="begin"/>
            </w:r>
            <w:r>
              <w:rPr>
                <w:rFonts w:hint="eastAsia" w:ascii="宋体" w:hAnsi="宋体" w:cs="宋体"/>
                <w:bCs/>
                <w:kern w:val="0"/>
                <w:sz w:val="24"/>
              </w:rPr>
              <w:instrText xml:space="preserve">=SUM(ABOVE)</w:instrText>
            </w:r>
            <w:r>
              <w:rPr>
                <w:rFonts w:ascii="宋体" w:hAnsi="宋体" w:cs="宋体"/>
                <w:bCs/>
                <w:kern w:val="0"/>
                <w:sz w:val="24"/>
              </w:rPr>
              <w:fldChar w:fldCharType="separate"/>
            </w:r>
            <w:r>
              <w:rPr>
                <w:rFonts w:ascii="宋体" w:hAnsi="宋体" w:cs="宋体"/>
                <w:bCs/>
                <w:kern w:val="0"/>
                <w:sz w:val="24"/>
              </w:rPr>
              <w:t>1</w:t>
            </w:r>
            <w:r>
              <w:rPr>
                <w:rFonts w:ascii="宋体" w:hAnsi="宋体" w:cs="宋体"/>
                <w:bCs/>
                <w:kern w:val="0"/>
                <w:sz w:val="24"/>
              </w:rPr>
              <w:fldChar w:fldCharType="end"/>
            </w:r>
          </w:p>
        </w:tc>
        <w:tc>
          <w:tcPr>
            <w:tcW w:w="992" w:type="dxa"/>
            <w:tcBorders>
              <w:top w:val="nil"/>
              <w:left w:val="nil"/>
              <w:bottom w:val="single" w:color="auto" w:sz="4" w:space="0"/>
              <w:right w:val="single" w:color="auto" w:sz="4" w:space="0"/>
            </w:tcBorders>
            <w:vAlign w:val="center"/>
          </w:tcPr>
          <w:p>
            <w:pPr>
              <w:widowControl/>
              <w:jc w:val="center"/>
              <w:rPr>
                <w:rFonts w:hint="default" w:ascii="宋体" w:hAnsi="宋体" w:eastAsia="宋体" w:cs="宋体"/>
                <w:bCs/>
                <w:kern w:val="0"/>
                <w:sz w:val="24"/>
                <w:lang w:val="en-US" w:eastAsia="zh-CN"/>
              </w:rPr>
            </w:pPr>
            <w:r>
              <w:rPr>
                <w:rFonts w:hint="eastAsia" w:ascii="宋体" w:hAnsi="宋体" w:cs="宋体"/>
                <w:bCs/>
                <w:kern w:val="0"/>
                <w:sz w:val="24"/>
                <w:lang w:val="en-US" w:eastAsia="zh-CN"/>
              </w:rPr>
              <w:t>87.34</w:t>
            </w:r>
          </w:p>
        </w:tc>
        <w:tc>
          <w:tcPr>
            <w:tcW w:w="1381" w:type="dxa"/>
            <w:tcBorders>
              <w:top w:val="nil"/>
              <w:left w:val="nil"/>
              <w:bottom w:val="single" w:color="auto" w:sz="4" w:space="0"/>
              <w:right w:val="single" w:color="auto" w:sz="4" w:space="0"/>
            </w:tcBorders>
            <w:vAlign w:val="center"/>
          </w:tcPr>
          <w:p>
            <w:pPr>
              <w:widowControl/>
              <w:jc w:val="center"/>
              <w:rPr>
                <w:rFonts w:ascii="宋体" w:hAnsi="宋体" w:cs="宋体"/>
                <w:bCs/>
                <w:sz w:val="24"/>
              </w:rPr>
            </w:pPr>
          </w:p>
        </w:tc>
      </w:tr>
    </w:tbl>
    <w:p>
      <w:pPr>
        <w:widowControl/>
        <w:jc w:val="left"/>
        <w:rPr>
          <w:rFonts w:ascii="宋体" w:hAnsi="宋体" w:cs="宋体"/>
          <w:b/>
          <w:kern w:val="0"/>
          <w:sz w:val="24"/>
        </w:rPr>
      </w:pPr>
    </w:p>
    <w:p>
      <w:pPr>
        <w:adjustRightInd w:val="0"/>
        <w:snapToGrid w:val="0"/>
        <w:spacing w:line="300" w:lineRule="auto"/>
        <w:rPr>
          <w:rFonts w:ascii="宋体" w:hAnsi="宋体"/>
          <w:b/>
          <w:bCs/>
          <w:kern w:val="0"/>
          <w:sz w:val="24"/>
        </w:rPr>
        <w:sectPr>
          <w:pgSz w:w="11906" w:h="16838"/>
          <w:pgMar w:top="1134" w:right="1134" w:bottom="1134" w:left="1134" w:header="851" w:footer="992" w:gutter="0"/>
          <w:cols w:space="720" w:num="1"/>
          <w:titlePg/>
          <w:docGrid w:type="lines" w:linePitch="312" w:charSpace="0"/>
        </w:sectPr>
      </w:pPr>
    </w:p>
    <w:p>
      <w:pPr>
        <w:pStyle w:val="2"/>
        <w:spacing w:before="0" w:after="0" w:line="25" w:lineRule="atLeast"/>
        <w:rPr>
          <w:rFonts w:ascii="宋体" w:hAnsi="宋体"/>
          <w:sz w:val="30"/>
          <w:szCs w:val="30"/>
        </w:rPr>
      </w:pPr>
      <w:bookmarkStart w:id="193" w:name="_Toc27797"/>
      <w:bookmarkStart w:id="194" w:name="_Toc18997"/>
      <w:r>
        <w:rPr>
          <w:rFonts w:hint="eastAsia" w:ascii="宋体" w:hAnsi="宋体"/>
          <w:sz w:val="30"/>
          <w:szCs w:val="30"/>
        </w:rPr>
        <w:t>七、整改及核查</w:t>
      </w:r>
      <w:bookmarkEnd w:id="193"/>
      <w:bookmarkEnd w:id="194"/>
    </w:p>
    <w:p>
      <w:pPr>
        <w:widowControl/>
        <w:numPr>
          <w:ilvl w:val="0"/>
          <w:numId w:val="8"/>
        </w:numPr>
        <w:spacing w:line="540" w:lineRule="exact"/>
        <w:ind w:firstLine="482" w:firstLineChars="200"/>
        <w:rPr>
          <w:rFonts w:ascii="宋体" w:hAnsi="宋体"/>
          <w:kern w:val="0"/>
          <w:sz w:val="24"/>
        </w:rPr>
      </w:pPr>
      <w:r>
        <w:rPr>
          <w:rFonts w:hint="eastAsia" w:ascii="宋体" w:hAnsi="宋体"/>
          <w:b/>
          <w:bCs/>
          <w:kern w:val="0"/>
          <w:sz w:val="24"/>
        </w:rPr>
        <w:t>自评现场不符合项目整改情况</w:t>
      </w:r>
    </w:p>
    <w:p>
      <w:pPr>
        <w:widowControl/>
        <w:spacing w:line="300" w:lineRule="auto"/>
        <w:ind w:firstLine="480" w:firstLineChars="200"/>
        <w:rPr>
          <w:rFonts w:ascii="宋体" w:hAnsi="宋体"/>
          <w:kern w:val="0"/>
          <w:sz w:val="24"/>
        </w:rPr>
      </w:pPr>
      <w:r>
        <w:rPr>
          <w:rFonts w:hint="eastAsia" w:ascii="宋体" w:hAnsi="宋体"/>
          <w:kern w:val="0"/>
          <w:sz w:val="24"/>
        </w:rPr>
        <w:t>公司在自评过程中，对发现的立即整改项，安排各部门、各车间按照整改措施立即整改，十天内将整改情况汇报给</w:t>
      </w:r>
      <w:r>
        <w:rPr>
          <w:rFonts w:hint="eastAsia" w:ascii="宋体" w:hAnsi="宋体"/>
          <w:color w:val="auto"/>
          <w:kern w:val="0"/>
          <w:sz w:val="24"/>
        </w:rPr>
        <w:t>安环部，安环部</w:t>
      </w:r>
      <w:r>
        <w:rPr>
          <w:rFonts w:hint="eastAsia" w:ascii="宋体" w:hAnsi="宋体"/>
          <w:kern w:val="0"/>
          <w:sz w:val="24"/>
        </w:rPr>
        <w:t xml:space="preserve">将立即安排专人对整改情况进行复核。详情见下表和附件6。 </w:t>
      </w:r>
    </w:p>
    <w:p>
      <w:pPr>
        <w:widowControl/>
        <w:snapToGrid w:val="0"/>
        <w:spacing w:line="300" w:lineRule="auto"/>
        <w:ind w:right="-94"/>
        <w:jc w:val="center"/>
        <w:rPr>
          <w:sz w:val="44"/>
          <w:szCs w:val="44"/>
        </w:rPr>
      </w:pPr>
      <w:r>
        <w:rPr>
          <w:rFonts w:hint="eastAsia"/>
          <w:sz w:val="44"/>
          <w:szCs w:val="44"/>
        </w:rPr>
        <w:t>现场不符合项清单</w:t>
      </w:r>
    </w:p>
    <w:tbl>
      <w:tblPr>
        <w:tblStyle w:val="24"/>
        <w:tblW w:w="8726" w:type="dxa"/>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02"/>
        <w:gridCol w:w="3263"/>
        <w:gridCol w:w="2923"/>
        <w:gridCol w:w="1134"/>
        <w:gridCol w:w="90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87" w:hRule="atLeast"/>
        </w:trPr>
        <w:tc>
          <w:tcPr>
            <w:tcW w:w="502" w:type="dxa"/>
            <w:tcBorders>
              <w:tl2br w:val="single" w:color="000000" w:sz="6" w:space="0"/>
            </w:tcBorders>
            <w:noWrap/>
            <w:vAlign w:val="center"/>
          </w:tcPr>
          <w:p>
            <w:pPr>
              <w:tabs>
                <w:tab w:val="left" w:pos="900"/>
              </w:tabs>
              <w:jc w:val="center"/>
              <w:rPr>
                <w:rFonts w:ascii="宋体" w:hAnsi="宋体" w:cs="宋体"/>
                <w:b/>
                <w:bCs/>
                <w:szCs w:val="21"/>
              </w:rPr>
            </w:pPr>
            <w:r>
              <w:rPr>
                <w:rFonts w:hint="eastAsia" w:ascii="宋体" w:hAnsi="宋体" w:cs="宋体"/>
                <w:b/>
                <w:bCs/>
                <w:szCs w:val="21"/>
              </w:rPr>
              <w:t>序号</w:t>
            </w:r>
          </w:p>
        </w:tc>
        <w:tc>
          <w:tcPr>
            <w:tcW w:w="3263" w:type="dxa"/>
            <w:noWrap/>
            <w:vAlign w:val="center"/>
          </w:tcPr>
          <w:p>
            <w:pPr>
              <w:tabs>
                <w:tab w:val="left" w:pos="900"/>
              </w:tabs>
              <w:jc w:val="center"/>
              <w:rPr>
                <w:rFonts w:ascii="宋体" w:hAnsi="宋体" w:cs="宋体"/>
                <w:b/>
                <w:bCs/>
                <w:szCs w:val="21"/>
              </w:rPr>
            </w:pPr>
            <w:r>
              <w:rPr>
                <w:rFonts w:hint="eastAsia" w:ascii="宋体" w:hAnsi="宋体" w:cs="宋体"/>
                <w:b/>
                <w:bCs/>
                <w:szCs w:val="21"/>
              </w:rPr>
              <w:t>不符合项原因说明</w:t>
            </w:r>
          </w:p>
        </w:tc>
        <w:tc>
          <w:tcPr>
            <w:tcW w:w="2923" w:type="dxa"/>
            <w:noWrap/>
            <w:vAlign w:val="center"/>
          </w:tcPr>
          <w:p>
            <w:pPr>
              <w:tabs>
                <w:tab w:val="left" w:pos="900"/>
              </w:tabs>
              <w:jc w:val="center"/>
              <w:rPr>
                <w:rFonts w:ascii="宋体" w:hAnsi="宋体" w:cs="宋体"/>
                <w:b/>
                <w:bCs/>
                <w:szCs w:val="21"/>
              </w:rPr>
            </w:pPr>
            <w:r>
              <w:rPr>
                <w:rFonts w:hint="eastAsia" w:ascii="宋体" w:hAnsi="宋体" w:cs="宋体"/>
                <w:b/>
                <w:bCs/>
                <w:szCs w:val="21"/>
              </w:rPr>
              <w:t>整改要求</w:t>
            </w:r>
          </w:p>
        </w:tc>
        <w:tc>
          <w:tcPr>
            <w:tcW w:w="1134" w:type="dxa"/>
            <w:noWrap/>
            <w:vAlign w:val="center"/>
          </w:tcPr>
          <w:p>
            <w:pPr>
              <w:tabs>
                <w:tab w:val="left" w:pos="900"/>
              </w:tabs>
              <w:jc w:val="center"/>
              <w:rPr>
                <w:rFonts w:ascii="宋体" w:hAnsi="宋体" w:cs="宋体"/>
                <w:b/>
                <w:bCs/>
                <w:szCs w:val="21"/>
              </w:rPr>
            </w:pPr>
            <w:r>
              <w:rPr>
                <w:rFonts w:hint="eastAsia" w:ascii="宋体" w:hAnsi="宋体" w:cs="宋体"/>
                <w:b/>
                <w:bCs/>
                <w:szCs w:val="21"/>
              </w:rPr>
              <w:t>整改类别</w:t>
            </w:r>
          </w:p>
        </w:tc>
        <w:tc>
          <w:tcPr>
            <w:tcW w:w="904" w:type="dxa"/>
            <w:noWrap/>
            <w:vAlign w:val="center"/>
          </w:tcPr>
          <w:p>
            <w:pPr>
              <w:tabs>
                <w:tab w:val="left" w:pos="900"/>
              </w:tabs>
              <w:jc w:val="center"/>
              <w:rPr>
                <w:rFonts w:ascii="宋体" w:hAnsi="宋体" w:cs="宋体"/>
                <w:b/>
                <w:bCs/>
                <w:i/>
                <w:iCs/>
                <w:szCs w:val="21"/>
              </w:rPr>
            </w:pPr>
            <w:r>
              <w:rPr>
                <w:rFonts w:hint="eastAsia" w:ascii="宋体" w:hAnsi="宋体" w:cs="宋体"/>
                <w:b/>
                <w:bCs/>
                <w:i/>
                <w:iCs/>
                <w:szCs w:val="21"/>
              </w:rPr>
              <w:t>备注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70" w:hRule="atLeast"/>
        </w:trPr>
        <w:tc>
          <w:tcPr>
            <w:tcW w:w="502" w:type="dxa"/>
            <w:noWrap/>
            <w:vAlign w:val="center"/>
          </w:tcPr>
          <w:p>
            <w:pPr>
              <w:numPr>
                <w:ilvl w:val="0"/>
                <w:numId w:val="9"/>
              </w:numPr>
              <w:spacing w:line="300" w:lineRule="exact"/>
              <w:rPr>
                <w:rFonts w:ascii="宋体" w:hAnsi="宋体" w:cs="宋体"/>
                <w:sz w:val="18"/>
                <w:szCs w:val="18"/>
              </w:rPr>
            </w:pPr>
          </w:p>
        </w:tc>
        <w:tc>
          <w:tcPr>
            <w:tcW w:w="3263" w:type="dxa"/>
            <w:noWrap/>
            <w:vAlign w:val="center"/>
          </w:tcPr>
          <w:p>
            <w:pPr>
              <w:spacing w:line="300" w:lineRule="exact"/>
              <w:rPr>
                <w:rFonts w:hint="eastAsia" w:ascii="宋体" w:hAnsi="宋体" w:eastAsia="宋体" w:cs="宋体"/>
                <w:bCs/>
                <w:sz w:val="18"/>
                <w:szCs w:val="18"/>
              </w:rPr>
            </w:pPr>
            <w:r>
              <w:rPr>
                <w:rFonts w:hint="default" w:ascii="宋体" w:hAnsi="宋体" w:eastAsia="宋体" w:cs="宋体"/>
                <w:bCs/>
                <w:sz w:val="18"/>
                <w:szCs w:val="18"/>
                <w:lang w:val="en-US" w:eastAsia="zh-CN"/>
              </w:rPr>
              <w:t>部分设备标识不清楚，不易于识别</w:t>
            </w:r>
          </w:p>
        </w:tc>
        <w:tc>
          <w:tcPr>
            <w:tcW w:w="2923" w:type="dxa"/>
            <w:noWrap/>
            <w:vAlign w:val="center"/>
          </w:tcPr>
          <w:p>
            <w:pPr>
              <w:spacing w:line="300" w:lineRule="exact"/>
              <w:rPr>
                <w:rFonts w:ascii="宋体" w:hAnsi="宋体" w:cs="宋体"/>
                <w:bCs/>
                <w:sz w:val="18"/>
                <w:szCs w:val="18"/>
              </w:rPr>
            </w:pPr>
            <w:r>
              <w:rPr>
                <w:rFonts w:hint="eastAsia" w:ascii="宋体" w:hAnsi="宋体" w:eastAsia="宋体" w:cs="宋体"/>
                <w:bCs/>
                <w:sz w:val="18"/>
                <w:szCs w:val="18"/>
                <w:lang w:val="en-US" w:eastAsia="zh-CN"/>
              </w:rPr>
              <w:t>对车间部分及时更换设备标识</w:t>
            </w:r>
          </w:p>
        </w:tc>
        <w:tc>
          <w:tcPr>
            <w:tcW w:w="1134" w:type="dxa"/>
            <w:noWrap/>
            <w:vAlign w:val="center"/>
          </w:tcPr>
          <w:p>
            <w:pPr>
              <w:spacing w:line="300" w:lineRule="exact"/>
              <w:rPr>
                <w:rFonts w:ascii="宋体" w:hAnsi="宋体" w:cs="宋体"/>
                <w:sz w:val="18"/>
                <w:szCs w:val="18"/>
              </w:rPr>
            </w:pPr>
            <w:r>
              <w:rPr>
                <w:rFonts w:hint="eastAsia" w:ascii="宋体" w:hAnsi="宋体" w:cs="宋体"/>
                <w:sz w:val="18"/>
                <w:szCs w:val="18"/>
              </w:rPr>
              <w:t>限期整改</w:t>
            </w:r>
          </w:p>
        </w:tc>
        <w:tc>
          <w:tcPr>
            <w:tcW w:w="904" w:type="dxa"/>
            <w:noWrap/>
          </w:tcPr>
          <w:p>
            <w:pPr>
              <w:spacing w:line="300" w:lineRule="exact"/>
              <w:jc w:val="center"/>
              <w:rPr>
                <w:rFonts w:ascii="宋体" w:hAnsi="宋体" w:cs="宋体"/>
                <w:i/>
                <w:iCs/>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70" w:hRule="atLeast"/>
        </w:trPr>
        <w:tc>
          <w:tcPr>
            <w:tcW w:w="502" w:type="dxa"/>
            <w:noWrap/>
            <w:vAlign w:val="center"/>
          </w:tcPr>
          <w:p>
            <w:pPr>
              <w:numPr>
                <w:ilvl w:val="0"/>
                <w:numId w:val="9"/>
              </w:numPr>
              <w:spacing w:line="300" w:lineRule="exact"/>
              <w:rPr>
                <w:rFonts w:ascii="宋体" w:hAnsi="宋体" w:cs="宋体"/>
                <w:sz w:val="18"/>
                <w:szCs w:val="18"/>
              </w:rPr>
            </w:pPr>
          </w:p>
        </w:tc>
        <w:tc>
          <w:tcPr>
            <w:tcW w:w="3263" w:type="dxa"/>
            <w:noWrap/>
            <w:vAlign w:val="center"/>
          </w:tcPr>
          <w:p>
            <w:pPr>
              <w:widowControl/>
              <w:snapToGrid w:val="0"/>
              <w:spacing w:line="300" w:lineRule="auto"/>
              <w:ind w:right="-94"/>
              <w:rPr>
                <w:rFonts w:ascii="宋体" w:hAnsi="宋体" w:cs="宋体"/>
                <w:bCs/>
                <w:sz w:val="18"/>
                <w:szCs w:val="18"/>
              </w:rPr>
            </w:pPr>
            <w:r>
              <w:rPr>
                <w:rFonts w:hint="default" w:ascii="宋体" w:hAnsi="宋体" w:eastAsia="宋体" w:cs="宋体"/>
                <w:bCs/>
                <w:sz w:val="18"/>
                <w:szCs w:val="18"/>
                <w:lang w:val="en-US" w:eastAsia="zh-CN"/>
              </w:rPr>
              <w:t>管道介质标识褪色看不清，不易识别</w:t>
            </w:r>
            <w:r>
              <w:rPr>
                <w:rFonts w:hint="eastAsia" w:ascii="宋体" w:hAnsi="宋体" w:eastAsia="宋体" w:cs="宋体"/>
                <w:bCs/>
                <w:sz w:val="18"/>
                <w:szCs w:val="18"/>
              </w:rPr>
              <w:t>。</w:t>
            </w:r>
          </w:p>
        </w:tc>
        <w:tc>
          <w:tcPr>
            <w:tcW w:w="2923" w:type="dxa"/>
            <w:noWrap/>
            <w:vAlign w:val="center"/>
          </w:tcPr>
          <w:p>
            <w:pPr>
              <w:spacing w:line="300" w:lineRule="exact"/>
              <w:rPr>
                <w:rFonts w:hint="eastAsia" w:ascii="宋体" w:hAnsi="宋体" w:eastAsia="宋体" w:cs="宋体"/>
                <w:bCs/>
                <w:sz w:val="18"/>
                <w:szCs w:val="18"/>
                <w:lang w:val="en-US" w:eastAsia="zh-CN"/>
              </w:rPr>
            </w:pPr>
            <w:r>
              <w:rPr>
                <w:rFonts w:hint="eastAsia" w:ascii="宋体" w:hAnsi="宋体" w:eastAsia="宋体" w:cs="宋体"/>
                <w:bCs/>
                <w:sz w:val="18"/>
                <w:szCs w:val="18"/>
                <w:lang w:val="en-US" w:eastAsia="zh-CN"/>
              </w:rPr>
              <w:t>对车间管道从新涂刷安全色，标注管道内介质名称及流向</w:t>
            </w:r>
          </w:p>
        </w:tc>
        <w:tc>
          <w:tcPr>
            <w:tcW w:w="1134" w:type="dxa"/>
            <w:noWrap/>
            <w:vAlign w:val="center"/>
          </w:tcPr>
          <w:p>
            <w:pPr>
              <w:spacing w:line="300" w:lineRule="exact"/>
              <w:rPr>
                <w:rFonts w:ascii="宋体" w:hAnsi="宋体" w:cs="宋体"/>
                <w:sz w:val="18"/>
                <w:szCs w:val="18"/>
              </w:rPr>
            </w:pPr>
            <w:r>
              <w:rPr>
                <w:rFonts w:hint="eastAsia" w:ascii="宋体" w:hAnsi="宋体" w:cs="宋体"/>
                <w:sz w:val="18"/>
                <w:szCs w:val="18"/>
              </w:rPr>
              <w:t>限期整改</w:t>
            </w:r>
          </w:p>
        </w:tc>
        <w:tc>
          <w:tcPr>
            <w:tcW w:w="904" w:type="dxa"/>
            <w:noWrap/>
          </w:tcPr>
          <w:p>
            <w:pPr>
              <w:spacing w:line="300" w:lineRule="exact"/>
              <w:jc w:val="center"/>
              <w:rPr>
                <w:rFonts w:ascii="宋体" w:hAnsi="宋体" w:cs="宋体"/>
                <w:i/>
                <w:iCs/>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70" w:hRule="atLeast"/>
        </w:trPr>
        <w:tc>
          <w:tcPr>
            <w:tcW w:w="502" w:type="dxa"/>
            <w:noWrap/>
            <w:vAlign w:val="center"/>
          </w:tcPr>
          <w:p>
            <w:pPr>
              <w:numPr>
                <w:ilvl w:val="0"/>
                <w:numId w:val="9"/>
              </w:numPr>
              <w:spacing w:line="300" w:lineRule="exact"/>
              <w:rPr>
                <w:rFonts w:ascii="宋体" w:hAnsi="宋体" w:cs="宋体"/>
                <w:sz w:val="18"/>
                <w:szCs w:val="18"/>
              </w:rPr>
            </w:pPr>
          </w:p>
        </w:tc>
        <w:tc>
          <w:tcPr>
            <w:tcW w:w="3263" w:type="dxa"/>
            <w:noWrap/>
            <w:vAlign w:val="center"/>
          </w:tcPr>
          <w:p>
            <w:pPr>
              <w:widowControl/>
              <w:snapToGrid w:val="0"/>
              <w:spacing w:line="300" w:lineRule="auto"/>
              <w:ind w:right="-94"/>
              <w:rPr>
                <w:rFonts w:ascii="宋体" w:hAnsi="宋体" w:cs="宋体"/>
                <w:bCs/>
                <w:sz w:val="18"/>
                <w:szCs w:val="18"/>
              </w:rPr>
            </w:pPr>
            <w:r>
              <w:rPr>
                <w:rFonts w:hint="eastAsia" w:ascii="宋体" w:hAnsi="宋体" w:eastAsia="宋体" w:cs="宋体"/>
                <w:bCs/>
                <w:sz w:val="18"/>
                <w:szCs w:val="18"/>
                <w:lang w:val="en-US" w:eastAsia="zh-CN"/>
              </w:rPr>
              <w:t>洗眼器喷淋</w:t>
            </w:r>
            <w:r>
              <w:rPr>
                <w:rFonts w:hint="eastAsia" w:ascii="宋体" w:hAnsi="宋体" w:cs="宋体"/>
                <w:bCs/>
                <w:sz w:val="18"/>
                <w:szCs w:val="18"/>
                <w:lang w:val="en-US" w:eastAsia="zh-CN"/>
              </w:rPr>
              <w:t>装置</w:t>
            </w:r>
            <w:r>
              <w:rPr>
                <w:rFonts w:hint="eastAsia" w:ascii="宋体" w:hAnsi="宋体" w:eastAsia="宋体" w:cs="宋体"/>
                <w:bCs/>
                <w:sz w:val="18"/>
                <w:szCs w:val="18"/>
                <w:lang w:val="en-US" w:eastAsia="zh-CN"/>
              </w:rPr>
              <w:t>拉杆损坏</w:t>
            </w:r>
            <w:r>
              <w:rPr>
                <w:rFonts w:hint="eastAsia" w:ascii="宋体" w:hAnsi="宋体" w:eastAsia="宋体" w:cs="宋体"/>
                <w:bCs/>
                <w:sz w:val="18"/>
                <w:szCs w:val="18"/>
              </w:rPr>
              <w:t>。</w:t>
            </w:r>
          </w:p>
        </w:tc>
        <w:tc>
          <w:tcPr>
            <w:tcW w:w="2923" w:type="dxa"/>
            <w:noWrap/>
            <w:vAlign w:val="center"/>
          </w:tcPr>
          <w:p>
            <w:pPr>
              <w:spacing w:line="300" w:lineRule="exact"/>
              <w:rPr>
                <w:rFonts w:hint="eastAsia" w:ascii="宋体" w:hAnsi="宋体" w:eastAsia="宋体" w:cs="宋体"/>
                <w:bCs/>
                <w:sz w:val="18"/>
                <w:szCs w:val="18"/>
                <w:lang w:val="en-US" w:eastAsia="zh-CN"/>
              </w:rPr>
            </w:pPr>
            <w:r>
              <w:rPr>
                <w:rFonts w:hint="eastAsia" w:ascii="宋体" w:hAnsi="宋体" w:eastAsia="宋体" w:cs="宋体"/>
                <w:bCs/>
                <w:sz w:val="18"/>
                <w:szCs w:val="18"/>
                <w:lang w:val="en-US" w:eastAsia="zh-CN"/>
              </w:rPr>
              <w:t>修复损坏的喷淋装置，安装拉杆装置</w:t>
            </w:r>
          </w:p>
        </w:tc>
        <w:tc>
          <w:tcPr>
            <w:tcW w:w="1134" w:type="dxa"/>
            <w:noWrap/>
            <w:vAlign w:val="center"/>
          </w:tcPr>
          <w:p>
            <w:pPr>
              <w:spacing w:line="300" w:lineRule="exact"/>
              <w:rPr>
                <w:rFonts w:ascii="宋体" w:hAnsi="宋体" w:cs="宋体"/>
                <w:sz w:val="18"/>
                <w:szCs w:val="18"/>
              </w:rPr>
            </w:pPr>
            <w:r>
              <w:rPr>
                <w:rFonts w:hint="eastAsia" w:ascii="宋体" w:hAnsi="宋体" w:cs="宋体"/>
                <w:sz w:val="18"/>
                <w:szCs w:val="18"/>
              </w:rPr>
              <w:t>限期整改</w:t>
            </w:r>
          </w:p>
        </w:tc>
        <w:tc>
          <w:tcPr>
            <w:tcW w:w="904" w:type="dxa"/>
            <w:noWrap/>
          </w:tcPr>
          <w:p>
            <w:pPr>
              <w:spacing w:line="300" w:lineRule="exact"/>
              <w:jc w:val="center"/>
              <w:rPr>
                <w:rFonts w:ascii="宋体" w:hAnsi="宋体" w:cs="宋体"/>
                <w:i/>
                <w:iCs/>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70" w:hRule="atLeast"/>
        </w:trPr>
        <w:tc>
          <w:tcPr>
            <w:tcW w:w="502" w:type="dxa"/>
            <w:noWrap/>
            <w:vAlign w:val="center"/>
          </w:tcPr>
          <w:p>
            <w:pPr>
              <w:numPr>
                <w:ilvl w:val="0"/>
                <w:numId w:val="9"/>
              </w:numPr>
              <w:spacing w:line="300" w:lineRule="exact"/>
              <w:rPr>
                <w:rFonts w:ascii="宋体" w:hAnsi="宋体" w:cs="宋体"/>
                <w:sz w:val="18"/>
                <w:szCs w:val="18"/>
              </w:rPr>
            </w:pPr>
          </w:p>
        </w:tc>
        <w:tc>
          <w:tcPr>
            <w:tcW w:w="3263" w:type="dxa"/>
            <w:noWrap/>
            <w:vAlign w:val="center"/>
          </w:tcPr>
          <w:p>
            <w:pPr>
              <w:spacing w:line="300" w:lineRule="exact"/>
              <w:rPr>
                <w:rFonts w:ascii="宋体" w:hAnsi="宋体" w:cs="宋体"/>
                <w:bCs/>
                <w:sz w:val="18"/>
                <w:szCs w:val="18"/>
              </w:rPr>
            </w:pPr>
            <w:r>
              <w:rPr>
                <w:rFonts w:hint="eastAsia" w:ascii="宋体" w:hAnsi="宋体" w:cs="宋体"/>
                <w:bCs/>
                <w:sz w:val="18"/>
                <w:szCs w:val="18"/>
              </w:rPr>
              <w:t>车间氯化釜部分腐蚀严重</w:t>
            </w:r>
          </w:p>
        </w:tc>
        <w:tc>
          <w:tcPr>
            <w:tcW w:w="2923" w:type="dxa"/>
            <w:noWrap/>
            <w:vAlign w:val="center"/>
          </w:tcPr>
          <w:p>
            <w:pPr>
              <w:spacing w:line="300" w:lineRule="exact"/>
              <w:rPr>
                <w:rFonts w:hint="eastAsia" w:ascii="宋体" w:hAnsi="宋体" w:eastAsia="宋体" w:cs="宋体"/>
                <w:bCs/>
                <w:sz w:val="18"/>
                <w:szCs w:val="18"/>
                <w:lang w:val="en-US" w:eastAsia="zh-CN"/>
              </w:rPr>
            </w:pPr>
            <w:r>
              <w:rPr>
                <w:rFonts w:hint="eastAsia" w:ascii="宋体" w:hAnsi="宋体" w:eastAsia="宋体" w:cs="宋体"/>
                <w:bCs/>
                <w:sz w:val="18"/>
                <w:szCs w:val="18"/>
                <w:lang w:val="en-US" w:eastAsia="zh-CN"/>
              </w:rPr>
              <w:t>对腐蚀严重的部位除锈防腐</w:t>
            </w:r>
          </w:p>
        </w:tc>
        <w:tc>
          <w:tcPr>
            <w:tcW w:w="1134" w:type="dxa"/>
            <w:noWrap/>
            <w:vAlign w:val="center"/>
          </w:tcPr>
          <w:p>
            <w:pPr>
              <w:spacing w:line="300" w:lineRule="exact"/>
              <w:rPr>
                <w:rFonts w:ascii="宋体" w:hAnsi="宋体" w:cs="宋体"/>
                <w:sz w:val="18"/>
                <w:szCs w:val="18"/>
              </w:rPr>
            </w:pPr>
            <w:r>
              <w:rPr>
                <w:rFonts w:hint="eastAsia" w:ascii="宋体" w:hAnsi="宋体" w:cs="宋体"/>
                <w:sz w:val="18"/>
                <w:szCs w:val="18"/>
              </w:rPr>
              <w:t>限期整改</w:t>
            </w:r>
          </w:p>
        </w:tc>
        <w:tc>
          <w:tcPr>
            <w:tcW w:w="904" w:type="dxa"/>
            <w:noWrap/>
          </w:tcPr>
          <w:p>
            <w:pPr>
              <w:spacing w:line="300" w:lineRule="exact"/>
              <w:jc w:val="center"/>
              <w:rPr>
                <w:rFonts w:ascii="宋体" w:hAnsi="宋体" w:cs="宋体"/>
                <w:i/>
                <w:iCs/>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70" w:hRule="atLeast"/>
        </w:trPr>
        <w:tc>
          <w:tcPr>
            <w:tcW w:w="502" w:type="dxa"/>
            <w:noWrap/>
            <w:vAlign w:val="center"/>
          </w:tcPr>
          <w:p>
            <w:pPr>
              <w:numPr>
                <w:ilvl w:val="0"/>
                <w:numId w:val="9"/>
              </w:numPr>
              <w:spacing w:line="300" w:lineRule="exact"/>
              <w:rPr>
                <w:rFonts w:ascii="宋体" w:hAnsi="宋体" w:cs="宋体"/>
                <w:sz w:val="18"/>
                <w:szCs w:val="18"/>
              </w:rPr>
            </w:pPr>
          </w:p>
        </w:tc>
        <w:tc>
          <w:tcPr>
            <w:tcW w:w="3263" w:type="dxa"/>
            <w:noWrap/>
            <w:vAlign w:val="center"/>
          </w:tcPr>
          <w:p>
            <w:pPr>
              <w:spacing w:line="300" w:lineRule="exact"/>
              <w:rPr>
                <w:rFonts w:ascii="宋体" w:hAnsi="宋体" w:cs="宋体"/>
                <w:bCs/>
                <w:sz w:val="18"/>
                <w:szCs w:val="18"/>
              </w:rPr>
            </w:pPr>
            <w:r>
              <w:rPr>
                <w:rFonts w:hint="eastAsia" w:ascii="宋体" w:hAnsi="宋体" w:cs="宋体"/>
                <w:bCs/>
                <w:sz w:val="18"/>
                <w:szCs w:val="18"/>
                <w:lang w:val="en-US" w:eastAsia="zh-CN"/>
              </w:rPr>
              <w:t>车间二楼部分尾气管道法兰连接螺栓不全</w:t>
            </w:r>
          </w:p>
        </w:tc>
        <w:tc>
          <w:tcPr>
            <w:tcW w:w="2923" w:type="dxa"/>
            <w:noWrap/>
            <w:vAlign w:val="center"/>
          </w:tcPr>
          <w:p>
            <w:pPr>
              <w:spacing w:line="300" w:lineRule="exact"/>
              <w:rPr>
                <w:rFonts w:hint="eastAsia" w:ascii="宋体" w:hAnsi="宋体" w:eastAsia="宋体" w:cs="宋体"/>
                <w:bCs/>
                <w:sz w:val="18"/>
                <w:szCs w:val="18"/>
                <w:lang w:val="en-US" w:eastAsia="zh-CN"/>
              </w:rPr>
            </w:pPr>
            <w:r>
              <w:rPr>
                <w:rFonts w:hint="eastAsia" w:ascii="宋体" w:hAnsi="宋体" w:eastAsia="宋体" w:cs="宋体"/>
                <w:bCs/>
                <w:sz w:val="18"/>
                <w:szCs w:val="18"/>
                <w:lang w:val="en-US" w:eastAsia="zh-CN"/>
              </w:rPr>
              <w:t>补全缺失的螺栓</w:t>
            </w:r>
          </w:p>
        </w:tc>
        <w:tc>
          <w:tcPr>
            <w:tcW w:w="1134" w:type="dxa"/>
            <w:noWrap/>
            <w:vAlign w:val="center"/>
          </w:tcPr>
          <w:p>
            <w:pPr>
              <w:spacing w:line="300" w:lineRule="exact"/>
              <w:rPr>
                <w:rFonts w:ascii="宋体" w:hAnsi="宋体" w:cs="宋体"/>
                <w:sz w:val="18"/>
                <w:szCs w:val="18"/>
              </w:rPr>
            </w:pPr>
            <w:r>
              <w:rPr>
                <w:rFonts w:hint="eastAsia" w:ascii="宋体" w:hAnsi="宋体" w:cs="宋体"/>
                <w:sz w:val="18"/>
                <w:szCs w:val="18"/>
              </w:rPr>
              <w:t>限期整改</w:t>
            </w:r>
          </w:p>
        </w:tc>
        <w:tc>
          <w:tcPr>
            <w:tcW w:w="904" w:type="dxa"/>
            <w:noWrap/>
          </w:tcPr>
          <w:p>
            <w:pPr>
              <w:spacing w:line="300" w:lineRule="exact"/>
              <w:jc w:val="center"/>
              <w:rPr>
                <w:rFonts w:ascii="宋体" w:hAnsi="宋体" w:cs="宋体"/>
                <w:i/>
                <w:iCs/>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70" w:hRule="atLeast"/>
        </w:trPr>
        <w:tc>
          <w:tcPr>
            <w:tcW w:w="502" w:type="dxa"/>
            <w:noWrap/>
            <w:vAlign w:val="center"/>
          </w:tcPr>
          <w:p>
            <w:pPr>
              <w:numPr>
                <w:ilvl w:val="0"/>
                <w:numId w:val="9"/>
              </w:numPr>
              <w:spacing w:line="300" w:lineRule="exact"/>
              <w:rPr>
                <w:rFonts w:ascii="宋体" w:hAnsi="宋体" w:cs="宋体"/>
                <w:sz w:val="18"/>
                <w:szCs w:val="18"/>
              </w:rPr>
            </w:pPr>
          </w:p>
        </w:tc>
        <w:tc>
          <w:tcPr>
            <w:tcW w:w="3263" w:type="dxa"/>
            <w:noWrap/>
            <w:vAlign w:val="center"/>
          </w:tcPr>
          <w:p>
            <w:pPr>
              <w:spacing w:line="300" w:lineRule="exact"/>
              <w:rPr>
                <w:rFonts w:hint="default" w:ascii="宋体" w:hAnsi="宋体" w:eastAsia="宋体" w:cs="宋体"/>
                <w:bCs/>
                <w:sz w:val="18"/>
                <w:szCs w:val="18"/>
                <w:lang w:val="en-US" w:eastAsia="zh-CN"/>
              </w:rPr>
            </w:pPr>
            <w:r>
              <w:rPr>
                <w:rFonts w:hint="eastAsia" w:ascii="宋体" w:hAnsi="宋体" w:cs="宋体"/>
                <w:bCs/>
                <w:sz w:val="18"/>
                <w:szCs w:val="18"/>
                <w:lang w:val="en-US" w:eastAsia="zh-CN"/>
              </w:rPr>
              <w:t>车间消防水泵接合器未设置永久性标志牌</w:t>
            </w:r>
          </w:p>
        </w:tc>
        <w:tc>
          <w:tcPr>
            <w:tcW w:w="2923" w:type="dxa"/>
            <w:noWrap/>
            <w:vAlign w:val="center"/>
          </w:tcPr>
          <w:p>
            <w:pPr>
              <w:spacing w:line="300" w:lineRule="exact"/>
              <w:rPr>
                <w:rFonts w:hint="eastAsia" w:ascii="宋体" w:hAnsi="宋体" w:eastAsia="宋体" w:cs="宋体"/>
                <w:bCs/>
                <w:sz w:val="18"/>
                <w:szCs w:val="18"/>
                <w:lang w:val="en-US" w:eastAsia="zh-CN"/>
              </w:rPr>
            </w:pPr>
            <w:r>
              <w:rPr>
                <w:rFonts w:hint="eastAsia" w:ascii="宋体" w:hAnsi="宋体" w:eastAsia="宋体" w:cs="宋体"/>
                <w:bCs/>
                <w:sz w:val="18"/>
                <w:szCs w:val="18"/>
                <w:lang w:val="en-US" w:eastAsia="zh-CN"/>
              </w:rPr>
              <w:t>安排</w:t>
            </w:r>
            <w:r>
              <w:rPr>
                <w:rFonts w:hint="eastAsia" w:ascii="宋体" w:hAnsi="宋体" w:cs="宋体"/>
                <w:bCs/>
                <w:sz w:val="18"/>
                <w:szCs w:val="18"/>
                <w:lang w:val="en-US" w:eastAsia="zh-CN"/>
              </w:rPr>
              <w:t>安环部</w:t>
            </w:r>
            <w:r>
              <w:rPr>
                <w:rFonts w:hint="eastAsia" w:ascii="宋体" w:hAnsi="宋体" w:eastAsia="宋体" w:cs="宋体"/>
                <w:bCs/>
                <w:sz w:val="18"/>
                <w:szCs w:val="18"/>
                <w:lang w:val="en-US" w:eastAsia="zh-CN"/>
              </w:rPr>
              <w:t>整改此隐患。</w:t>
            </w:r>
          </w:p>
        </w:tc>
        <w:tc>
          <w:tcPr>
            <w:tcW w:w="1134" w:type="dxa"/>
            <w:noWrap/>
            <w:vAlign w:val="center"/>
          </w:tcPr>
          <w:p>
            <w:pPr>
              <w:spacing w:line="300" w:lineRule="exact"/>
              <w:rPr>
                <w:rFonts w:ascii="宋体" w:hAnsi="宋体" w:cs="宋体"/>
                <w:sz w:val="18"/>
                <w:szCs w:val="18"/>
              </w:rPr>
            </w:pPr>
            <w:r>
              <w:rPr>
                <w:rFonts w:hint="eastAsia" w:ascii="宋体" w:hAnsi="宋体" w:cs="宋体"/>
                <w:sz w:val="18"/>
                <w:szCs w:val="18"/>
              </w:rPr>
              <w:t>限期整改</w:t>
            </w:r>
          </w:p>
        </w:tc>
        <w:tc>
          <w:tcPr>
            <w:tcW w:w="904" w:type="dxa"/>
            <w:noWrap/>
          </w:tcPr>
          <w:p>
            <w:pPr>
              <w:spacing w:line="300" w:lineRule="exact"/>
              <w:jc w:val="center"/>
              <w:rPr>
                <w:rFonts w:ascii="宋体" w:hAnsi="宋体" w:cs="宋体"/>
                <w:i/>
                <w:iCs/>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70" w:hRule="atLeast"/>
        </w:trPr>
        <w:tc>
          <w:tcPr>
            <w:tcW w:w="502" w:type="dxa"/>
            <w:noWrap/>
            <w:vAlign w:val="center"/>
          </w:tcPr>
          <w:p>
            <w:pPr>
              <w:numPr>
                <w:ilvl w:val="0"/>
                <w:numId w:val="9"/>
              </w:numPr>
              <w:spacing w:line="300" w:lineRule="exact"/>
              <w:rPr>
                <w:rFonts w:ascii="宋体" w:hAnsi="宋体" w:cs="宋体"/>
                <w:sz w:val="18"/>
                <w:szCs w:val="18"/>
              </w:rPr>
            </w:pPr>
          </w:p>
        </w:tc>
        <w:tc>
          <w:tcPr>
            <w:tcW w:w="3263" w:type="dxa"/>
            <w:noWrap/>
            <w:vAlign w:val="center"/>
          </w:tcPr>
          <w:p>
            <w:pPr>
              <w:spacing w:line="300" w:lineRule="exact"/>
              <w:rPr>
                <w:rFonts w:ascii="宋体" w:hAnsi="宋体" w:cs="宋体"/>
                <w:bCs/>
                <w:sz w:val="18"/>
                <w:szCs w:val="18"/>
              </w:rPr>
            </w:pPr>
            <w:r>
              <w:rPr>
                <w:rFonts w:hint="default" w:ascii="宋体" w:hAnsi="宋体" w:eastAsia="宋体" w:cs="宋体"/>
                <w:bCs/>
                <w:sz w:val="18"/>
                <w:szCs w:val="18"/>
                <w:lang w:val="en-US" w:eastAsia="zh-CN"/>
              </w:rPr>
              <w:t>消防控制室未设置应急照明灯</w:t>
            </w:r>
          </w:p>
        </w:tc>
        <w:tc>
          <w:tcPr>
            <w:tcW w:w="2923" w:type="dxa"/>
            <w:noWrap/>
            <w:vAlign w:val="center"/>
          </w:tcPr>
          <w:p>
            <w:pPr>
              <w:spacing w:line="300" w:lineRule="exact"/>
              <w:rPr>
                <w:rFonts w:hint="eastAsia" w:ascii="宋体" w:hAnsi="宋体" w:eastAsia="宋体" w:cs="宋体"/>
                <w:bCs/>
                <w:sz w:val="18"/>
                <w:szCs w:val="18"/>
                <w:lang w:val="en-US" w:eastAsia="zh-CN"/>
              </w:rPr>
            </w:pPr>
            <w:r>
              <w:rPr>
                <w:rFonts w:hint="eastAsia" w:ascii="宋体" w:hAnsi="宋体" w:eastAsia="宋体" w:cs="宋体"/>
                <w:bCs/>
                <w:sz w:val="18"/>
                <w:szCs w:val="18"/>
                <w:lang w:val="en-US" w:eastAsia="zh-CN"/>
              </w:rPr>
              <w:t>安排维修电工安装应急照明灯</w:t>
            </w:r>
          </w:p>
        </w:tc>
        <w:tc>
          <w:tcPr>
            <w:tcW w:w="1134" w:type="dxa"/>
            <w:noWrap/>
            <w:vAlign w:val="center"/>
          </w:tcPr>
          <w:p>
            <w:pPr>
              <w:spacing w:line="300" w:lineRule="exact"/>
              <w:rPr>
                <w:rFonts w:ascii="宋体" w:hAnsi="宋体" w:cs="宋体"/>
                <w:sz w:val="18"/>
                <w:szCs w:val="18"/>
              </w:rPr>
            </w:pPr>
            <w:r>
              <w:rPr>
                <w:rFonts w:hint="eastAsia" w:ascii="宋体" w:hAnsi="宋体" w:cs="宋体"/>
                <w:sz w:val="18"/>
                <w:szCs w:val="18"/>
              </w:rPr>
              <w:t>限期整改</w:t>
            </w:r>
          </w:p>
        </w:tc>
        <w:tc>
          <w:tcPr>
            <w:tcW w:w="904" w:type="dxa"/>
            <w:noWrap/>
          </w:tcPr>
          <w:p>
            <w:pPr>
              <w:spacing w:line="300" w:lineRule="exact"/>
              <w:jc w:val="center"/>
              <w:rPr>
                <w:rFonts w:ascii="宋体" w:hAnsi="宋体" w:cs="宋体"/>
                <w:i/>
                <w:iCs/>
                <w:szCs w:val="21"/>
              </w:rPr>
            </w:pPr>
          </w:p>
        </w:tc>
      </w:tr>
    </w:tbl>
    <w:p>
      <w:pPr>
        <w:pStyle w:val="23"/>
        <w:ind w:left="0" w:leftChars="0" w:firstLine="0"/>
      </w:pPr>
    </w:p>
    <w:p>
      <w:pPr>
        <w:adjustRightInd w:val="0"/>
        <w:snapToGrid w:val="0"/>
        <w:spacing w:line="300" w:lineRule="auto"/>
        <w:ind w:firstLine="482" w:firstLineChars="200"/>
        <w:rPr>
          <w:rFonts w:ascii="宋体" w:hAnsi="宋体"/>
          <w:b/>
          <w:bCs/>
          <w:kern w:val="0"/>
          <w:sz w:val="24"/>
        </w:rPr>
      </w:pPr>
      <w:r>
        <w:rPr>
          <w:rFonts w:hint="eastAsia" w:ascii="宋体" w:hAnsi="宋体"/>
          <w:b/>
          <w:bCs/>
          <w:kern w:val="0"/>
          <w:sz w:val="24"/>
        </w:rPr>
        <w:t xml:space="preserve">2、持续改进 </w:t>
      </w:r>
    </w:p>
    <w:p>
      <w:pPr>
        <w:adjustRightInd w:val="0"/>
        <w:snapToGrid w:val="0"/>
        <w:spacing w:line="300" w:lineRule="auto"/>
        <w:ind w:firstLine="480" w:firstLineChars="200"/>
        <w:rPr>
          <w:rFonts w:ascii="宋体" w:hAnsi="宋体"/>
          <w:bCs/>
          <w:snapToGrid w:val="0"/>
          <w:kern w:val="0"/>
          <w:sz w:val="24"/>
        </w:rPr>
      </w:pPr>
      <w:r>
        <w:rPr>
          <w:rFonts w:hint="eastAsia" w:ascii="宋体" w:hAnsi="宋体"/>
          <w:bCs/>
          <w:snapToGrid w:val="0"/>
          <w:kern w:val="0"/>
          <w:sz w:val="24"/>
        </w:rPr>
        <w:t>在今后的工作中要加强安全生产标准化运行管理，定期开展自查自评，持续改进安全生产条件，不断完善安全生产运行体制，提高安全生产管理水平和安全保障能力。通过自我检查、自我纠正和自我完善，建立起安全绩效持续改进的长效机制。</w:t>
      </w:r>
    </w:p>
    <w:p>
      <w:pPr>
        <w:pStyle w:val="2"/>
        <w:spacing w:before="0" w:after="0" w:line="300" w:lineRule="auto"/>
        <w:rPr>
          <w:rFonts w:ascii="宋体" w:hAnsi="宋体"/>
          <w:sz w:val="30"/>
          <w:szCs w:val="30"/>
        </w:rPr>
      </w:pPr>
      <w:bookmarkStart w:id="195" w:name="_Toc523396160"/>
      <w:bookmarkStart w:id="196" w:name="_Toc32559"/>
      <w:bookmarkStart w:id="197" w:name="_Toc432195118"/>
      <w:r>
        <w:rPr>
          <w:rFonts w:hint="eastAsia" w:ascii="宋体" w:hAnsi="宋体"/>
          <w:sz w:val="30"/>
          <w:szCs w:val="30"/>
        </w:rPr>
        <w:t>八、自评结论</w:t>
      </w:r>
      <w:bookmarkEnd w:id="195"/>
      <w:bookmarkEnd w:id="196"/>
      <w:bookmarkEnd w:id="197"/>
    </w:p>
    <w:p>
      <w:pPr>
        <w:adjustRightInd w:val="0"/>
        <w:snapToGrid w:val="0"/>
        <w:spacing w:line="300" w:lineRule="auto"/>
        <w:ind w:firstLine="480" w:firstLineChars="200"/>
        <w:rPr>
          <w:rFonts w:ascii="宋体" w:hAnsi="宋体"/>
          <w:snapToGrid w:val="0"/>
          <w:kern w:val="0"/>
          <w:sz w:val="24"/>
        </w:rPr>
      </w:pPr>
      <w:bookmarkStart w:id="198" w:name="_Toc21676"/>
      <w:bookmarkStart w:id="199" w:name="_Toc523396161"/>
      <w:bookmarkStart w:id="200" w:name="_Toc432195119"/>
      <w:r>
        <w:rPr>
          <w:rFonts w:hint="eastAsia" w:ascii="宋体" w:hAnsi="宋体"/>
          <w:snapToGrid w:val="0"/>
          <w:kern w:val="0"/>
          <w:sz w:val="24"/>
        </w:rPr>
        <w:t>1、本次自评选用的标准为</w:t>
      </w:r>
      <w:r>
        <w:rPr>
          <w:rFonts w:hint="eastAsia" w:ascii="宋体" w:hAnsi="宋体"/>
          <w:bCs/>
          <w:snapToGrid w:val="0"/>
          <w:kern w:val="0"/>
          <w:sz w:val="24"/>
        </w:rPr>
        <w:t>《国家安全监管总局关于印发企业安全生产标准化评审工作管理办法（试行）的通知》（安监总办〔2014〕49号）中的评分细则</w:t>
      </w:r>
      <w:r>
        <w:rPr>
          <w:rFonts w:hint="eastAsia" w:ascii="宋体" w:hAnsi="宋体"/>
          <w:snapToGrid w:val="0"/>
          <w:kern w:val="0"/>
          <w:sz w:val="24"/>
        </w:rPr>
        <w:t xml:space="preserve">，标准的适用性在第三章进行了论述。 </w:t>
      </w:r>
    </w:p>
    <w:p>
      <w:pPr>
        <w:adjustRightInd w:val="0"/>
        <w:snapToGrid w:val="0"/>
        <w:spacing w:line="300" w:lineRule="auto"/>
        <w:ind w:firstLine="480" w:firstLineChars="200"/>
        <w:rPr>
          <w:sz w:val="24"/>
        </w:rPr>
      </w:pPr>
      <w:r>
        <w:rPr>
          <w:rFonts w:hint="eastAsia" w:ascii="宋体" w:hAnsi="宋体"/>
          <w:snapToGrid w:val="0"/>
          <w:kern w:val="0"/>
          <w:sz w:val="24"/>
        </w:rPr>
        <w:t>2、根据</w:t>
      </w:r>
      <w:r>
        <w:rPr>
          <w:rFonts w:hint="eastAsia" w:ascii="宋体" w:hAnsi="宋体"/>
          <w:bCs/>
          <w:snapToGrid w:val="0"/>
          <w:kern w:val="0"/>
          <w:sz w:val="24"/>
        </w:rPr>
        <w:t>《国家安全监管总局办公厅关于危险化学品从业单位安全生产标准化评审工作有关事项的通知》（安监总厅管三〔2016〕111号）的要求，申请危险化学品从业单位安全生产标准化一级、二级、</w:t>
      </w:r>
      <w:r>
        <w:rPr>
          <w:rFonts w:hint="eastAsia"/>
          <w:sz w:val="24"/>
        </w:rPr>
        <w:t>三级的企业评审得分均应在80分（含）以上，且每个A级要求评审得分均应在60分（含）以上。</w:t>
      </w:r>
    </w:p>
    <w:p>
      <w:pPr>
        <w:adjustRightInd w:val="0"/>
        <w:snapToGrid w:val="0"/>
        <w:spacing w:line="300" w:lineRule="auto"/>
        <w:ind w:firstLine="480" w:firstLineChars="200"/>
        <w:rPr>
          <w:rFonts w:ascii="宋体" w:hAnsi="宋体"/>
          <w:snapToGrid w:val="0"/>
          <w:kern w:val="0"/>
          <w:sz w:val="24"/>
          <w:u w:val="single"/>
        </w:rPr>
      </w:pPr>
      <w:r>
        <w:rPr>
          <w:rFonts w:hint="eastAsia" w:ascii="宋体" w:hAnsi="宋体"/>
          <w:snapToGrid w:val="0"/>
          <w:kern w:val="0"/>
          <w:sz w:val="24"/>
        </w:rPr>
        <w:t>通过本次评审，本企业的实际得分为</w:t>
      </w:r>
      <w:r>
        <w:rPr>
          <w:rFonts w:hint="eastAsia" w:ascii="宋体" w:hAnsi="宋体"/>
          <w:snapToGrid w:val="0"/>
          <w:kern w:val="0"/>
          <w:sz w:val="24"/>
          <w:lang w:val="en-US" w:eastAsia="zh-CN"/>
        </w:rPr>
        <w:t>87.34</w:t>
      </w:r>
      <w:r>
        <w:rPr>
          <w:rFonts w:hint="eastAsia" w:ascii="宋体" w:hAnsi="宋体"/>
          <w:bCs/>
          <w:snapToGrid w:val="0"/>
          <w:kern w:val="0"/>
          <w:sz w:val="24"/>
        </w:rPr>
        <w:t>分</w:t>
      </w:r>
      <w:r>
        <w:rPr>
          <w:rFonts w:hint="eastAsia" w:ascii="宋体" w:hAnsi="宋体"/>
          <w:snapToGrid w:val="0"/>
          <w:kern w:val="0"/>
          <w:sz w:val="24"/>
        </w:rPr>
        <w:t>，满足</w:t>
      </w:r>
      <w:r>
        <w:rPr>
          <w:rFonts w:hint="eastAsia" w:ascii="宋体" w:hAnsi="宋体"/>
          <w:bCs/>
          <w:snapToGrid w:val="0"/>
          <w:kern w:val="0"/>
          <w:sz w:val="24"/>
        </w:rPr>
        <w:t>危化企业安全生产标准化</w:t>
      </w:r>
      <w:r>
        <w:rPr>
          <w:rFonts w:hint="eastAsia" w:ascii="宋体" w:hAnsi="宋体"/>
          <w:snapToGrid w:val="0"/>
          <w:kern w:val="0"/>
          <w:sz w:val="24"/>
        </w:rPr>
        <w:t>三级企业达标要求。</w:t>
      </w:r>
    </w:p>
    <w:p>
      <w:pPr>
        <w:adjustRightInd w:val="0"/>
        <w:snapToGrid w:val="0"/>
        <w:spacing w:line="300" w:lineRule="auto"/>
        <w:ind w:firstLine="480" w:firstLineChars="200"/>
        <w:rPr>
          <w:rFonts w:ascii="宋体" w:hAnsi="宋体"/>
          <w:snapToGrid w:val="0"/>
          <w:kern w:val="0"/>
          <w:sz w:val="24"/>
        </w:rPr>
      </w:pPr>
      <w:r>
        <w:rPr>
          <w:rFonts w:hint="eastAsia" w:ascii="宋体" w:hAnsi="宋体"/>
          <w:snapToGrid w:val="0"/>
          <w:kern w:val="0"/>
          <w:sz w:val="24"/>
        </w:rPr>
        <w:t>3、通过本次自评可以看出，本公司安全生产标准化系统能够按照</w:t>
      </w:r>
      <w:r>
        <w:rPr>
          <w:rFonts w:hint="eastAsia" w:ascii="宋体" w:hAnsi="宋体"/>
          <w:bCs/>
          <w:snapToGrid w:val="0"/>
          <w:kern w:val="0"/>
          <w:sz w:val="24"/>
        </w:rPr>
        <w:t>冶金等工贸企业安全标准化</w:t>
      </w:r>
      <w:r>
        <w:rPr>
          <w:rFonts w:hint="eastAsia" w:ascii="宋体" w:hAnsi="宋体"/>
          <w:snapToGrid w:val="0"/>
          <w:kern w:val="0"/>
          <w:sz w:val="24"/>
        </w:rPr>
        <w:t>三级要求运行，但是评审中也发现了一些不符合项，在今后的工作中要加强安全生产标准化运行管理，定期开展自查自评，持续改进安全生产条件，不断完善安全生产运行体制，提高安全生产管理水平和安全保障能力。通过自我检查、自我纠正和自我完善，建立起安全绩效持续改进的长效机制。</w:t>
      </w:r>
    </w:p>
    <w:p>
      <w:pPr>
        <w:pStyle w:val="2"/>
        <w:spacing w:before="0" w:after="0" w:line="300" w:lineRule="auto"/>
        <w:rPr>
          <w:rFonts w:ascii="宋体" w:hAnsi="宋体"/>
          <w:sz w:val="30"/>
          <w:szCs w:val="30"/>
        </w:rPr>
      </w:pPr>
      <w:r>
        <w:rPr>
          <w:rFonts w:hint="eastAsia" w:ascii="宋体" w:hAnsi="宋体"/>
          <w:sz w:val="30"/>
          <w:szCs w:val="30"/>
        </w:rPr>
        <w:t>九、附件</w:t>
      </w:r>
      <w:bookmarkEnd w:id="198"/>
      <w:bookmarkEnd w:id="199"/>
      <w:bookmarkEnd w:id="200"/>
    </w:p>
    <w:p>
      <w:pPr>
        <w:widowControl/>
        <w:spacing w:line="300" w:lineRule="auto"/>
        <w:rPr>
          <w:rFonts w:ascii="宋体" w:hAnsi="宋体"/>
          <w:kern w:val="0"/>
          <w:sz w:val="24"/>
        </w:rPr>
      </w:pPr>
      <w:r>
        <w:rPr>
          <w:rFonts w:hint="eastAsia" w:ascii="宋体" w:hAnsi="宋体"/>
          <w:kern w:val="0"/>
          <w:sz w:val="24"/>
        </w:rPr>
        <w:t>附件1：企业相关资质</w:t>
      </w:r>
    </w:p>
    <w:p>
      <w:pPr>
        <w:widowControl/>
        <w:spacing w:line="300" w:lineRule="auto"/>
        <w:rPr>
          <w:rFonts w:ascii="宋体" w:hAnsi="宋体"/>
          <w:kern w:val="0"/>
          <w:sz w:val="24"/>
        </w:rPr>
      </w:pPr>
      <w:r>
        <w:rPr>
          <w:rFonts w:hint="eastAsia" w:ascii="宋体" w:hAnsi="宋体"/>
          <w:kern w:val="0"/>
          <w:sz w:val="24"/>
        </w:rPr>
        <w:t>附件2：工厂平面布置图</w:t>
      </w:r>
    </w:p>
    <w:p>
      <w:pPr>
        <w:widowControl/>
        <w:spacing w:line="300" w:lineRule="auto"/>
        <w:rPr>
          <w:rFonts w:ascii="宋体" w:hAnsi="宋体"/>
          <w:kern w:val="0"/>
          <w:sz w:val="24"/>
        </w:rPr>
      </w:pPr>
      <w:r>
        <w:rPr>
          <w:rFonts w:hint="eastAsia" w:ascii="宋体" w:hAnsi="宋体"/>
          <w:kern w:val="0"/>
          <w:sz w:val="24"/>
        </w:rPr>
        <w:t>附件3：自评计划</w:t>
      </w:r>
    </w:p>
    <w:p>
      <w:pPr>
        <w:widowControl/>
        <w:spacing w:line="300" w:lineRule="auto"/>
        <w:rPr>
          <w:rFonts w:ascii="宋体" w:hAnsi="宋体"/>
          <w:kern w:val="0"/>
          <w:sz w:val="24"/>
        </w:rPr>
      </w:pPr>
      <w:r>
        <w:rPr>
          <w:rFonts w:hint="eastAsia" w:ascii="宋体" w:hAnsi="宋体"/>
          <w:kern w:val="0"/>
          <w:sz w:val="24"/>
        </w:rPr>
        <w:t>附件4：参与自评及首次会、末次会议议程及人员签到表</w:t>
      </w:r>
    </w:p>
    <w:p>
      <w:pPr>
        <w:widowControl/>
        <w:spacing w:line="300" w:lineRule="auto"/>
        <w:rPr>
          <w:rFonts w:ascii="宋体" w:hAnsi="宋体"/>
          <w:kern w:val="0"/>
          <w:sz w:val="24"/>
        </w:rPr>
      </w:pPr>
      <w:r>
        <w:rPr>
          <w:rFonts w:hint="eastAsia" w:ascii="宋体" w:hAnsi="宋体"/>
          <w:kern w:val="0"/>
          <w:sz w:val="24"/>
        </w:rPr>
        <w:t>附件5：工伤保险缴纳情况（复印件）</w:t>
      </w:r>
    </w:p>
    <w:p>
      <w:pPr>
        <w:widowControl/>
        <w:spacing w:line="300" w:lineRule="auto"/>
        <w:rPr>
          <w:rFonts w:ascii="宋体" w:hAnsi="宋体"/>
          <w:kern w:val="0"/>
          <w:sz w:val="24"/>
        </w:rPr>
      </w:pPr>
      <w:r>
        <w:rPr>
          <w:rFonts w:hint="eastAsia" w:ascii="宋体" w:hAnsi="宋体"/>
          <w:kern w:val="0"/>
          <w:sz w:val="24"/>
        </w:rPr>
        <w:t>附件6：自评前后现场整改对照照片</w:t>
      </w:r>
    </w:p>
    <w:p>
      <w:pPr>
        <w:widowControl/>
        <w:spacing w:line="300" w:lineRule="auto"/>
        <w:rPr>
          <w:rFonts w:ascii="宋体" w:hAnsi="宋体"/>
          <w:kern w:val="0"/>
          <w:sz w:val="24"/>
        </w:rPr>
      </w:pPr>
      <w:r>
        <w:rPr>
          <w:rFonts w:hint="eastAsia" w:ascii="宋体" w:hAnsi="宋体"/>
          <w:kern w:val="0"/>
          <w:sz w:val="24"/>
        </w:rPr>
        <w:t>附件7：企业承诺书</w:t>
      </w:r>
    </w:p>
    <w:p>
      <w:pPr>
        <w:widowControl/>
        <w:spacing w:line="300" w:lineRule="auto"/>
        <w:rPr>
          <w:rFonts w:ascii="宋体" w:hAnsi="宋体"/>
          <w:kern w:val="0"/>
          <w:sz w:val="24"/>
        </w:rPr>
      </w:pPr>
      <w:r>
        <w:rPr>
          <w:rFonts w:hint="eastAsia" w:ascii="宋体" w:hAnsi="宋体"/>
          <w:kern w:val="0"/>
          <w:sz w:val="24"/>
        </w:rPr>
        <w:t>附件8：《自评报告》公示情况照片（截图）</w:t>
      </w:r>
    </w:p>
    <w:p>
      <w:pPr>
        <w:widowControl/>
        <w:spacing w:line="300" w:lineRule="auto"/>
        <w:rPr>
          <w:rFonts w:ascii="宋体" w:hAnsi="宋体"/>
          <w:kern w:val="0"/>
          <w:sz w:val="24"/>
        </w:rPr>
      </w:pPr>
      <w:r>
        <w:rPr>
          <w:rFonts w:hint="eastAsia" w:ascii="宋体" w:hAnsi="宋体"/>
          <w:kern w:val="0"/>
          <w:sz w:val="24"/>
        </w:rPr>
        <w:t>附件</w:t>
      </w:r>
      <w:r>
        <w:rPr>
          <w:rFonts w:hint="eastAsia" w:ascii="宋体" w:hAnsi="宋体"/>
          <w:kern w:val="0"/>
          <w:sz w:val="24"/>
          <w:lang w:val="en-US" w:eastAsia="zh-CN"/>
        </w:rPr>
        <w:t>9</w:t>
      </w:r>
      <w:r>
        <w:rPr>
          <w:rFonts w:hint="eastAsia" w:ascii="宋体" w:hAnsi="宋体"/>
          <w:kern w:val="0"/>
          <w:sz w:val="24"/>
        </w:rPr>
        <w:t>：重大危险源辨识</w:t>
      </w:r>
    </w:p>
    <w:p>
      <w:pPr>
        <w:widowControl/>
        <w:spacing w:line="300" w:lineRule="auto"/>
        <w:rPr>
          <w:rFonts w:ascii="宋体" w:hAnsi="宋体"/>
          <w:kern w:val="0"/>
          <w:sz w:val="24"/>
        </w:rPr>
      </w:pPr>
      <w:r>
        <w:rPr>
          <w:rFonts w:hint="eastAsia" w:ascii="宋体" w:hAnsi="宋体"/>
          <w:kern w:val="0"/>
          <w:sz w:val="24"/>
        </w:rPr>
        <w:t>附件</w:t>
      </w:r>
      <w:r>
        <w:rPr>
          <w:rFonts w:hint="eastAsia" w:ascii="宋体" w:hAnsi="宋体"/>
          <w:kern w:val="0"/>
          <w:sz w:val="24"/>
          <w:lang w:val="en-US" w:eastAsia="zh-CN"/>
        </w:rPr>
        <w:t>10</w:t>
      </w:r>
      <w:r>
        <w:rPr>
          <w:rFonts w:hint="eastAsia" w:ascii="宋体" w:hAnsi="宋体"/>
          <w:kern w:val="0"/>
          <w:sz w:val="24"/>
        </w:rPr>
        <w:t>：安全生产组织机构和生产生产管理人员名录</w:t>
      </w:r>
    </w:p>
    <w:p>
      <w:pPr>
        <w:widowControl/>
        <w:spacing w:line="300" w:lineRule="auto"/>
        <w:rPr>
          <w:rFonts w:ascii="宋体" w:hAnsi="宋体"/>
          <w:kern w:val="0"/>
          <w:sz w:val="24"/>
        </w:rPr>
      </w:pPr>
      <w:r>
        <w:rPr>
          <w:rFonts w:hint="eastAsia" w:ascii="宋体" w:hAnsi="宋体"/>
          <w:kern w:val="0"/>
          <w:sz w:val="24"/>
        </w:rPr>
        <w:t>附件</w:t>
      </w:r>
      <w:r>
        <w:rPr>
          <w:rFonts w:hint="eastAsia" w:ascii="宋体" w:hAnsi="宋体"/>
          <w:kern w:val="0"/>
          <w:sz w:val="24"/>
          <w:lang w:val="en-US" w:eastAsia="zh-CN"/>
        </w:rPr>
        <w:t>11</w:t>
      </w:r>
      <w:r>
        <w:rPr>
          <w:rFonts w:hint="eastAsia" w:ascii="宋体" w:hAnsi="宋体"/>
          <w:kern w:val="0"/>
          <w:sz w:val="24"/>
        </w:rPr>
        <w:t>：自评评分检查表</w:t>
      </w:r>
    </w:p>
    <w:p>
      <w:pPr>
        <w:widowControl/>
        <w:spacing w:line="540" w:lineRule="exact"/>
        <w:jc w:val="left"/>
        <w:rPr>
          <w:rFonts w:ascii="宋体" w:hAnsi="宋体"/>
          <w:b/>
          <w:bCs/>
          <w:kern w:val="0"/>
          <w:sz w:val="24"/>
        </w:rPr>
        <w:sectPr>
          <w:pgSz w:w="11906" w:h="16838"/>
          <w:pgMar w:top="1418" w:right="1134" w:bottom="1134" w:left="1588" w:header="851" w:footer="992" w:gutter="0"/>
          <w:cols w:space="720" w:num="1"/>
          <w:titlePg/>
          <w:docGrid w:type="lines" w:linePitch="312" w:charSpace="0"/>
        </w:sectPr>
      </w:pPr>
    </w:p>
    <w:p>
      <w:pPr>
        <w:widowControl/>
        <w:spacing w:line="540" w:lineRule="exact"/>
        <w:jc w:val="left"/>
        <w:rPr>
          <w:rFonts w:ascii="宋体" w:hAnsi="宋体"/>
          <w:b/>
          <w:bCs/>
          <w:kern w:val="0"/>
          <w:sz w:val="24"/>
        </w:rPr>
      </w:pPr>
      <w:r>
        <w:rPr>
          <w:rFonts w:hint="eastAsia" w:ascii="宋体" w:hAnsi="宋体"/>
          <w:b/>
          <w:bCs/>
          <w:kern w:val="0"/>
          <w:sz w:val="24"/>
        </w:rPr>
        <w:t>附件1：营业执照、生产许可证及其它证照</w:t>
      </w:r>
    </w:p>
    <w:p>
      <w:pPr>
        <w:widowControl/>
        <w:spacing w:line="540" w:lineRule="exact"/>
        <w:jc w:val="center"/>
        <w:rPr>
          <w:rFonts w:ascii="宋体" w:hAnsi="宋体"/>
          <w:b/>
          <w:bCs/>
          <w:kern w:val="0"/>
          <w:sz w:val="24"/>
        </w:rPr>
      </w:pPr>
    </w:p>
    <w:p>
      <w:pPr>
        <w:widowControl/>
        <w:jc w:val="center"/>
        <w:rPr>
          <w:rFonts w:hint="eastAsia" w:ascii="宋体" w:hAnsi="宋体" w:eastAsia="宋体"/>
          <w:b/>
          <w:bCs/>
          <w:kern w:val="0"/>
          <w:sz w:val="24"/>
          <w:lang w:eastAsia="zh-CN"/>
        </w:rPr>
        <w:sectPr>
          <w:pgSz w:w="11906" w:h="16838"/>
          <w:pgMar w:top="1418" w:right="1134" w:bottom="1134" w:left="1588" w:header="851" w:footer="992" w:gutter="0"/>
          <w:cols w:space="720" w:num="1"/>
          <w:titlePg/>
          <w:docGrid w:type="lines" w:linePitch="312" w:charSpace="0"/>
        </w:sectPr>
      </w:pPr>
      <w:r>
        <w:rPr>
          <w:rFonts w:hint="eastAsia" w:ascii="宋体" w:hAnsi="宋体"/>
          <w:b/>
          <w:bCs/>
          <w:kern w:val="0"/>
          <w:sz w:val="24"/>
        </w:rPr>
        <w:t>营业执</w:t>
      </w:r>
      <w:r>
        <w:rPr>
          <w:rFonts w:hint="eastAsia" w:ascii="宋体" w:hAnsi="宋体" w:eastAsia="宋体"/>
          <w:b/>
          <w:bCs/>
          <w:kern w:val="0"/>
          <w:sz w:val="24"/>
          <w:lang w:eastAsia="zh-CN"/>
        </w:rPr>
        <w:drawing>
          <wp:inline distT="0" distB="0" distL="114300" distR="114300">
            <wp:extent cx="5434330" cy="7781290"/>
            <wp:effectExtent l="0" t="0" r="13970" b="10160"/>
            <wp:docPr id="9" name="图片 9" descr="营业执照（2018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营业执照（2018年）"/>
                    <pic:cNvPicPr>
                      <a:picLocks noChangeAspect="1"/>
                    </pic:cNvPicPr>
                  </pic:nvPicPr>
                  <pic:blipFill>
                    <a:blip r:embed="rId14"/>
                    <a:stretch>
                      <a:fillRect/>
                    </a:stretch>
                  </pic:blipFill>
                  <pic:spPr>
                    <a:xfrm>
                      <a:off x="0" y="0"/>
                      <a:ext cx="5434330" cy="7781290"/>
                    </a:xfrm>
                    <a:prstGeom prst="rect">
                      <a:avLst/>
                    </a:prstGeom>
                  </pic:spPr>
                </pic:pic>
              </a:graphicData>
            </a:graphic>
          </wp:inline>
        </w:drawing>
      </w:r>
    </w:p>
    <w:p>
      <w:pPr>
        <w:widowControl/>
        <w:spacing w:line="540" w:lineRule="exact"/>
        <w:rPr>
          <w:rFonts w:ascii="宋体" w:hAnsi="宋体"/>
          <w:b/>
          <w:bCs/>
          <w:kern w:val="0"/>
        </w:rPr>
      </w:pPr>
      <w:r>
        <w:rPr>
          <w:rFonts w:hint="eastAsia" w:ascii="宋体" w:hAnsi="宋体"/>
          <w:b/>
          <w:bCs/>
          <w:kern w:val="0"/>
          <w:sz w:val="24"/>
        </w:rPr>
        <w:t xml:space="preserve">                          安全生产许可证</w:t>
      </w:r>
    </w:p>
    <w:p>
      <w:pPr>
        <w:pStyle w:val="23"/>
        <w:ind w:left="0" w:leftChars="0" w:firstLine="0"/>
        <w:jc w:val="center"/>
        <w:rPr>
          <w:rFonts w:hint="eastAsia" w:ascii="宋体" w:hAnsi="宋体"/>
          <w:b/>
          <w:bCs/>
          <w:kern w:val="0"/>
        </w:rPr>
      </w:pPr>
      <w:r>
        <w:rPr>
          <w:rFonts w:hint="eastAsia" w:ascii="宋体" w:hAnsi="宋体" w:eastAsia="宋体"/>
          <w:b/>
          <w:bCs/>
          <w:kern w:val="0"/>
          <w:sz w:val="24"/>
          <w:lang w:eastAsia="zh-CN"/>
        </w:rPr>
        <w:drawing>
          <wp:inline distT="0" distB="0" distL="114300" distR="114300">
            <wp:extent cx="7692390" cy="5544820"/>
            <wp:effectExtent l="0" t="0" r="17780" b="3810"/>
            <wp:docPr id="23" name="图片 23" descr="C:/Users/Administrator/AppData/Local/Temp/picturecompress_20220111171647/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C:/Users/Administrator/AppData/Local/Temp/picturecompress_20220111171647/output_1.jpgoutput_1"/>
                    <pic:cNvPicPr>
                      <a:picLocks noChangeAspect="1"/>
                    </pic:cNvPicPr>
                  </pic:nvPicPr>
                  <pic:blipFill>
                    <a:blip r:embed="rId15"/>
                    <a:stretch>
                      <a:fillRect/>
                    </a:stretch>
                  </pic:blipFill>
                  <pic:spPr>
                    <a:xfrm rot="16200000">
                      <a:off x="0" y="0"/>
                      <a:ext cx="7692390" cy="5544820"/>
                    </a:xfrm>
                    <a:prstGeom prst="rect">
                      <a:avLst/>
                    </a:prstGeom>
                  </pic:spPr>
                </pic:pic>
              </a:graphicData>
            </a:graphic>
          </wp:inline>
        </w:drawing>
      </w:r>
    </w:p>
    <w:p>
      <w:pPr>
        <w:pStyle w:val="23"/>
        <w:ind w:left="0" w:leftChars="0" w:firstLine="0"/>
        <w:jc w:val="center"/>
        <w:rPr>
          <w:rFonts w:hint="eastAsia" w:ascii="宋体" w:hAnsi="宋体"/>
          <w:b/>
          <w:bCs/>
          <w:kern w:val="0"/>
        </w:rPr>
      </w:pPr>
    </w:p>
    <w:p>
      <w:pPr>
        <w:pStyle w:val="23"/>
        <w:ind w:left="0" w:leftChars="0" w:firstLine="0"/>
        <w:jc w:val="center"/>
        <w:rPr>
          <w:rFonts w:hint="eastAsia" w:ascii="宋体" w:hAnsi="宋体"/>
          <w:b/>
          <w:bCs/>
          <w:kern w:val="0"/>
        </w:rPr>
      </w:pPr>
    </w:p>
    <w:p>
      <w:pPr>
        <w:pStyle w:val="23"/>
        <w:ind w:left="0" w:leftChars="0" w:firstLine="0"/>
        <w:jc w:val="center"/>
        <w:rPr>
          <w:rFonts w:hint="eastAsia" w:ascii="宋体" w:hAnsi="宋体"/>
          <w:b/>
          <w:bCs/>
          <w:kern w:val="0"/>
        </w:rPr>
      </w:pPr>
    </w:p>
    <w:p>
      <w:pPr>
        <w:pStyle w:val="23"/>
        <w:ind w:left="0" w:leftChars="0" w:firstLine="0"/>
        <w:jc w:val="center"/>
        <w:rPr>
          <w:rFonts w:ascii="宋体" w:hAnsi="宋体"/>
          <w:b/>
          <w:bCs/>
          <w:kern w:val="0"/>
        </w:rPr>
      </w:pPr>
      <w:r>
        <w:rPr>
          <w:rFonts w:hint="eastAsia" w:ascii="宋体" w:hAnsi="宋体"/>
          <w:b/>
          <w:bCs/>
          <w:kern w:val="0"/>
        </w:rPr>
        <w:t>应急预案备案登记表</w:t>
      </w:r>
    </w:p>
    <w:p>
      <w:pPr>
        <w:pStyle w:val="23"/>
        <w:ind w:left="0" w:leftChars="0" w:firstLine="0"/>
        <w:rPr>
          <w:rFonts w:hint="eastAsia" w:ascii="宋体" w:hAnsi="宋体" w:eastAsia="宋体"/>
          <w:b/>
          <w:bCs/>
          <w:kern w:val="0"/>
          <w:lang w:eastAsia="zh-CN"/>
        </w:rPr>
      </w:pPr>
      <w:r>
        <w:rPr>
          <w:rFonts w:hint="eastAsia" w:ascii="宋体" w:hAnsi="宋体" w:eastAsia="宋体"/>
          <w:b/>
          <w:bCs/>
          <w:kern w:val="0"/>
          <w:lang w:eastAsia="zh-CN"/>
        </w:rPr>
        <w:drawing>
          <wp:inline distT="0" distB="0" distL="114300" distR="114300">
            <wp:extent cx="5827395" cy="8083550"/>
            <wp:effectExtent l="0" t="0" r="1905" b="12700"/>
            <wp:docPr id="13" name="图片 13" descr="应急预案备案证（2021.5.24-2024.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应急预案备案证（2021.5.24-2024.5.23）"/>
                    <pic:cNvPicPr>
                      <a:picLocks noChangeAspect="1"/>
                    </pic:cNvPicPr>
                  </pic:nvPicPr>
                  <pic:blipFill>
                    <a:blip r:embed="rId16"/>
                    <a:stretch>
                      <a:fillRect/>
                    </a:stretch>
                  </pic:blipFill>
                  <pic:spPr>
                    <a:xfrm>
                      <a:off x="0" y="0"/>
                      <a:ext cx="5827395" cy="8083550"/>
                    </a:xfrm>
                    <a:prstGeom prst="rect">
                      <a:avLst/>
                    </a:prstGeom>
                  </pic:spPr>
                </pic:pic>
              </a:graphicData>
            </a:graphic>
          </wp:inline>
        </w:drawing>
      </w:r>
    </w:p>
    <w:p>
      <w:pPr>
        <w:pStyle w:val="23"/>
        <w:ind w:left="0" w:leftChars="0" w:firstLine="0"/>
        <w:rPr>
          <w:rFonts w:ascii="宋体" w:hAnsi="宋体"/>
          <w:b/>
          <w:bCs/>
          <w:kern w:val="0"/>
        </w:rPr>
        <w:sectPr>
          <w:pgSz w:w="11906" w:h="16838"/>
          <w:pgMar w:top="1418" w:right="1134" w:bottom="1134" w:left="1588" w:header="851" w:footer="992" w:gutter="0"/>
          <w:cols w:space="720" w:num="1"/>
          <w:titlePg/>
          <w:docGrid w:type="lines" w:linePitch="312" w:charSpace="0"/>
        </w:sectPr>
      </w:pPr>
    </w:p>
    <w:p>
      <w:pPr>
        <w:widowControl/>
        <w:spacing w:line="540" w:lineRule="exact"/>
        <w:jc w:val="center"/>
        <w:rPr>
          <w:rFonts w:ascii="宋体" w:hAnsi="宋体"/>
          <w:b/>
          <w:bCs/>
          <w:kern w:val="0"/>
          <w:sz w:val="24"/>
        </w:rPr>
      </w:pPr>
      <w:r>
        <w:rPr>
          <w:rFonts w:hint="eastAsia" w:ascii="宋体" w:hAnsi="宋体"/>
          <w:b/>
          <w:bCs/>
          <w:kern w:val="0"/>
          <w:sz w:val="24"/>
        </w:rPr>
        <w:t>重大危险源备案</w:t>
      </w:r>
    </w:p>
    <w:p>
      <w:pPr>
        <w:pStyle w:val="23"/>
        <w:ind w:left="0" w:leftChars="0" w:firstLine="0"/>
        <w:rPr>
          <w:rFonts w:hint="eastAsia" w:eastAsia="宋体"/>
          <w:lang w:eastAsia="zh-CN"/>
        </w:rPr>
      </w:pPr>
      <w:r>
        <w:rPr>
          <w:rFonts w:hint="eastAsia" w:eastAsia="宋体"/>
          <w:lang w:eastAsia="zh-CN"/>
        </w:rPr>
        <w:drawing>
          <wp:inline distT="0" distB="0" distL="114300" distR="114300">
            <wp:extent cx="5827395" cy="8083550"/>
            <wp:effectExtent l="0" t="0" r="1905" b="12700"/>
            <wp:docPr id="2" name="图片 2" descr="重大危险源备案证（2023.4.13-2026.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重大危险源备案证（2023.4.13-2026.4.12）"/>
                    <pic:cNvPicPr>
                      <a:picLocks noChangeAspect="1"/>
                    </pic:cNvPicPr>
                  </pic:nvPicPr>
                  <pic:blipFill>
                    <a:blip r:embed="rId17"/>
                    <a:stretch>
                      <a:fillRect/>
                    </a:stretch>
                  </pic:blipFill>
                  <pic:spPr>
                    <a:xfrm>
                      <a:off x="0" y="0"/>
                      <a:ext cx="5827395" cy="8083550"/>
                    </a:xfrm>
                    <a:prstGeom prst="rect">
                      <a:avLst/>
                    </a:prstGeom>
                  </pic:spPr>
                </pic:pic>
              </a:graphicData>
            </a:graphic>
          </wp:inline>
        </w:drawing>
      </w:r>
    </w:p>
    <w:p>
      <w:pPr>
        <w:widowControl/>
        <w:spacing w:line="540" w:lineRule="exact"/>
        <w:rPr>
          <w:rFonts w:ascii="宋体" w:hAnsi="宋体"/>
          <w:b/>
          <w:bCs/>
          <w:kern w:val="0"/>
          <w:sz w:val="24"/>
        </w:rPr>
      </w:pPr>
    </w:p>
    <w:p>
      <w:pPr>
        <w:widowControl/>
        <w:spacing w:line="540" w:lineRule="exact"/>
        <w:rPr>
          <w:rFonts w:ascii="宋体" w:hAnsi="宋体"/>
          <w:b/>
          <w:bCs/>
          <w:kern w:val="0"/>
          <w:sz w:val="24"/>
        </w:rPr>
      </w:pPr>
    </w:p>
    <w:p>
      <w:pPr>
        <w:widowControl/>
        <w:spacing w:line="540" w:lineRule="exact"/>
        <w:rPr>
          <w:rFonts w:ascii="宋体" w:hAnsi="宋体"/>
          <w:b/>
          <w:bCs/>
          <w:kern w:val="0"/>
          <w:sz w:val="24"/>
        </w:rPr>
      </w:pPr>
      <w:r>
        <w:rPr>
          <w:rFonts w:hint="eastAsia" w:ascii="宋体" w:hAnsi="宋体"/>
          <w:b/>
          <w:bCs/>
          <w:kern w:val="0"/>
          <w:sz w:val="24"/>
        </w:rPr>
        <w:t>附件2：工厂平面布置图</w:t>
      </w:r>
    </w:p>
    <w:p>
      <w:pPr>
        <w:widowControl/>
        <w:rPr>
          <w:rFonts w:ascii="宋体" w:hAnsi="宋体"/>
          <w:b/>
          <w:bCs/>
          <w:kern w:val="0"/>
          <w:sz w:val="24"/>
        </w:rPr>
      </w:pPr>
    </w:p>
    <w:p>
      <w:pPr>
        <w:widowControl/>
        <w:jc w:val="center"/>
        <w:rPr>
          <w:rFonts w:ascii="宋体" w:hAnsi="宋体"/>
          <w:b/>
          <w:bCs/>
          <w:kern w:val="0"/>
          <w:sz w:val="24"/>
        </w:rPr>
        <w:sectPr>
          <w:pgSz w:w="11906" w:h="16838"/>
          <w:pgMar w:top="1418" w:right="1134" w:bottom="1134" w:left="1588" w:header="851" w:footer="992" w:gutter="0"/>
          <w:cols w:space="720" w:num="1"/>
          <w:titlePg/>
          <w:docGrid w:type="lines" w:linePitch="312" w:charSpace="0"/>
        </w:sectPr>
      </w:pPr>
      <w:r>
        <w:rPr>
          <w:rFonts w:hint="eastAsia"/>
          <w:lang w:val="en-US" w:eastAsia="zh-CN"/>
        </w:rPr>
        <w:t xml:space="preserve"> </w:t>
      </w:r>
      <w:r>
        <w:drawing>
          <wp:inline distT="0" distB="0" distL="114300" distR="114300">
            <wp:extent cx="5826760" cy="7143750"/>
            <wp:effectExtent l="0" t="0" r="2540" b="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18"/>
                    <a:stretch>
                      <a:fillRect/>
                    </a:stretch>
                  </pic:blipFill>
                  <pic:spPr>
                    <a:xfrm>
                      <a:off x="0" y="0"/>
                      <a:ext cx="5826760" cy="7143750"/>
                    </a:xfrm>
                    <a:prstGeom prst="rect">
                      <a:avLst/>
                    </a:prstGeom>
                    <a:noFill/>
                    <a:ln>
                      <a:noFill/>
                    </a:ln>
                  </pic:spPr>
                </pic:pic>
              </a:graphicData>
            </a:graphic>
          </wp:inline>
        </w:drawing>
      </w:r>
    </w:p>
    <w:p>
      <w:pPr>
        <w:widowControl/>
        <w:spacing w:line="540" w:lineRule="exact"/>
        <w:rPr>
          <w:rFonts w:ascii="宋体" w:hAnsi="宋体"/>
          <w:b/>
          <w:bCs/>
          <w:kern w:val="0"/>
          <w:sz w:val="24"/>
        </w:rPr>
      </w:pPr>
      <w:r>
        <w:rPr>
          <w:rFonts w:hint="eastAsia" w:ascii="宋体" w:hAnsi="宋体"/>
          <w:b/>
          <w:bCs/>
          <w:kern w:val="0"/>
          <w:sz w:val="24"/>
        </w:rPr>
        <w:t>附件3：安全标准化自评计划</w:t>
      </w:r>
    </w:p>
    <w:tbl>
      <w:tblPr>
        <w:tblStyle w:val="24"/>
        <w:tblW w:w="94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3"/>
        <w:gridCol w:w="1628"/>
        <w:gridCol w:w="4869"/>
        <w:gridCol w:w="14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7" w:hRule="atLeast"/>
        </w:trPr>
        <w:tc>
          <w:tcPr>
            <w:tcW w:w="1473" w:type="dxa"/>
            <w:vAlign w:val="center"/>
          </w:tcPr>
          <w:p>
            <w:pPr>
              <w:spacing w:line="380" w:lineRule="exact"/>
              <w:rPr>
                <w:rFonts w:ascii="宋体" w:hAnsi="宋体"/>
                <w:sz w:val="24"/>
              </w:rPr>
            </w:pPr>
            <w:r>
              <w:rPr>
                <w:rFonts w:hint="eastAsia" w:ascii="宋体" w:hAnsi="宋体"/>
                <w:sz w:val="24"/>
              </w:rPr>
              <w:t>审核目的</w:t>
            </w:r>
          </w:p>
        </w:tc>
        <w:tc>
          <w:tcPr>
            <w:tcW w:w="7927" w:type="dxa"/>
            <w:gridSpan w:val="3"/>
          </w:tcPr>
          <w:p>
            <w:pPr>
              <w:spacing w:line="380" w:lineRule="exact"/>
              <w:rPr>
                <w:rFonts w:ascii="宋体" w:hAnsi="宋体"/>
                <w:sz w:val="24"/>
              </w:rPr>
            </w:pPr>
            <w:r>
              <w:rPr>
                <w:rFonts w:hint="eastAsia" w:ascii="宋体" w:hAnsi="宋体"/>
                <w:sz w:val="24"/>
              </w:rPr>
              <w:t>评价公司在施行安全生产标准化规范上的符合性、适宜性和运行的持续有效性；申请国家认可的考评机构的考评。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0" w:hRule="atLeast"/>
        </w:trPr>
        <w:tc>
          <w:tcPr>
            <w:tcW w:w="1473" w:type="dxa"/>
            <w:vAlign w:val="center"/>
          </w:tcPr>
          <w:p>
            <w:pPr>
              <w:spacing w:line="380" w:lineRule="exact"/>
              <w:rPr>
                <w:rFonts w:ascii="宋体" w:hAnsi="宋体"/>
                <w:sz w:val="24"/>
              </w:rPr>
            </w:pPr>
            <w:r>
              <w:rPr>
                <w:rFonts w:hint="eastAsia" w:ascii="宋体" w:hAnsi="宋体"/>
                <w:sz w:val="24"/>
              </w:rPr>
              <w:t>审核依据</w:t>
            </w:r>
          </w:p>
        </w:tc>
        <w:tc>
          <w:tcPr>
            <w:tcW w:w="7927" w:type="dxa"/>
            <w:gridSpan w:val="3"/>
          </w:tcPr>
          <w:p>
            <w:pPr>
              <w:spacing w:line="380" w:lineRule="exact"/>
              <w:rPr>
                <w:rFonts w:ascii="宋体" w:hAnsi="宋体"/>
                <w:bCs/>
                <w:snapToGrid w:val="0"/>
                <w:kern w:val="0"/>
                <w:sz w:val="24"/>
              </w:rPr>
            </w:pPr>
            <w:r>
              <w:rPr>
                <w:rFonts w:hint="eastAsia" w:ascii="宋体" w:hAnsi="宋体"/>
                <w:bCs/>
                <w:snapToGrid w:val="0"/>
                <w:kern w:val="0"/>
                <w:sz w:val="24"/>
              </w:rPr>
              <w:t>《国家安全监管总局关于印发企业安全生产标准化评审工作管理办法（试行）的通知》（安监总办〔2014〕49号）</w:t>
            </w:r>
          </w:p>
          <w:p>
            <w:pPr>
              <w:spacing w:line="380" w:lineRule="exact"/>
              <w:rPr>
                <w:rFonts w:ascii="宋体" w:hAnsi="宋体"/>
                <w:snapToGrid w:val="0"/>
                <w:kern w:val="0"/>
                <w:sz w:val="24"/>
              </w:rPr>
            </w:pPr>
            <w:r>
              <w:rPr>
                <w:rFonts w:hint="eastAsia" w:ascii="宋体" w:hAnsi="宋体"/>
                <w:bCs/>
                <w:snapToGrid w:val="0"/>
                <w:kern w:val="0"/>
                <w:sz w:val="24"/>
              </w:rPr>
              <w:t>《危险化学品从业单位安全生产标准化基本规范》</w:t>
            </w:r>
            <w:r>
              <w:rPr>
                <w:rFonts w:hint="eastAsia" w:ascii="宋体" w:hAnsi="宋体"/>
                <w:snapToGrid w:val="0"/>
                <w:kern w:val="0"/>
                <w:sz w:val="24"/>
              </w:rPr>
              <w:t>；</w:t>
            </w:r>
          </w:p>
          <w:p>
            <w:pPr>
              <w:spacing w:line="380" w:lineRule="exact"/>
              <w:rPr>
                <w:rFonts w:ascii="宋体" w:hAnsi="宋体"/>
                <w:sz w:val="24"/>
              </w:rPr>
            </w:pPr>
            <w:r>
              <w:rPr>
                <w:rFonts w:hint="eastAsia" w:ascii="宋体" w:hAnsi="宋体"/>
                <w:sz w:val="24"/>
              </w:rPr>
              <w:t>公司与规范相关的文件；相关法律法规；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5" w:hRule="atLeast"/>
        </w:trPr>
        <w:tc>
          <w:tcPr>
            <w:tcW w:w="1473" w:type="dxa"/>
            <w:vAlign w:val="center"/>
          </w:tcPr>
          <w:p>
            <w:pPr>
              <w:spacing w:line="380" w:lineRule="exact"/>
              <w:rPr>
                <w:rFonts w:ascii="宋体" w:hAnsi="宋体"/>
                <w:sz w:val="24"/>
              </w:rPr>
            </w:pPr>
            <w:r>
              <w:rPr>
                <w:rFonts w:hint="eastAsia" w:ascii="宋体" w:hAnsi="宋体"/>
                <w:sz w:val="24"/>
              </w:rPr>
              <w:t>自评范围</w:t>
            </w:r>
          </w:p>
        </w:tc>
        <w:tc>
          <w:tcPr>
            <w:tcW w:w="7927" w:type="dxa"/>
            <w:gridSpan w:val="3"/>
          </w:tcPr>
          <w:p>
            <w:pPr>
              <w:spacing w:line="380" w:lineRule="exact"/>
              <w:rPr>
                <w:rFonts w:ascii="宋体" w:hAnsi="宋体"/>
                <w:sz w:val="24"/>
              </w:rPr>
            </w:pPr>
            <w:r>
              <w:rPr>
                <w:rFonts w:hint="eastAsia" w:ascii="宋体" w:hAnsi="宋体"/>
                <w:sz w:val="24"/>
              </w:rPr>
              <w:t>公司安全生产管理所有内容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473" w:type="dxa"/>
            <w:vAlign w:val="center"/>
          </w:tcPr>
          <w:p>
            <w:pPr>
              <w:spacing w:line="380" w:lineRule="exact"/>
              <w:rPr>
                <w:rFonts w:ascii="宋体" w:hAnsi="宋体"/>
                <w:sz w:val="24"/>
              </w:rPr>
            </w:pPr>
            <w:r>
              <w:rPr>
                <w:rFonts w:hint="eastAsia" w:ascii="宋体" w:hAnsi="宋体"/>
                <w:sz w:val="24"/>
              </w:rPr>
              <w:t>自评成员</w:t>
            </w:r>
          </w:p>
        </w:tc>
        <w:tc>
          <w:tcPr>
            <w:tcW w:w="7927" w:type="dxa"/>
            <w:gridSpan w:val="3"/>
            <w:vAlign w:val="center"/>
          </w:tcPr>
          <w:p>
            <w:pPr>
              <w:spacing w:line="380" w:lineRule="exact"/>
              <w:rPr>
                <w:rFonts w:hint="eastAsia" w:eastAsia="宋体"/>
                <w:sz w:val="24"/>
                <w:lang w:eastAsia="zh-CN"/>
              </w:rPr>
            </w:pPr>
            <w:r>
              <w:rPr>
                <w:rFonts w:hint="eastAsia"/>
                <w:sz w:val="24"/>
              </w:rPr>
              <w:t>祝捷、张克、</w:t>
            </w:r>
            <w:r>
              <w:rPr>
                <w:rFonts w:hint="eastAsia"/>
                <w:sz w:val="24"/>
                <w:lang w:eastAsia="zh-CN"/>
              </w:rPr>
              <w:t>陈利平</w:t>
            </w:r>
            <w:r>
              <w:rPr>
                <w:rFonts w:hint="eastAsia"/>
                <w:sz w:val="24"/>
              </w:rPr>
              <w:t>、陈宏、刘付俊、王明胜、</w:t>
            </w:r>
            <w:r>
              <w:rPr>
                <w:rFonts w:hint="eastAsia"/>
                <w:sz w:val="24"/>
                <w:lang w:eastAsia="zh-CN"/>
              </w:rPr>
              <w:t>余玉际</w:t>
            </w:r>
            <w:r>
              <w:rPr>
                <w:rFonts w:hint="eastAsia"/>
                <w:sz w:val="24"/>
              </w:rPr>
              <w:t>、</w:t>
            </w:r>
            <w:r>
              <w:rPr>
                <w:rFonts w:hint="eastAsia"/>
                <w:sz w:val="24"/>
                <w:lang w:eastAsia="zh-CN"/>
              </w:rPr>
              <w:t>陈建国</w:t>
            </w:r>
            <w:r>
              <w:rPr>
                <w:rFonts w:hint="eastAsia"/>
                <w:sz w:val="24"/>
              </w:rPr>
              <w:t>、</w:t>
            </w:r>
            <w:r>
              <w:rPr>
                <w:rFonts w:hint="eastAsia"/>
                <w:sz w:val="24"/>
                <w:lang w:eastAsia="zh-CN"/>
              </w:rPr>
              <w:t>钱小清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473" w:type="dxa"/>
          </w:tcPr>
          <w:p>
            <w:pPr>
              <w:spacing w:line="380" w:lineRule="exact"/>
              <w:jc w:val="center"/>
              <w:rPr>
                <w:rFonts w:ascii="宋体" w:hAnsi="宋体"/>
                <w:sz w:val="24"/>
              </w:rPr>
            </w:pPr>
            <w:r>
              <w:rPr>
                <w:rFonts w:hint="eastAsia" w:ascii="宋体" w:hAnsi="宋体"/>
                <w:sz w:val="24"/>
              </w:rPr>
              <w:t>日期</w:t>
            </w:r>
          </w:p>
        </w:tc>
        <w:tc>
          <w:tcPr>
            <w:tcW w:w="1628" w:type="dxa"/>
            <w:vAlign w:val="center"/>
          </w:tcPr>
          <w:p>
            <w:pPr>
              <w:spacing w:line="380" w:lineRule="exact"/>
              <w:jc w:val="center"/>
              <w:rPr>
                <w:rFonts w:ascii="宋体" w:hAnsi="宋体"/>
                <w:sz w:val="24"/>
              </w:rPr>
            </w:pPr>
            <w:r>
              <w:rPr>
                <w:rFonts w:hint="eastAsia" w:ascii="宋体" w:hAnsi="宋体"/>
                <w:sz w:val="24"/>
              </w:rPr>
              <w:t>时间</w:t>
            </w:r>
          </w:p>
        </w:tc>
        <w:tc>
          <w:tcPr>
            <w:tcW w:w="4869" w:type="dxa"/>
            <w:vAlign w:val="center"/>
          </w:tcPr>
          <w:p>
            <w:pPr>
              <w:spacing w:line="380" w:lineRule="exact"/>
              <w:jc w:val="center"/>
              <w:rPr>
                <w:rFonts w:ascii="宋体" w:hAnsi="宋体"/>
                <w:sz w:val="24"/>
              </w:rPr>
            </w:pPr>
            <w:r>
              <w:rPr>
                <w:rFonts w:hint="eastAsia" w:ascii="宋体" w:hAnsi="宋体"/>
                <w:sz w:val="24"/>
              </w:rPr>
              <w:t xml:space="preserve">部门/ 内容 </w:t>
            </w:r>
          </w:p>
        </w:tc>
        <w:tc>
          <w:tcPr>
            <w:tcW w:w="1430" w:type="dxa"/>
            <w:vAlign w:val="center"/>
          </w:tcPr>
          <w:p>
            <w:pPr>
              <w:spacing w:line="380" w:lineRule="exact"/>
              <w:jc w:val="center"/>
              <w:rPr>
                <w:rFonts w:ascii="宋体" w:hAnsi="宋体"/>
                <w:sz w:val="24"/>
              </w:rPr>
            </w:pPr>
            <w:r>
              <w:rPr>
                <w:rFonts w:hint="eastAsia" w:ascii="宋体" w:hAnsi="宋体"/>
                <w:sz w:val="24"/>
              </w:rPr>
              <w:t>自评员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1473" w:type="dxa"/>
          </w:tcPr>
          <w:p>
            <w:pPr>
              <w:spacing w:line="380" w:lineRule="exact"/>
              <w:jc w:val="center"/>
              <w:rPr>
                <w:rFonts w:hint="default" w:ascii="宋体" w:hAnsi="宋体" w:eastAsia="宋体"/>
                <w:snapToGrid w:val="0"/>
                <w:kern w:val="0"/>
                <w:sz w:val="24"/>
                <w:lang w:val="en-US" w:eastAsia="zh-CN"/>
              </w:rPr>
            </w:pPr>
            <w:r>
              <w:rPr>
                <w:rFonts w:hint="eastAsia" w:ascii="宋体" w:hAnsi="宋体"/>
                <w:snapToGrid w:val="0"/>
                <w:kern w:val="0"/>
                <w:sz w:val="24"/>
              </w:rPr>
              <w:t>202</w:t>
            </w:r>
            <w:r>
              <w:rPr>
                <w:rFonts w:hint="eastAsia" w:ascii="宋体" w:hAnsi="宋体"/>
                <w:snapToGrid w:val="0"/>
                <w:kern w:val="0"/>
                <w:sz w:val="24"/>
                <w:lang w:val="en-US" w:eastAsia="zh-CN"/>
              </w:rPr>
              <w:t>3</w:t>
            </w:r>
            <w:r>
              <w:rPr>
                <w:rFonts w:hint="eastAsia" w:ascii="宋体" w:hAnsi="宋体"/>
                <w:snapToGrid w:val="0"/>
                <w:kern w:val="0"/>
                <w:sz w:val="24"/>
              </w:rPr>
              <w:t>/1</w:t>
            </w:r>
            <w:r>
              <w:rPr>
                <w:rFonts w:hint="eastAsia" w:ascii="宋体" w:hAnsi="宋体"/>
                <w:snapToGrid w:val="0"/>
                <w:kern w:val="0"/>
                <w:sz w:val="24"/>
                <w:lang w:val="en-US" w:eastAsia="zh-CN"/>
              </w:rPr>
              <w:t>1</w:t>
            </w:r>
            <w:r>
              <w:rPr>
                <w:rFonts w:hint="eastAsia" w:ascii="宋体" w:hAnsi="宋体"/>
                <w:snapToGrid w:val="0"/>
                <w:kern w:val="0"/>
                <w:sz w:val="24"/>
              </w:rPr>
              <w:t>/</w:t>
            </w:r>
            <w:r>
              <w:rPr>
                <w:rFonts w:hint="eastAsia" w:ascii="宋体" w:hAnsi="宋体"/>
                <w:snapToGrid w:val="0"/>
                <w:kern w:val="0"/>
                <w:sz w:val="24"/>
                <w:lang w:val="en-US" w:eastAsia="zh-CN"/>
              </w:rPr>
              <w:t>14</w:t>
            </w:r>
          </w:p>
        </w:tc>
        <w:tc>
          <w:tcPr>
            <w:tcW w:w="1628" w:type="dxa"/>
          </w:tcPr>
          <w:p>
            <w:pPr>
              <w:spacing w:line="380" w:lineRule="exact"/>
              <w:rPr>
                <w:rFonts w:ascii="宋体" w:hAnsi="宋体"/>
                <w:snapToGrid w:val="0"/>
                <w:kern w:val="0"/>
                <w:sz w:val="24"/>
              </w:rPr>
            </w:pPr>
            <w:r>
              <w:rPr>
                <w:rFonts w:hint="eastAsia" w:ascii="宋体" w:hAnsi="宋体"/>
                <w:snapToGrid w:val="0"/>
                <w:kern w:val="0"/>
                <w:sz w:val="24"/>
              </w:rPr>
              <w:t>9:00－9:30</w:t>
            </w:r>
          </w:p>
        </w:tc>
        <w:tc>
          <w:tcPr>
            <w:tcW w:w="4869" w:type="dxa"/>
          </w:tcPr>
          <w:p>
            <w:pPr>
              <w:spacing w:line="380" w:lineRule="exact"/>
              <w:rPr>
                <w:rFonts w:ascii="宋体" w:hAnsi="宋体"/>
                <w:sz w:val="24"/>
              </w:rPr>
            </w:pPr>
            <w:r>
              <w:rPr>
                <w:rFonts w:hint="eastAsia" w:ascii="宋体" w:hAnsi="宋体"/>
                <w:sz w:val="24"/>
              </w:rPr>
              <w:t>首次会议（相关部门负责人、自评员参加）</w:t>
            </w:r>
          </w:p>
        </w:tc>
        <w:tc>
          <w:tcPr>
            <w:tcW w:w="1430" w:type="dxa"/>
          </w:tcPr>
          <w:p>
            <w:pPr>
              <w:spacing w:line="380" w:lineRule="exact"/>
              <w:rPr>
                <w:rFonts w:ascii="宋体" w:hAnsi="宋体"/>
                <w:sz w:val="24"/>
              </w:rPr>
            </w:pPr>
            <w:r>
              <w:rPr>
                <w:rFonts w:hint="eastAsia" w:ascii="宋体" w:hAnsi="宋体"/>
                <w:sz w:val="24"/>
              </w:rPr>
              <w:t xml:space="preserve">   全体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7" w:hRule="atLeast"/>
        </w:trPr>
        <w:tc>
          <w:tcPr>
            <w:tcW w:w="1473" w:type="dxa"/>
            <w:vAlign w:val="center"/>
          </w:tcPr>
          <w:p>
            <w:pPr>
              <w:spacing w:line="380" w:lineRule="exact"/>
              <w:jc w:val="center"/>
              <w:rPr>
                <w:rFonts w:hint="default" w:ascii="宋体" w:hAnsi="宋体" w:eastAsia="宋体"/>
                <w:snapToGrid w:val="0"/>
                <w:kern w:val="0"/>
                <w:sz w:val="24"/>
                <w:lang w:val="en-US" w:eastAsia="zh-CN"/>
              </w:rPr>
            </w:pPr>
            <w:r>
              <w:rPr>
                <w:rFonts w:hint="eastAsia" w:ascii="宋体" w:hAnsi="宋体"/>
                <w:snapToGrid w:val="0"/>
                <w:kern w:val="0"/>
                <w:sz w:val="24"/>
              </w:rPr>
              <w:t>202</w:t>
            </w:r>
            <w:r>
              <w:rPr>
                <w:rFonts w:hint="eastAsia" w:ascii="宋体" w:hAnsi="宋体"/>
                <w:snapToGrid w:val="0"/>
                <w:kern w:val="0"/>
                <w:sz w:val="24"/>
                <w:lang w:val="en-US" w:eastAsia="zh-CN"/>
              </w:rPr>
              <w:t>3</w:t>
            </w:r>
            <w:r>
              <w:rPr>
                <w:rFonts w:hint="eastAsia" w:ascii="宋体" w:hAnsi="宋体"/>
                <w:snapToGrid w:val="0"/>
                <w:kern w:val="0"/>
                <w:sz w:val="24"/>
              </w:rPr>
              <w:t>/1</w:t>
            </w:r>
            <w:r>
              <w:rPr>
                <w:rFonts w:hint="eastAsia" w:ascii="宋体" w:hAnsi="宋体"/>
                <w:snapToGrid w:val="0"/>
                <w:kern w:val="0"/>
                <w:sz w:val="24"/>
                <w:lang w:val="en-US" w:eastAsia="zh-CN"/>
              </w:rPr>
              <w:t>1</w:t>
            </w:r>
            <w:r>
              <w:rPr>
                <w:rFonts w:hint="eastAsia" w:ascii="宋体" w:hAnsi="宋体"/>
                <w:snapToGrid w:val="0"/>
                <w:kern w:val="0"/>
                <w:sz w:val="24"/>
              </w:rPr>
              <w:t>/</w:t>
            </w:r>
            <w:r>
              <w:rPr>
                <w:rFonts w:hint="eastAsia" w:ascii="宋体" w:hAnsi="宋体"/>
                <w:snapToGrid w:val="0"/>
                <w:kern w:val="0"/>
                <w:sz w:val="24"/>
                <w:lang w:val="en-US" w:eastAsia="zh-CN"/>
              </w:rPr>
              <w:t>14</w:t>
            </w:r>
          </w:p>
        </w:tc>
        <w:tc>
          <w:tcPr>
            <w:tcW w:w="1628" w:type="dxa"/>
            <w:vAlign w:val="center"/>
          </w:tcPr>
          <w:p>
            <w:pPr>
              <w:spacing w:line="380" w:lineRule="exact"/>
              <w:jc w:val="center"/>
              <w:rPr>
                <w:rFonts w:ascii="宋体" w:hAnsi="宋体"/>
                <w:snapToGrid w:val="0"/>
                <w:kern w:val="0"/>
                <w:sz w:val="24"/>
              </w:rPr>
            </w:pPr>
            <w:r>
              <w:rPr>
                <w:rFonts w:hint="eastAsia" w:ascii="宋体" w:hAnsi="宋体"/>
                <w:snapToGrid w:val="0"/>
                <w:kern w:val="0"/>
                <w:sz w:val="24"/>
              </w:rPr>
              <w:t>9:30－17:30</w:t>
            </w:r>
          </w:p>
        </w:tc>
        <w:tc>
          <w:tcPr>
            <w:tcW w:w="4869" w:type="dxa"/>
          </w:tcPr>
          <w:p>
            <w:pPr>
              <w:spacing w:line="380" w:lineRule="exact"/>
              <w:rPr>
                <w:rFonts w:ascii="宋体" w:hAnsi="宋体"/>
                <w:sz w:val="24"/>
              </w:rPr>
            </w:pPr>
            <w:r>
              <w:rPr>
                <w:rFonts w:hint="eastAsia" w:ascii="宋体" w:hAnsi="宋体"/>
                <w:sz w:val="24"/>
              </w:rPr>
              <w:t xml:space="preserve">基础管理组 </w:t>
            </w:r>
          </w:p>
          <w:p>
            <w:pPr>
              <w:rPr>
                <w:rFonts w:ascii="宋体" w:hAnsi="宋体"/>
                <w:sz w:val="24"/>
              </w:rPr>
            </w:pPr>
            <w:r>
              <w:rPr>
                <w:rFonts w:hint="eastAsia" w:ascii="宋体" w:hAnsi="宋体"/>
                <w:sz w:val="24"/>
              </w:rPr>
              <w:t>主要条款：目标、组织机构和职责、安全生产投入、法律法规与安全管理制度、教育培训</w:t>
            </w:r>
          </w:p>
        </w:tc>
        <w:tc>
          <w:tcPr>
            <w:tcW w:w="1430" w:type="dxa"/>
            <w:vAlign w:val="center"/>
          </w:tcPr>
          <w:p>
            <w:pPr>
              <w:spacing w:line="380" w:lineRule="exact"/>
              <w:jc w:val="center"/>
              <w:rPr>
                <w:sz w:val="24"/>
              </w:rPr>
            </w:pPr>
          </w:p>
          <w:p>
            <w:pPr>
              <w:spacing w:line="380" w:lineRule="exact"/>
              <w:jc w:val="center"/>
              <w:rPr>
                <w:sz w:val="24"/>
              </w:rPr>
            </w:pPr>
            <w:r>
              <w:rPr>
                <w:rFonts w:hint="eastAsia" w:ascii="宋体" w:hAnsi="宋体"/>
                <w:sz w:val="24"/>
              </w:rPr>
              <w:t>全体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2" w:hRule="atLeast"/>
        </w:trPr>
        <w:tc>
          <w:tcPr>
            <w:tcW w:w="1473" w:type="dxa"/>
            <w:vAlign w:val="center"/>
          </w:tcPr>
          <w:p>
            <w:pPr>
              <w:spacing w:line="380" w:lineRule="exact"/>
              <w:jc w:val="center"/>
              <w:rPr>
                <w:rFonts w:hint="eastAsia" w:ascii="宋体" w:hAnsi="宋体" w:eastAsia="宋体"/>
                <w:snapToGrid w:val="0"/>
                <w:kern w:val="0"/>
                <w:sz w:val="24"/>
                <w:lang w:eastAsia="zh-CN"/>
              </w:rPr>
            </w:pPr>
            <w:r>
              <w:rPr>
                <w:rFonts w:hint="eastAsia" w:ascii="宋体" w:hAnsi="宋体"/>
                <w:snapToGrid w:val="0"/>
                <w:kern w:val="0"/>
                <w:sz w:val="24"/>
              </w:rPr>
              <w:t>202</w:t>
            </w:r>
            <w:r>
              <w:rPr>
                <w:rFonts w:hint="eastAsia" w:ascii="宋体" w:hAnsi="宋体"/>
                <w:snapToGrid w:val="0"/>
                <w:kern w:val="0"/>
                <w:sz w:val="24"/>
                <w:lang w:val="en-US" w:eastAsia="zh-CN"/>
              </w:rPr>
              <w:t>3</w:t>
            </w:r>
            <w:r>
              <w:rPr>
                <w:rFonts w:hint="eastAsia" w:ascii="宋体" w:hAnsi="宋体"/>
                <w:snapToGrid w:val="0"/>
                <w:kern w:val="0"/>
                <w:sz w:val="24"/>
              </w:rPr>
              <w:t>/1</w:t>
            </w:r>
            <w:r>
              <w:rPr>
                <w:rFonts w:hint="eastAsia" w:ascii="宋体" w:hAnsi="宋体"/>
                <w:snapToGrid w:val="0"/>
                <w:kern w:val="0"/>
                <w:sz w:val="24"/>
                <w:lang w:val="en-US" w:eastAsia="zh-CN"/>
              </w:rPr>
              <w:t>1</w:t>
            </w:r>
            <w:r>
              <w:rPr>
                <w:rFonts w:hint="eastAsia" w:ascii="宋体" w:hAnsi="宋体"/>
                <w:snapToGrid w:val="0"/>
                <w:kern w:val="0"/>
                <w:sz w:val="24"/>
              </w:rPr>
              <w:t>/1</w:t>
            </w:r>
            <w:r>
              <w:rPr>
                <w:rFonts w:hint="eastAsia" w:ascii="宋体" w:hAnsi="宋体"/>
                <w:snapToGrid w:val="0"/>
                <w:kern w:val="0"/>
                <w:sz w:val="24"/>
                <w:lang w:val="en-US" w:eastAsia="zh-CN"/>
              </w:rPr>
              <w:t>4</w:t>
            </w:r>
          </w:p>
        </w:tc>
        <w:tc>
          <w:tcPr>
            <w:tcW w:w="1628" w:type="dxa"/>
            <w:vAlign w:val="center"/>
          </w:tcPr>
          <w:p>
            <w:pPr>
              <w:spacing w:line="380" w:lineRule="exact"/>
              <w:jc w:val="center"/>
              <w:rPr>
                <w:rFonts w:ascii="宋体" w:hAnsi="宋体"/>
                <w:snapToGrid w:val="0"/>
                <w:kern w:val="0"/>
                <w:sz w:val="24"/>
              </w:rPr>
            </w:pPr>
            <w:r>
              <w:rPr>
                <w:rFonts w:hint="eastAsia" w:ascii="宋体" w:hAnsi="宋体"/>
                <w:snapToGrid w:val="0"/>
                <w:kern w:val="0"/>
                <w:sz w:val="24"/>
              </w:rPr>
              <w:t>9:30－17:30</w:t>
            </w:r>
          </w:p>
        </w:tc>
        <w:tc>
          <w:tcPr>
            <w:tcW w:w="4869" w:type="dxa"/>
          </w:tcPr>
          <w:p>
            <w:pPr>
              <w:rPr>
                <w:rFonts w:ascii="宋体" w:hAnsi="宋体"/>
                <w:sz w:val="24"/>
              </w:rPr>
            </w:pPr>
            <w:r>
              <w:rPr>
                <w:rFonts w:hint="eastAsia" w:ascii="宋体" w:hAnsi="宋体"/>
                <w:sz w:val="24"/>
              </w:rPr>
              <w:t>生产设备设施组</w:t>
            </w:r>
          </w:p>
          <w:p>
            <w:pPr>
              <w:rPr>
                <w:rFonts w:ascii="宋体" w:hAnsi="宋体"/>
                <w:sz w:val="24"/>
              </w:rPr>
            </w:pPr>
            <w:r>
              <w:rPr>
                <w:rFonts w:hint="eastAsia" w:ascii="宋体" w:hAnsi="宋体"/>
                <w:sz w:val="24"/>
              </w:rPr>
              <w:t>检查：各车间</w:t>
            </w:r>
          </w:p>
        </w:tc>
        <w:tc>
          <w:tcPr>
            <w:tcW w:w="1430" w:type="dxa"/>
            <w:vAlign w:val="center"/>
          </w:tcPr>
          <w:p>
            <w:pPr>
              <w:spacing w:line="380" w:lineRule="exact"/>
              <w:jc w:val="center"/>
              <w:rPr>
                <w:sz w:val="24"/>
              </w:rPr>
            </w:pPr>
            <w:r>
              <w:rPr>
                <w:rFonts w:hint="eastAsia" w:ascii="宋体" w:hAnsi="宋体"/>
                <w:sz w:val="24"/>
              </w:rPr>
              <w:t>全体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3" w:hRule="atLeast"/>
        </w:trPr>
        <w:tc>
          <w:tcPr>
            <w:tcW w:w="1473" w:type="dxa"/>
            <w:vAlign w:val="center"/>
          </w:tcPr>
          <w:p>
            <w:pPr>
              <w:spacing w:line="380" w:lineRule="exact"/>
              <w:jc w:val="center"/>
              <w:rPr>
                <w:rFonts w:hint="eastAsia" w:ascii="宋体" w:hAnsi="宋体" w:eastAsia="宋体"/>
                <w:snapToGrid w:val="0"/>
                <w:kern w:val="0"/>
                <w:sz w:val="24"/>
                <w:lang w:eastAsia="zh-CN"/>
              </w:rPr>
            </w:pPr>
            <w:r>
              <w:rPr>
                <w:rFonts w:hint="eastAsia" w:ascii="宋体" w:hAnsi="宋体"/>
                <w:snapToGrid w:val="0"/>
                <w:kern w:val="0"/>
                <w:sz w:val="24"/>
              </w:rPr>
              <w:t>202</w:t>
            </w:r>
            <w:r>
              <w:rPr>
                <w:rFonts w:hint="eastAsia" w:ascii="宋体" w:hAnsi="宋体"/>
                <w:snapToGrid w:val="0"/>
                <w:kern w:val="0"/>
                <w:sz w:val="24"/>
                <w:lang w:val="en-US" w:eastAsia="zh-CN"/>
              </w:rPr>
              <w:t>3</w:t>
            </w:r>
            <w:r>
              <w:rPr>
                <w:rFonts w:hint="eastAsia" w:ascii="宋体" w:hAnsi="宋体"/>
                <w:snapToGrid w:val="0"/>
                <w:kern w:val="0"/>
                <w:sz w:val="24"/>
              </w:rPr>
              <w:t>/1</w:t>
            </w:r>
            <w:r>
              <w:rPr>
                <w:rFonts w:hint="eastAsia" w:ascii="宋体" w:hAnsi="宋体"/>
                <w:snapToGrid w:val="0"/>
                <w:kern w:val="0"/>
                <w:sz w:val="24"/>
                <w:lang w:val="en-US" w:eastAsia="zh-CN"/>
              </w:rPr>
              <w:t>1</w:t>
            </w:r>
            <w:r>
              <w:rPr>
                <w:rFonts w:hint="eastAsia" w:ascii="宋体" w:hAnsi="宋体"/>
                <w:snapToGrid w:val="0"/>
                <w:kern w:val="0"/>
                <w:sz w:val="24"/>
              </w:rPr>
              <w:t>/1</w:t>
            </w:r>
            <w:r>
              <w:rPr>
                <w:rFonts w:hint="eastAsia" w:ascii="宋体" w:hAnsi="宋体"/>
                <w:snapToGrid w:val="0"/>
                <w:kern w:val="0"/>
                <w:sz w:val="24"/>
                <w:lang w:val="en-US" w:eastAsia="zh-CN"/>
              </w:rPr>
              <w:t>5</w:t>
            </w:r>
          </w:p>
        </w:tc>
        <w:tc>
          <w:tcPr>
            <w:tcW w:w="1628" w:type="dxa"/>
            <w:vAlign w:val="center"/>
          </w:tcPr>
          <w:p>
            <w:pPr>
              <w:spacing w:line="380" w:lineRule="exact"/>
              <w:jc w:val="center"/>
              <w:rPr>
                <w:rFonts w:ascii="宋体" w:hAnsi="宋体"/>
                <w:snapToGrid w:val="0"/>
                <w:kern w:val="0"/>
                <w:sz w:val="24"/>
              </w:rPr>
            </w:pPr>
            <w:r>
              <w:rPr>
                <w:rFonts w:hint="eastAsia" w:ascii="宋体" w:hAnsi="宋体"/>
                <w:snapToGrid w:val="0"/>
                <w:kern w:val="0"/>
                <w:sz w:val="24"/>
              </w:rPr>
              <w:t>8:30－15:30</w:t>
            </w:r>
          </w:p>
        </w:tc>
        <w:tc>
          <w:tcPr>
            <w:tcW w:w="4869" w:type="dxa"/>
          </w:tcPr>
          <w:p>
            <w:pPr>
              <w:rPr>
                <w:rFonts w:ascii="宋体" w:hAnsi="宋体"/>
                <w:sz w:val="24"/>
              </w:rPr>
            </w:pPr>
            <w:r>
              <w:rPr>
                <w:rFonts w:hint="eastAsia" w:ascii="宋体" w:hAnsi="宋体"/>
                <w:sz w:val="24"/>
              </w:rPr>
              <w:t>生产设备设施组</w:t>
            </w:r>
          </w:p>
          <w:p>
            <w:pPr>
              <w:rPr>
                <w:rFonts w:ascii="宋体" w:hAnsi="宋体"/>
                <w:sz w:val="24"/>
              </w:rPr>
            </w:pPr>
            <w:r>
              <w:rPr>
                <w:rFonts w:hint="eastAsia" w:ascii="宋体" w:hAnsi="宋体"/>
                <w:sz w:val="24"/>
              </w:rPr>
              <w:t>检查：各车间</w:t>
            </w:r>
          </w:p>
        </w:tc>
        <w:tc>
          <w:tcPr>
            <w:tcW w:w="1430" w:type="dxa"/>
            <w:vAlign w:val="center"/>
          </w:tcPr>
          <w:p>
            <w:pPr>
              <w:spacing w:line="380" w:lineRule="exact"/>
              <w:jc w:val="center"/>
              <w:rPr>
                <w:rFonts w:ascii="宋体" w:hAnsi="宋体"/>
                <w:kern w:val="0"/>
                <w:sz w:val="24"/>
              </w:rPr>
            </w:pPr>
            <w:r>
              <w:rPr>
                <w:rFonts w:hint="eastAsia" w:ascii="宋体" w:hAnsi="宋体"/>
                <w:sz w:val="24"/>
              </w:rPr>
              <w:t>全体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3" w:hRule="atLeast"/>
        </w:trPr>
        <w:tc>
          <w:tcPr>
            <w:tcW w:w="1473" w:type="dxa"/>
            <w:vAlign w:val="center"/>
          </w:tcPr>
          <w:p>
            <w:pPr>
              <w:spacing w:line="380" w:lineRule="exact"/>
              <w:jc w:val="center"/>
              <w:rPr>
                <w:rFonts w:hint="default" w:ascii="宋体" w:hAnsi="宋体" w:eastAsia="宋体"/>
                <w:snapToGrid w:val="0"/>
                <w:kern w:val="0"/>
                <w:sz w:val="24"/>
                <w:lang w:val="en-US" w:eastAsia="zh-CN"/>
              </w:rPr>
            </w:pPr>
            <w:r>
              <w:rPr>
                <w:rFonts w:hint="eastAsia" w:ascii="宋体" w:hAnsi="宋体"/>
                <w:snapToGrid w:val="0"/>
                <w:kern w:val="0"/>
                <w:sz w:val="24"/>
              </w:rPr>
              <w:t>202</w:t>
            </w:r>
            <w:r>
              <w:rPr>
                <w:rFonts w:hint="eastAsia" w:ascii="宋体" w:hAnsi="宋体"/>
                <w:snapToGrid w:val="0"/>
                <w:kern w:val="0"/>
                <w:sz w:val="24"/>
                <w:lang w:val="en-US" w:eastAsia="zh-CN"/>
              </w:rPr>
              <w:t>3</w:t>
            </w:r>
            <w:r>
              <w:rPr>
                <w:rFonts w:hint="eastAsia" w:ascii="宋体" w:hAnsi="宋体"/>
                <w:snapToGrid w:val="0"/>
                <w:kern w:val="0"/>
                <w:sz w:val="24"/>
              </w:rPr>
              <w:t>/1</w:t>
            </w:r>
            <w:r>
              <w:rPr>
                <w:rFonts w:hint="eastAsia" w:ascii="宋体" w:hAnsi="宋体"/>
                <w:snapToGrid w:val="0"/>
                <w:kern w:val="0"/>
                <w:sz w:val="24"/>
                <w:lang w:val="en-US" w:eastAsia="zh-CN"/>
              </w:rPr>
              <w:t>1</w:t>
            </w:r>
            <w:r>
              <w:rPr>
                <w:rFonts w:hint="eastAsia" w:ascii="宋体" w:hAnsi="宋体"/>
                <w:snapToGrid w:val="0"/>
                <w:kern w:val="0"/>
                <w:sz w:val="24"/>
              </w:rPr>
              <w:t>/</w:t>
            </w:r>
            <w:r>
              <w:rPr>
                <w:rFonts w:hint="eastAsia" w:ascii="宋体" w:hAnsi="宋体"/>
                <w:snapToGrid w:val="0"/>
                <w:kern w:val="0"/>
                <w:sz w:val="24"/>
                <w:lang w:val="en-US" w:eastAsia="zh-CN"/>
              </w:rPr>
              <w:t>20</w:t>
            </w:r>
          </w:p>
        </w:tc>
        <w:tc>
          <w:tcPr>
            <w:tcW w:w="1628" w:type="dxa"/>
            <w:vAlign w:val="center"/>
          </w:tcPr>
          <w:p>
            <w:pPr>
              <w:spacing w:line="380" w:lineRule="exact"/>
              <w:jc w:val="center"/>
              <w:rPr>
                <w:rFonts w:ascii="宋体" w:hAnsi="宋体"/>
                <w:snapToGrid w:val="0"/>
                <w:kern w:val="0"/>
                <w:sz w:val="24"/>
              </w:rPr>
            </w:pPr>
            <w:r>
              <w:rPr>
                <w:rFonts w:hint="eastAsia" w:ascii="宋体" w:hAnsi="宋体"/>
                <w:snapToGrid w:val="0"/>
                <w:kern w:val="0"/>
                <w:sz w:val="24"/>
              </w:rPr>
              <w:t>8:30－15:30</w:t>
            </w:r>
          </w:p>
        </w:tc>
        <w:tc>
          <w:tcPr>
            <w:tcW w:w="4869" w:type="dxa"/>
          </w:tcPr>
          <w:p>
            <w:pPr>
              <w:spacing w:line="380" w:lineRule="exact"/>
              <w:rPr>
                <w:rFonts w:ascii="宋体" w:hAnsi="宋体"/>
                <w:sz w:val="24"/>
              </w:rPr>
            </w:pPr>
            <w:r>
              <w:rPr>
                <w:rFonts w:hint="eastAsia" w:ascii="宋体" w:hAnsi="宋体"/>
                <w:sz w:val="24"/>
              </w:rPr>
              <w:t xml:space="preserve">基础管理组 </w:t>
            </w:r>
          </w:p>
          <w:p>
            <w:pPr>
              <w:rPr>
                <w:rFonts w:ascii="宋体" w:hAnsi="宋体"/>
                <w:sz w:val="24"/>
              </w:rPr>
            </w:pPr>
            <w:r>
              <w:rPr>
                <w:rFonts w:hint="eastAsia" w:ascii="宋体" w:hAnsi="宋体"/>
                <w:sz w:val="24"/>
              </w:rPr>
              <w:t>主要条款：作业安全、隐患排查和治理、重大危险源监控、职业健康、应急救援、事故报告、调查和处理、绩效评定和持续改进。</w:t>
            </w:r>
          </w:p>
        </w:tc>
        <w:tc>
          <w:tcPr>
            <w:tcW w:w="1430" w:type="dxa"/>
            <w:vAlign w:val="center"/>
          </w:tcPr>
          <w:p>
            <w:pPr>
              <w:spacing w:line="380" w:lineRule="exact"/>
              <w:jc w:val="center"/>
              <w:rPr>
                <w:rFonts w:ascii="宋体" w:hAnsi="宋体"/>
                <w:kern w:val="0"/>
                <w:sz w:val="24"/>
              </w:rPr>
            </w:pPr>
            <w:r>
              <w:rPr>
                <w:rFonts w:hint="eastAsia" w:ascii="宋体" w:hAnsi="宋体"/>
                <w:sz w:val="24"/>
              </w:rPr>
              <w:t>全体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8" w:hRule="atLeast"/>
        </w:trPr>
        <w:tc>
          <w:tcPr>
            <w:tcW w:w="1473" w:type="dxa"/>
            <w:vAlign w:val="center"/>
          </w:tcPr>
          <w:p>
            <w:pPr>
              <w:spacing w:line="380" w:lineRule="exact"/>
              <w:jc w:val="center"/>
              <w:rPr>
                <w:rFonts w:hint="default" w:ascii="宋体" w:hAnsi="宋体" w:eastAsia="宋体"/>
                <w:snapToGrid w:val="0"/>
                <w:kern w:val="0"/>
                <w:sz w:val="24"/>
                <w:lang w:val="en-US" w:eastAsia="zh-CN"/>
              </w:rPr>
            </w:pPr>
            <w:r>
              <w:rPr>
                <w:rFonts w:hint="eastAsia" w:ascii="宋体" w:hAnsi="宋体"/>
                <w:snapToGrid w:val="0"/>
                <w:kern w:val="0"/>
                <w:sz w:val="24"/>
              </w:rPr>
              <w:t>202</w:t>
            </w:r>
            <w:r>
              <w:rPr>
                <w:rFonts w:hint="eastAsia" w:ascii="宋体" w:hAnsi="宋体"/>
                <w:snapToGrid w:val="0"/>
                <w:kern w:val="0"/>
                <w:sz w:val="24"/>
                <w:lang w:val="en-US" w:eastAsia="zh-CN"/>
              </w:rPr>
              <w:t>3</w:t>
            </w:r>
            <w:r>
              <w:rPr>
                <w:rFonts w:hint="eastAsia" w:ascii="宋体" w:hAnsi="宋体"/>
                <w:snapToGrid w:val="0"/>
                <w:kern w:val="0"/>
                <w:sz w:val="24"/>
              </w:rPr>
              <w:t>/1</w:t>
            </w:r>
            <w:r>
              <w:rPr>
                <w:rFonts w:hint="eastAsia" w:ascii="宋体" w:hAnsi="宋体"/>
                <w:snapToGrid w:val="0"/>
                <w:kern w:val="0"/>
                <w:sz w:val="24"/>
                <w:lang w:val="en-US" w:eastAsia="zh-CN"/>
              </w:rPr>
              <w:t>1</w:t>
            </w:r>
            <w:r>
              <w:rPr>
                <w:rFonts w:hint="eastAsia" w:ascii="宋体" w:hAnsi="宋体"/>
                <w:snapToGrid w:val="0"/>
                <w:kern w:val="0"/>
                <w:sz w:val="24"/>
              </w:rPr>
              <w:t>/</w:t>
            </w:r>
            <w:r>
              <w:rPr>
                <w:rFonts w:hint="eastAsia" w:ascii="宋体" w:hAnsi="宋体"/>
                <w:snapToGrid w:val="0"/>
                <w:kern w:val="0"/>
                <w:sz w:val="24"/>
                <w:lang w:val="en-US" w:eastAsia="zh-CN"/>
              </w:rPr>
              <w:t>20</w:t>
            </w:r>
          </w:p>
        </w:tc>
        <w:tc>
          <w:tcPr>
            <w:tcW w:w="1628" w:type="dxa"/>
            <w:vAlign w:val="center"/>
          </w:tcPr>
          <w:p>
            <w:pPr>
              <w:spacing w:line="380" w:lineRule="exact"/>
              <w:jc w:val="center"/>
              <w:rPr>
                <w:rFonts w:ascii="宋体" w:hAnsi="宋体"/>
                <w:snapToGrid w:val="0"/>
                <w:kern w:val="0"/>
                <w:sz w:val="24"/>
              </w:rPr>
            </w:pPr>
            <w:r>
              <w:rPr>
                <w:rFonts w:hint="eastAsia" w:ascii="宋体" w:hAnsi="宋体"/>
                <w:snapToGrid w:val="0"/>
                <w:kern w:val="0"/>
                <w:sz w:val="24"/>
              </w:rPr>
              <w:t>15:30－17:30</w:t>
            </w:r>
          </w:p>
        </w:tc>
        <w:tc>
          <w:tcPr>
            <w:tcW w:w="4869" w:type="dxa"/>
          </w:tcPr>
          <w:p>
            <w:pPr>
              <w:spacing w:line="380" w:lineRule="exact"/>
              <w:rPr>
                <w:rFonts w:ascii="宋体" w:hAnsi="宋体"/>
                <w:sz w:val="24"/>
              </w:rPr>
            </w:pPr>
            <w:r>
              <w:rPr>
                <w:rFonts w:hint="eastAsia" w:ascii="宋体" w:hAnsi="宋体"/>
                <w:sz w:val="24"/>
              </w:rPr>
              <w:t>末次会议（相关部门负责人参加）</w:t>
            </w:r>
          </w:p>
          <w:p>
            <w:pPr>
              <w:spacing w:line="380" w:lineRule="exact"/>
              <w:rPr>
                <w:rFonts w:ascii="宋体" w:hAnsi="宋体"/>
                <w:sz w:val="24"/>
              </w:rPr>
            </w:pPr>
            <w:r>
              <w:rPr>
                <w:rFonts w:hint="eastAsia" w:ascii="宋体" w:hAnsi="宋体"/>
                <w:sz w:val="24"/>
              </w:rPr>
              <w:t>自评总结和意见反馈，问题整改意见及计划，申请外部评审工作布置。</w:t>
            </w:r>
          </w:p>
        </w:tc>
        <w:tc>
          <w:tcPr>
            <w:tcW w:w="1430" w:type="dxa"/>
            <w:vAlign w:val="center"/>
          </w:tcPr>
          <w:p>
            <w:pPr>
              <w:spacing w:line="380" w:lineRule="exact"/>
              <w:jc w:val="center"/>
            </w:pPr>
            <w:r>
              <w:rPr>
                <w:rFonts w:hint="eastAsia" w:ascii="宋体" w:hAnsi="宋体"/>
                <w:sz w:val="24"/>
              </w:rPr>
              <w:t xml:space="preserve"> 全体</w:t>
            </w:r>
          </w:p>
        </w:tc>
      </w:tr>
    </w:tbl>
    <w:p>
      <w:pPr>
        <w:spacing w:line="380" w:lineRule="exact"/>
        <w:rPr>
          <w:rFonts w:hint="default" w:ascii="宋体" w:hAnsi="宋体" w:eastAsia="宋体"/>
          <w:b/>
          <w:bCs/>
          <w:kern w:val="0"/>
          <w:sz w:val="28"/>
          <w:szCs w:val="28"/>
          <w:lang w:val="en-US" w:eastAsia="zh-CN"/>
        </w:rPr>
        <w:sectPr>
          <w:pgSz w:w="11906" w:h="16838"/>
          <w:pgMar w:top="1418" w:right="1134" w:bottom="1134" w:left="1588" w:header="851" w:footer="992" w:gutter="0"/>
          <w:cols w:space="720" w:num="1"/>
          <w:titlePg/>
          <w:docGrid w:type="lines" w:linePitch="312" w:charSpace="0"/>
        </w:sectPr>
      </w:pPr>
      <w:r>
        <w:rPr>
          <w:rFonts w:hint="eastAsia" w:ascii="宋体" w:hAnsi="宋体"/>
          <w:kern w:val="0"/>
          <w:sz w:val="24"/>
        </w:rPr>
        <w:t>制表：</w:t>
      </w:r>
      <w:r>
        <w:rPr>
          <w:rFonts w:hint="eastAsia" w:ascii="宋体" w:hAnsi="宋体"/>
          <w:kern w:val="0"/>
          <w:sz w:val="24"/>
          <w:lang w:eastAsia="zh-CN"/>
        </w:rPr>
        <w:t>陈宏</w:t>
      </w:r>
      <w:r>
        <w:rPr>
          <w:rFonts w:hint="eastAsia" w:ascii="宋体" w:hAnsi="宋体"/>
          <w:kern w:val="0"/>
          <w:sz w:val="24"/>
        </w:rPr>
        <w:t xml:space="preserve">                    批准：祝捷                 日期：202</w:t>
      </w:r>
      <w:r>
        <w:rPr>
          <w:rFonts w:hint="eastAsia" w:ascii="宋体" w:hAnsi="宋体"/>
          <w:kern w:val="0"/>
          <w:sz w:val="24"/>
          <w:lang w:val="en-US" w:eastAsia="zh-CN"/>
        </w:rPr>
        <w:t>3</w:t>
      </w:r>
      <w:r>
        <w:rPr>
          <w:rFonts w:hint="eastAsia" w:ascii="宋体" w:hAnsi="宋体"/>
          <w:kern w:val="0"/>
          <w:sz w:val="24"/>
        </w:rPr>
        <w:t>.1</w:t>
      </w:r>
      <w:r>
        <w:rPr>
          <w:rFonts w:hint="eastAsia" w:ascii="宋体" w:hAnsi="宋体"/>
          <w:kern w:val="0"/>
          <w:sz w:val="24"/>
          <w:lang w:val="en-US" w:eastAsia="zh-CN"/>
        </w:rPr>
        <w:t>1</w:t>
      </w:r>
      <w:r>
        <w:rPr>
          <w:rFonts w:hint="eastAsia" w:ascii="宋体" w:hAnsi="宋体"/>
          <w:kern w:val="0"/>
          <w:sz w:val="24"/>
        </w:rPr>
        <w:t>.</w:t>
      </w:r>
      <w:r>
        <w:rPr>
          <w:rFonts w:hint="eastAsia" w:ascii="宋体" w:hAnsi="宋体"/>
          <w:kern w:val="0"/>
          <w:sz w:val="24"/>
          <w:lang w:val="en-US" w:eastAsia="zh-CN"/>
        </w:rPr>
        <w:t>20</w:t>
      </w:r>
    </w:p>
    <w:p>
      <w:pPr>
        <w:spacing w:line="380" w:lineRule="exact"/>
        <w:jc w:val="left"/>
        <w:rPr>
          <w:rFonts w:ascii="宋体" w:hAnsi="宋体"/>
          <w:b/>
          <w:kern w:val="0"/>
          <w:sz w:val="30"/>
          <w:szCs w:val="30"/>
        </w:rPr>
      </w:pPr>
      <w:r>
        <w:rPr>
          <w:rFonts w:hint="eastAsia" w:ascii="宋体" w:hAnsi="宋体"/>
          <w:b/>
          <w:kern w:val="0"/>
          <w:sz w:val="24"/>
        </w:rPr>
        <w:t>附件4：参与自评及首次会、末次会议议程及人员签到表</w:t>
      </w:r>
    </w:p>
    <w:p>
      <w:pPr>
        <w:widowControl/>
        <w:spacing w:line="360" w:lineRule="auto"/>
        <w:jc w:val="center"/>
        <w:rPr>
          <w:rFonts w:ascii="宋体" w:hAnsi="宋体"/>
          <w:b/>
          <w:kern w:val="0"/>
          <w:sz w:val="32"/>
          <w:szCs w:val="32"/>
        </w:rPr>
      </w:pPr>
    </w:p>
    <w:p>
      <w:pPr>
        <w:widowControl/>
        <w:spacing w:line="360" w:lineRule="auto"/>
        <w:jc w:val="center"/>
        <w:rPr>
          <w:rFonts w:ascii="宋体" w:hAnsi="宋体"/>
          <w:b/>
          <w:kern w:val="0"/>
          <w:sz w:val="32"/>
          <w:szCs w:val="32"/>
        </w:rPr>
      </w:pPr>
      <w:r>
        <w:rPr>
          <w:rFonts w:hint="eastAsia" w:ascii="宋体" w:hAnsi="宋体"/>
          <w:b/>
          <w:kern w:val="0"/>
          <w:sz w:val="32"/>
          <w:szCs w:val="32"/>
        </w:rPr>
        <w:t>安全生产标准化自评会议议程</w:t>
      </w:r>
    </w:p>
    <w:p>
      <w:pPr>
        <w:widowControl/>
        <w:spacing w:line="360" w:lineRule="auto"/>
        <w:ind w:firstLine="482" w:firstLineChars="200"/>
        <w:rPr>
          <w:rFonts w:ascii="宋体" w:hAnsi="宋体"/>
          <w:b/>
          <w:bCs/>
          <w:kern w:val="0"/>
          <w:sz w:val="24"/>
        </w:rPr>
      </w:pPr>
      <w:r>
        <w:rPr>
          <w:rFonts w:hint="eastAsia" w:ascii="宋体" w:hAnsi="宋体"/>
          <w:b/>
          <w:bCs/>
          <w:kern w:val="0"/>
          <w:sz w:val="24"/>
        </w:rPr>
        <w:t>一、首次会议：</w:t>
      </w:r>
    </w:p>
    <w:p>
      <w:pPr>
        <w:spacing w:line="360" w:lineRule="auto"/>
        <w:ind w:firstLine="480" w:firstLineChars="200"/>
        <w:rPr>
          <w:rFonts w:ascii="宋体" w:hAnsi="宋体"/>
          <w:kern w:val="0"/>
          <w:sz w:val="24"/>
        </w:rPr>
      </w:pPr>
      <w:r>
        <w:rPr>
          <w:rFonts w:hint="eastAsia" w:ascii="宋体" w:hAnsi="宋体"/>
          <w:kern w:val="0"/>
          <w:sz w:val="24"/>
        </w:rPr>
        <w:t>1、自评组长主持会议</w:t>
      </w:r>
    </w:p>
    <w:p>
      <w:pPr>
        <w:spacing w:line="360" w:lineRule="auto"/>
        <w:ind w:firstLine="480" w:firstLineChars="200"/>
        <w:rPr>
          <w:rFonts w:ascii="宋体" w:hAnsi="宋体"/>
          <w:kern w:val="0"/>
          <w:sz w:val="24"/>
        </w:rPr>
      </w:pPr>
      <w:r>
        <w:rPr>
          <w:rFonts w:hint="eastAsia" w:ascii="宋体" w:hAnsi="宋体"/>
          <w:kern w:val="0"/>
          <w:sz w:val="24"/>
        </w:rPr>
        <w:t>2、自评组长介绍本次自评的意义与目的</w:t>
      </w:r>
    </w:p>
    <w:p>
      <w:pPr>
        <w:spacing w:line="360" w:lineRule="auto"/>
        <w:ind w:firstLine="480" w:firstLineChars="200"/>
        <w:rPr>
          <w:rFonts w:ascii="宋体" w:hAnsi="宋体"/>
          <w:kern w:val="0"/>
          <w:sz w:val="24"/>
        </w:rPr>
      </w:pPr>
      <w:r>
        <w:rPr>
          <w:rFonts w:hint="eastAsia" w:ascii="宋体" w:hAnsi="宋体"/>
          <w:kern w:val="0"/>
          <w:sz w:val="24"/>
        </w:rPr>
        <w:t>3、安全管理负责人介绍本次自评的程序、方法和计划</w:t>
      </w:r>
    </w:p>
    <w:p>
      <w:pPr>
        <w:spacing w:line="360" w:lineRule="auto"/>
        <w:ind w:firstLine="480" w:firstLineChars="200"/>
        <w:rPr>
          <w:rFonts w:ascii="宋体" w:hAnsi="宋体"/>
          <w:kern w:val="0"/>
          <w:sz w:val="24"/>
        </w:rPr>
      </w:pPr>
      <w:r>
        <w:rPr>
          <w:rFonts w:hint="eastAsia" w:ascii="宋体" w:hAnsi="宋体"/>
          <w:kern w:val="0"/>
          <w:sz w:val="24"/>
        </w:rPr>
        <w:t>4、自评组长宣布开展自评工作。</w:t>
      </w:r>
    </w:p>
    <w:p>
      <w:pPr>
        <w:spacing w:line="360" w:lineRule="auto"/>
        <w:ind w:firstLine="482" w:firstLineChars="200"/>
        <w:rPr>
          <w:rFonts w:ascii="宋体" w:hAnsi="宋体"/>
          <w:b/>
          <w:kern w:val="0"/>
          <w:sz w:val="24"/>
        </w:rPr>
      </w:pPr>
      <w:r>
        <w:rPr>
          <w:rFonts w:hint="eastAsia" w:ascii="宋体" w:hAnsi="宋体"/>
          <w:b/>
          <w:bCs/>
          <w:kern w:val="0"/>
          <w:sz w:val="24"/>
        </w:rPr>
        <w:t>二、末次会议：</w:t>
      </w:r>
    </w:p>
    <w:p>
      <w:pPr>
        <w:spacing w:line="360" w:lineRule="auto"/>
        <w:ind w:firstLine="480" w:firstLineChars="200"/>
        <w:rPr>
          <w:rFonts w:ascii="宋体" w:hAnsi="宋体"/>
          <w:kern w:val="0"/>
          <w:sz w:val="24"/>
        </w:rPr>
      </w:pPr>
      <w:r>
        <w:rPr>
          <w:rFonts w:hint="eastAsia" w:ascii="宋体" w:hAnsi="宋体"/>
          <w:kern w:val="0"/>
          <w:sz w:val="24"/>
        </w:rPr>
        <w:t>1、自评组长主持会议</w:t>
      </w:r>
    </w:p>
    <w:p>
      <w:pPr>
        <w:spacing w:line="360" w:lineRule="auto"/>
        <w:ind w:firstLine="480" w:firstLineChars="200"/>
        <w:rPr>
          <w:rFonts w:ascii="宋体" w:hAnsi="宋体"/>
          <w:kern w:val="0"/>
          <w:sz w:val="24"/>
        </w:rPr>
      </w:pPr>
      <w:r>
        <w:rPr>
          <w:rFonts w:hint="eastAsia" w:ascii="宋体" w:hAnsi="宋体"/>
          <w:kern w:val="0"/>
          <w:sz w:val="24"/>
        </w:rPr>
        <w:t>2、自评成员（即各部门负责人）依次反馈自评情况及存在的问题。</w:t>
      </w:r>
    </w:p>
    <w:p>
      <w:pPr>
        <w:spacing w:line="360" w:lineRule="auto"/>
        <w:ind w:firstLine="480" w:firstLineChars="200"/>
        <w:rPr>
          <w:rFonts w:ascii="宋体" w:hAnsi="宋体"/>
          <w:kern w:val="0"/>
          <w:sz w:val="24"/>
        </w:rPr>
      </w:pPr>
      <w:r>
        <w:rPr>
          <w:rFonts w:hint="eastAsia" w:ascii="宋体" w:hAnsi="宋体"/>
          <w:kern w:val="0"/>
          <w:sz w:val="24"/>
        </w:rPr>
        <w:t>3、安全负责人综合自评成员的情况，宣读单位自评最终得分和列出单位需要整改的问题清单。</w:t>
      </w:r>
    </w:p>
    <w:p>
      <w:pPr>
        <w:spacing w:line="360" w:lineRule="auto"/>
        <w:ind w:firstLine="480" w:firstLineChars="200"/>
        <w:rPr>
          <w:rFonts w:ascii="宋体" w:hAnsi="宋体"/>
          <w:kern w:val="0"/>
          <w:sz w:val="24"/>
        </w:rPr>
      </w:pPr>
      <w:r>
        <w:rPr>
          <w:rFonts w:hint="eastAsia" w:ascii="宋体" w:hAnsi="宋体"/>
          <w:kern w:val="0"/>
          <w:sz w:val="24"/>
        </w:rPr>
        <w:t>4、针对在自评过程中提出的问题及意见，各部门讨论整改意见及办法。</w:t>
      </w:r>
    </w:p>
    <w:p>
      <w:pPr>
        <w:spacing w:line="360" w:lineRule="auto"/>
        <w:ind w:firstLine="480" w:firstLineChars="200"/>
        <w:rPr>
          <w:rFonts w:ascii="宋体" w:hAnsi="宋体"/>
          <w:kern w:val="0"/>
          <w:sz w:val="24"/>
        </w:rPr>
      </w:pPr>
      <w:r>
        <w:rPr>
          <w:rFonts w:hint="eastAsia" w:ascii="宋体" w:hAnsi="宋体"/>
          <w:kern w:val="0"/>
          <w:sz w:val="24"/>
        </w:rPr>
        <w:t>5、安全管理负责人总结自评情况及单位安全生产管理工作现状</w:t>
      </w:r>
    </w:p>
    <w:p>
      <w:pPr>
        <w:spacing w:line="360" w:lineRule="auto"/>
        <w:ind w:firstLine="480" w:firstLineChars="200"/>
        <w:rPr>
          <w:rFonts w:ascii="宋体" w:hAnsi="宋体"/>
          <w:kern w:val="0"/>
          <w:sz w:val="24"/>
        </w:rPr>
      </w:pPr>
      <w:r>
        <w:rPr>
          <w:rFonts w:hint="eastAsia" w:ascii="宋体" w:hAnsi="宋体"/>
          <w:kern w:val="0"/>
          <w:sz w:val="24"/>
        </w:rPr>
        <w:t>6、主要负责人布置问题整改任务、责任人及时间。</w:t>
      </w:r>
    </w:p>
    <w:p>
      <w:pPr>
        <w:spacing w:line="360" w:lineRule="auto"/>
        <w:ind w:firstLine="480" w:firstLineChars="200"/>
        <w:rPr>
          <w:rFonts w:ascii="宋体" w:hAnsi="宋体"/>
          <w:kern w:val="0"/>
          <w:sz w:val="28"/>
          <w:szCs w:val="28"/>
        </w:rPr>
      </w:pPr>
      <w:r>
        <w:rPr>
          <w:rFonts w:hint="eastAsia" w:ascii="宋体" w:hAnsi="宋体"/>
          <w:kern w:val="0"/>
          <w:sz w:val="24"/>
        </w:rPr>
        <w:t>7、主要负责人布置申请外部评审的工作计划。</w:t>
      </w:r>
    </w:p>
    <w:p>
      <w:pPr>
        <w:spacing w:line="380" w:lineRule="exact"/>
        <w:jc w:val="center"/>
        <w:rPr>
          <w:rFonts w:ascii="宋体" w:hAnsi="宋体"/>
          <w:b/>
          <w:kern w:val="0"/>
          <w:sz w:val="28"/>
          <w:szCs w:val="28"/>
        </w:rPr>
      </w:pPr>
    </w:p>
    <w:p>
      <w:pPr>
        <w:spacing w:line="380" w:lineRule="exact"/>
        <w:jc w:val="center"/>
        <w:rPr>
          <w:rFonts w:ascii="宋体" w:hAnsi="宋体"/>
          <w:b/>
          <w:kern w:val="0"/>
          <w:sz w:val="28"/>
          <w:szCs w:val="28"/>
        </w:rPr>
      </w:pPr>
    </w:p>
    <w:p>
      <w:pPr>
        <w:spacing w:line="380" w:lineRule="exact"/>
        <w:jc w:val="center"/>
        <w:rPr>
          <w:rFonts w:ascii="宋体" w:hAnsi="宋体"/>
          <w:b/>
          <w:kern w:val="0"/>
          <w:sz w:val="28"/>
          <w:szCs w:val="28"/>
        </w:rPr>
      </w:pPr>
    </w:p>
    <w:p>
      <w:pPr>
        <w:spacing w:line="380" w:lineRule="exact"/>
        <w:jc w:val="center"/>
        <w:rPr>
          <w:rFonts w:ascii="宋体" w:hAnsi="宋体"/>
          <w:b/>
          <w:kern w:val="0"/>
          <w:sz w:val="28"/>
          <w:szCs w:val="28"/>
        </w:rPr>
      </w:pPr>
    </w:p>
    <w:p>
      <w:pPr>
        <w:spacing w:line="380" w:lineRule="exact"/>
        <w:jc w:val="center"/>
        <w:rPr>
          <w:rFonts w:ascii="宋体" w:hAnsi="宋体"/>
          <w:b/>
          <w:kern w:val="0"/>
          <w:sz w:val="28"/>
          <w:szCs w:val="28"/>
        </w:rPr>
      </w:pPr>
    </w:p>
    <w:p>
      <w:pPr>
        <w:spacing w:line="380" w:lineRule="exact"/>
        <w:jc w:val="center"/>
        <w:rPr>
          <w:rFonts w:ascii="宋体" w:hAnsi="宋体"/>
          <w:b/>
          <w:kern w:val="0"/>
          <w:sz w:val="28"/>
          <w:szCs w:val="28"/>
        </w:rPr>
      </w:pPr>
    </w:p>
    <w:p>
      <w:pPr>
        <w:spacing w:line="380" w:lineRule="exact"/>
        <w:jc w:val="center"/>
        <w:rPr>
          <w:rFonts w:ascii="宋体" w:hAnsi="宋体"/>
          <w:b/>
          <w:kern w:val="0"/>
          <w:sz w:val="28"/>
          <w:szCs w:val="28"/>
        </w:rPr>
      </w:pPr>
    </w:p>
    <w:p>
      <w:pPr>
        <w:spacing w:line="380" w:lineRule="exact"/>
        <w:jc w:val="center"/>
        <w:rPr>
          <w:rFonts w:ascii="宋体" w:hAnsi="宋体"/>
          <w:b/>
          <w:kern w:val="0"/>
          <w:sz w:val="28"/>
          <w:szCs w:val="28"/>
        </w:rPr>
      </w:pPr>
    </w:p>
    <w:p>
      <w:pPr>
        <w:spacing w:line="380" w:lineRule="exact"/>
        <w:jc w:val="center"/>
        <w:rPr>
          <w:rFonts w:ascii="宋体" w:hAnsi="宋体"/>
          <w:b/>
          <w:kern w:val="0"/>
          <w:sz w:val="28"/>
          <w:szCs w:val="28"/>
        </w:rPr>
      </w:pPr>
    </w:p>
    <w:p>
      <w:pPr>
        <w:spacing w:line="380" w:lineRule="exact"/>
        <w:jc w:val="center"/>
        <w:rPr>
          <w:rFonts w:ascii="宋体" w:hAnsi="宋体"/>
          <w:b/>
          <w:kern w:val="0"/>
          <w:sz w:val="28"/>
          <w:szCs w:val="28"/>
        </w:rPr>
      </w:pPr>
    </w:p>
    <w:p>
      <w:pPr>
        <w:spacing w:line="380" w:lineRule="exact"/>
        <w:jc w:val="center"/>
        <w:rPr>
          <w:rFonts w:ascii="宋体" w:hAnsi="宋体"/>
          <w:b/>
          <w:kern w:val="0"/>
          <w:sz w:val="28"/>
          <w:szCs w:val="28"/>
        </w:rPr>
      </w:pPr>
    </w:p>
    <w:p>
      <w:pPr>
        <w:spacing w:line="380" w:lineRule="exact"/>
        <w:jc w:val="center"/>
        <w:rPr>
          <w:rFonts w:ascii="宋体" w:hAnsi="宋体"/>
          <w:b/>
          <w:kern w:val="0"/>
          <w:sz w:val="28"/>
          <w:szCs w:val="28"/>
        </w:rPr>
      </w:pPr>
    </w:p>
    <w:p>
      <w:pPr>
        <w:spacing w:line="380" w:lineRule="exact"/>
        <w:jc w:val="center"/>
        <w:rPr>
          <w:rFonts w:ascii="宋体" w:hAnsi="宋体"/>
          <w:b/>
          <w:kern w:val="0"/>
          <w:sz w:val="28"/>
          <w:szCs w:val="28"/>
        </w:rPr>
      </w:pPr>
    </w:p>
    <w:p>
      <w:pPr>
        <w:spacing w:line="380" w:lineRule="exact"/>
        <w:jc w:val="center"/>
        <w:rPr>
          <w:rFonts w:ascii="宋体" w:hAnsi="宋体"/>
          <w:b/>
          <w:kern w:val="0"/>
          <w:sz w:val="28"/>
          <w:szCs w:val="28"/>
        </w:rPr>
      </w:pPr>
    </w:p>
    <w:p>
      <w:pPr>
        <w:spacing w:line="380" w:lineRule="exact"/>
        <w:jc w:val="center"/>
        <w:rPr>
          <w:rFonts w:ascii="宋体" w:hAnsi="宋体"/>
          <w:b/>
          <w:kern w:val="0"/>
          <w:sz w:val="28"/>
          <w:szCs w:val="28"/>
        </w:rPr>
      </w:pPr>
    </w:p>
    <w:p>
      <w:pPr>
        <w:spacing w:line="380" w:lineRule="exact"/>
        <w:rPr>
          <w:rFonts w:ascii="宋体" w:hAnsi="宋体"/>
          <w:b/>
          <w:kern w:val="0"/>
          <w:sz w:val="28"/>
          <w:szCs w:val="28"/>
        </w:rPr>
      </w:pPr>
      <w:r>
        <w:rPr>
          <w:rFonts w:hint="eastAsia" w:ascii="宋体" w:hAnsi="宋体"/>
          <w:b/>
          <w:kern w:val="0"/>
          <w:sz w:val="28"/>
          <w:szCs w:val="28"/>
        </w:rPr>
        <w:t>附件5：工商保险缴纳凭证</w:t>
      </w:r>
    </w:p>
    <w:p>
      <w:pPr>
        <w:rPr>
          <w:rFonts w:hint="eastAsia"/>
          <w:lang w:val="en-US" w:eastAsia="zh-CN"/>
        </w:rPr>
      </w:pPr>
      <w:r>
        <w:rPr>
          <w:rFonts w:hint="eastAsia"/>
          <w:lang w:val="en-US" w:eastAsia="zh-CN"/>
        </w:rPr>
        <w:t xml:space="preserve">    </w:t>
      </w:r>
    </w:p>
    <w:p>
      <w:pPr>
        <w:rPr>
          <w:rFonts w:ascii="宋体" w:hAnsi="宋体"/>
          <w:b/>
          <w:kern w:val="0"/>
          <w:sz w:val="28"/>
          <w:szCs w:val="28"/>
        </w:rPr>
      </w:pPr>
      <w:r>
        <w:rPr>
          <w:rFonts w:hint="eastAsia"/>
          <w:lang w:val="en-US" w:eastAsia="zh-CN"/>
        </w:rPr>
        <w:t xml:space="preserve">    </w:t>
      </w:r>
      <w:r>
        <w:drawing>
          <wp:inline distT="0" distB="0" distL="114300" distR="114300">
            <wp:extent cx="5029200" cy="7094220"/>
            <wp:effectExtent l="0" t="0" r="0" b="11430"/>
            <wp:docPr id="3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
                    <pic:cNvPicPr>
                      <a:picLocks noChangeAspect="1"/>
                    </pic:cNvPicPr>
                  </pic:nvPicPr>
                  <pic:blipFill>
                    <a:blip r:embed="rId19"/>
                    <a:stretch>
                      <a:fillRect/>
                    </a:stretch>
                  </pic:blipFill>
                  <pic:spPr>
                    <a:xfrm>
                      <a:off x="0" y="0"/>
                      <a:ext cx="5029200" cy="7094220"/>
                    </a:xfrm>
                    <a:prstGeom prst="rect">
                      <a:avLst/>
                    </a:prstGeom>
                    <a:noFill/>
                    <a:ln>
                      <a:noFill/>
                    </a:ln>
                  </pic:spPr>
                </pic:pic>
              </a:graphicData>
            </a:graphic>
          </wp:inline>
        </w:drawing>
      </w:r>
    </w:p>
    <w:p>
      <w:pPr>
        <w:spacing w:line="380" w:lineRule="exact"/>
        <w:rPr>
          <w:rFonts w:ascii="宋体" w:hAnsi="宋体"/>
          <w:b/>
          <w:kern w:val="0"/>
          <w:sz w:val="28"/>
          <w:szCs w:val="28"/>
        </w:rPr>
      </w:pPr>
    </w:p>
    <w:p>
      <w:pPr>
        <w:spacing w:line="380" w:lineRule="exact"/>
        <w:rPr>
          <w:rFonts w:ascii="宋体" w:hAnsi="宋体"/>
          <w:b/>
          <w:kern w:val="0"/>
          <w:sz w:val="28"/>
          <w:szCs w:val="28"/>
        </w:rPr>
      </w:pPr>
    </w:p>
    <w:p>
      <w:pPr>
        <w:spacing w:line="380" w:lineRule="exact"/>
        <w:rPr>
          <w:rFonts w:ascii="宋体" w:hAnsi="宋体"/>
          <w:b/>
          <w:kern w:val="0"/>
          <w:sz w:val="28"/>
          <w:szCs w:val="28"/>
        </w:rPr>
      </w:pPr>
    </w:p>
    <w:p/>
    <w:p>
      <w:pPr>
        <w:spacing w:line="380" w:lineRule="exact"/>
        <w:rPr>
          <w:rFonts w:hint="eastAsia" w:ascii="宋体" w:hAnsi="宋体"/>
          <w:b/>
          <w:kern w:val="0"/>
          <w:sz w:val="32"/>
          <w:szCs w:val="32"/>
          <w:lang w:eastAsia="zh-CN"/>
        </w:rPr>
      </w:pPr>
    </w:p>
    <w:tbl>
      <w:tblPr>
        <w:tblStyle w:val="2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4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1" w:hRule="atLeast"/>
        </w:trPr>
        <w:tc>
          <w:tcPr>
            <w:tcW w:w="9400" w:type="dxa"/>
          </w:tcPr>
          <w:p>
            <w:pPr>
              <w:rPr>
                <w:rFonts w:hint="eastAsia"/>
                <w:lang w:eastAsia="zh-CN"/>
              </w:rPr>
            </w:pPr>
            <w:r>
              <w:rPr>
                <w:rFonts w:hint="eastAsia"/>
                <w:lang w:eastAsia="zh-CN"/>
              </w:rPr>
              <w:drawing>
                <wp:inline distT="0" distB="0" distL="114300" distR="114300">
                  <wp:extent cx="5716270" cy="7929880"/>
                  <wp:effectExtent l="0" t="0" r="17780" b="13970"/>
                  <wp:docPr id="21" name="图片 6" descr="2 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6" descr="2 002"/>
                          <pic:cNvPicPr>
                            <a:picLocks noChangeAspect="1"/>
                          </pic:cNvPicPr>
                        </pic:nvPicPr>
                        <pic:blipFill>
                          <a:blip r:embed="rId20"/>
                          <a:stretch>
                            <a:fillRect/>
                          </a:stretch>
                        </pic:blipFill>
                        <pic:spPr>
                          <a:xfrm>
                            <a:off x="0" y="0"/>
                            <a:ext cx="5716270" cy="7929880"/>
                          </a:xfrm>
                          <a:prstGeom prst="rect">
                            <a:avLst/>
                          </a:prstGeom>
                          <a:noFill/>
                          <a:ln>
                            <a:noFill/>
                          </a:ln>
                        </pic:spPr>
                      </pic:pic>
                    </a:graphicData>
                  </a:graphic>
                </wp:inline>
              </w:drawing>
            </w:r>
          </w:p>
        </w:tc>
      </w:tr>
    </w:tbl>
    <w:p>
      <w:pPr>
        <w:spacing w:line="380" w:lineRule="exact"/>
        <w:jc w:val="center"/>
        <w:rPr>
          <w:rFonts w:hint="eastAsia" w:eastAsia="宋体"/>
          <w:u w:val="single"/>
          <w:lang w:eastAsia="zh-CN"/>
        </w:rPr>
      </w:pPr>
    </w:p>
    <w:p>
      <w:pPr>
        <w:spacing w:line="380" w:lineRule="exact"/>
        <w:jc w:val="center"/>
        <w:rPr>
          <w:rFonts w:hint="eastAsia" w:eastAsia="宋体"/>
          <w:u w:val="single"/>
          <w:lang w:eastAsia="zh-CN"/>
        </w:rPr>
      </w:pPr>
    </w:p>
    <w:p>
      <w:pPr>
        <w:spacing w:line="380" w:lineRule="exact"/>
        <w:jc w:val="center"/>
        <w:rPr>
          <w:rFonts w:hint="eastAsia" w:eastAsia="宋体"/>
          <w:u w:val="single"/>
          <w:lang w:eastAsia="zh-CN"/>
        </w:rPr>
      </w:pPr>
    </w:p>
    <w:p>
      <w:pPr>
        <w:spacing w:line="380" w:lineRule="exact"/>
        <w:jc w:val="center"/>
        <w:rPr>
          <w:rFonts w:hint="eastAsia" w:eastAsia="宋体"/>
          <w:u w:val="single"/>
          <w:lang w:eastAsia="zh-CN"/>
        </w:rPr>
      </w:pPr>
    </w:p>
    <w:tbl>
      <w:tblPr>
        <w:tblStyle w:val="2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4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16" w:hRule="atLeast"/>
        </w:trPr>
        <w:tc>
          <w:tcPr>
            <w:tcW w:w="9400" w:type="dxa"/>
          </w:tcPr>
          <w:p>
            <w:pPr>
              <w:rPr>
                <w:rFonts w:hint="eastAsia"/>
                <w:lang w:eastAsia="zh-CN"/>
              </w:rPr>
            </w:pPr>
            <w:r>
              <w:rPr>
                <w:rFonts w:hint="eastAsia"/>
                <w:lang w:eastAsia="zh-CN"/>
              </w:rPr>
              <w:drawing>
                <wp:inline distT="0" distB="0" distL="114300" distR="114300">
                  <wp:extent cx="5751830" cy="7979410"/>
                  <wp:effectExtent l="0" t="0" r="1270" b="2540"/>
                  <wp:docPr id="22" name="图片 7" descr="3 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7" descr="3 002"/>
                          <pic:cNvPicPr>
                            <a:picLocks noChangeAspect="1"/>
                          </pic:cNvPicPr>
                        </pic:nvPicPr>
                        <pic:blipFill>
                          <a:blip r:embed="rId21"/>
                          <a:stretch>
                            <a:fillRect/>
                          </a:stretch>
                        </pic:blipFill>
                        <pic:spPr>
                          <a:xfrm>
                            <a:off x="0" y="0"/>
                            <a:ext cx="5751830" cy="7979410"/>
                          </a:xfrm>
                          <a:prstGeom prst="rect">
                            <a:avLst/>
                          </a:prstGeom>
                          <a:noFill/>
                          <a:ln>
                            <a:noFill/>
                          </a:ln>
                        </pic:spPr>
                      </pic:pic>
                    </a:graphicData>
                  </a:graphic>
                </wp:inline>
              </w:drawing>
            </w:r>
          </w:p>
        </w:tc>
      </w:tr>
    </w:tbl>
    <w:p>
      <w:pPr>
        <w:spacing w:line="380" w:lineRule="exact"/>
        <w:jc w:val="center"/>
        <w:rPr>
          <w:rFonts w:hint="eastAsia" w:eastAsia="宋体"/>
          <w:lang w:eastAsia="zh-CN"/>
        </w:rPr>
      </w:pPr>
    </w:p>
    <w:p>
      <w:pPr>
        <w:spacing w:line="380" w:lineRule="exact"/>
        <w:jc w:val="both"/>
        <w:rPr>
          <w:rFonts w:hint="eastAsia" w:eastAsia="宋体"/>
          <w:lang w:eastAsia="zh-CN"/>
        </w:rPr>
      </w:pPr>
    </w:p>
    <w:p>
      <w:pPr>
        <w:widowControl/>
        <w:spacing w:line="540" w:lineRule="exact"/>
        <w:rPr>
          <w:rFonts w:ascii="宋体" w:hAnsi="宋体"/>
          <w:b/>
          <w:bCs/>
          <w:kern w:val="0"/>
          <w:sz w:val="24"/>
        </w:rPr>
      </w:pPr>
      <w:r>
        <w:rPr>
          <w:rFonts w:hint="eastAsia" w:ascii="宋体" w:hAnsi="宋体"/>
          <w:b/>
          <w:bCs/>
          <w:kern w:val="0"/>
          <w:sz w:val="24"/>
        </w:rPr>
        <w:t>附件6：自评前后现场整改对照照片</w:t>
      </w:r>
    </w:p>
    <w:p>
      <w:pPr>
        <w:widowControl/>
        <w:snapToGrid w:val="0"/>
        <w:spacing w:line="300" w:lineRule="auto"/>
        <w:ind w:right="-94" w:firstLine="240" w:firstLineChars="100"/>
        <w:rPr>
          <w:rFonts w:ascii="宋体" w:hAnsi="宋体" w:cs="宋体"/>
          <w:kern w:val="0"/>
          <w:sz w:val="24"/>
          <w:szCs w:val="24"/>
        </w:rPr>
      </w:pPr>
      <w:r>
        <w:rPr>
          <w:rFonts w:hint="eastAsia" w:ascii="宋体" w:hAnsi="宋体" w:cs="宋体"/>
          <w:kern w:val="0"/>
          <w:sz w:val="24"/>
        </w:rPr>
        <w:t>1、【不符合项描述】：</w:t>
      </w:r>
      <w:r>
        <w:rPr>
          <w:rFonts w:hint="eastAsia" w:ascii="仿宋" w:hAnsi="仿宋" w:eastAsia="仿宋" w:cs="仿宋"/>
          <w:b/>
          <w:bCs/>
          <w:color w:val="333333"/>
          <w:kern w:val="0"/>
          <w:sz w:val="24"/>
          <w:szCs w:val="24"/>
          <w:lang w:val="en-US" w:eastAsia="zh-CN" w:bidi="ar-SA"/>
        </w:rPr>
        <w:t>部分设备标识不清楚，不易于识别；</w:t>
      </w:r>
    </w:p>
    <w:p>
      <w:pPr>
        <w:widowControl/>
        <w:snapToGrid w:val="0"/>
        <w:spacing w:line="300" w:lineRule="auto"/>
        <w:ind w:right="-94" w:firstLine="480" w:firstLineChars="200"/>
        <w:rPr>
          <w:rFonts w:ascii="宋体" w:hAnsi="宋体" w:cs="宋体"/>
          <w:kern w:val="0"/>
          <w:sz w:val="24"/>
          <w:szCs w:val="24"/>
        </w:rPr>
      </w:pPr>
      <w:r>
        <w:rPr>
          <w:rFonts w:hint="eastAsia" w:ascii="宋体" w:hAnsi="宋体" w:cs="宋体"/>
          <w:kern w:val="0"/>
          <w:sz w:val="24"/>
          <w:szCs w:val="24"/>
        </w:rPr>
        <w:t>【整改措施】：</w:t>
      </w:r>
      <w:r>
        <w:rPr>
          <w:rFonts w:hint="eastAsia" w:ascii="仿宋" w:hAnsi="仿宋" w:eastAsia="仿宋" w:cs="仿宋"/>
          <w:b/>
          <w:bCs/>
          <w:color w:val="333333"/>
          <w:kern w:val="0"/>
          <w:sz w:val="24"/>
          <w:szCs w:val="24"/>
          <w:lang w:val="en-US" w:eastAsia="zh-CN" w:bidi="ar-SA"/>
        </w:rPr>
        <w:t>对车间部分及时更换设备标识。</w:t>
      </w:r>
    </w:p>
    <w:tbl>
      <w:tblPr>
        <w:tblStyle w:val="24"/>
        <w:tblW w:w="856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56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60" w:hRule="atLeast"/>
          <w:jc w:val="center"/>
        </w:trPr>
        <w:tc>
          <w:tcPr>
            <w:tcW w:w="8568" w:type="dxa"/>
            <w:tcBorders>
              <w:left w:val="single" w:color="auto" w:sz="4" w:space="0"/>
            </w:tcBorders>
            <w:noWrap/>
            <w:vAlign w:val="center"/>
          </w:tcPr>
          <w:p>
            <w:pPr>
              <w:ind w:firstLine="480"/>
              <w:jc w:val="center"/>
              <w:rPr>
                <w:b/>
                <w:bCs/>
              </w:rPr>
            </w:pPr>
            <w:r>
              <w:rPr>
                <w:rFonts w:hint="eastAsia"/>
                <w:b/>
                <w:bCs/>
              </w:rPr>
              <w:t>整改前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63" w:hRule="atLeast"/>
          <w:jc w:val="center"/>
        </w:trPr>
        <w:tc>
          <w:tcPr>
            <w:tcW w:w="8568" w:type="dxa"/>
            <w:tcBorders>
              <w:left w:val="single" w:color="auto" w:sz="4" w:space="0"/>
            </w:tcBorders>
            <w:noWrap/>
          </w:tcPr>
          <w:p>
            <w:pPr>
              <w:jc w:val="center"/>
              <w:rPr>
                <w:bCs/>
              </w:rPr>
            </w:pPr>
            <w:r>
              <w:rPr>
                <w:rFonts w:hint="eastAsia" w:ascii="仿宋" w:hAnsi="仿宋" w:eastAsia="仿宋" w:cs="仿宋"/>
                <w:color w:val="000000"/>
                <w:sz w:val="28"/>
                <w:szCs w:val="28"/>
                <w:vertAlign w:val="baseline"/>
                <w:lang w:val="en-US" w:eastAsia="zh-CN"/>
              </w:rPr>
              <w:drawing>
                <wp:inline distT="0" distB="0" distL="114300" distR="114300">
                  <wp:extent cx="4058920" cy="3044190"/>
                  <wp:effectExtent l="0" t="0" r="17780" b="3810"/>
                  <wp:docPr id="14" name="图片 14" descr="IMG_6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IMG_6641"/>
                          <pic:cNvPicPr>
                            <a:picLocks noChangeAspect="1"/>
                          </pic:cNvPicPr>
                        </pic:nvPicPr>
                        <pic:blipFill>
                          <a:blip r:embed="rId22"/>
                          <a:stretch>
                            <a:fillRect/>
                          </a:stretch>
                        </pic:blipFill>
                        <pic:spPr>
                          <a:xfrm>
                            <a:off x="0" y="0"/>
                            <a:ext cx="4058920" cy="3044190"/>
                          </a:xfrm>
                          <a:prstGeom prst="rect">
                            <a:avLst/>
                          </a:prstGeom>
                        </pic:spPr>
                      </pic:pic>
                    </a:graphicData>
                  </a:graphic>
                </wp:inline>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6" w:hRule="atLeast"/>
          <w:jc w:val="center"/>
        </w:trPr>
        <w:tc>
          <w:tcPr>
            <w:tcW w:w="8568" w:type="dxa"/>
            <w:tcBorders>
              <w:top w:val="single" w:color="000000" w:sz="4" w:space="0"/>
              <w:left w:val="single" w:color="auto" w:sz="4" w:space="0"/>
              <w:bottom w:val="single" w:color="000000" w:sz="4" w:space="0"/>
              <w:right w:val="single" w:color="000000" w:sz="4" w:space="0"/>
            </w:tcBorders>
            <w:noWrap/>
          </w:tcPr>
          <w:p>
            <w:pPr>
              <w:jc w:val="center"/>
            </w:pPr>
          </w:p>
          <w:p>
            <w:pPr>
              <w:jc w:val="center"/>
              <w:rPr>
                <w:rFonts w:hint="eastAsia"/>
              </w:rPr>
            </w:pPr>
            <w:r>
              <w:rPr>
                <w:rFonts w:hint="eastAsia"/>
              </w:rPr>
              <w:t>整改后</w:t>
            </w:r>
          </w:p>
          <w:p>
            <w:pPr>
              <w:pStyle w:val="23"/>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43" w:hRule="atLeast"/>
          <w:jc w:val="center"/>
        </w:trPr>
        <w:tc>
          <w:tcPr>
            <w:tcW w:w="8568" w:type="dxa"/>
            <w:tcBorders>
              <w:top w:val="single" w:color="000000" w:sz="4" w:space="0"/>
              <w:left w:val="single" w:color="auto" w:sz="4" w:space="0"/>
              <w:bottom w:val="single" w:color="000000" w:sz="4" w:space="0"/>
              <w:right w:val="single" w:color="000000" w:sz="4" w:space="0"/>
            </w:tcBorders>
            <w:noWrap/>
          </w:tcPr>
          <w:p>
            <w:pPr>
              <w:jc w:val="center"/>
              <w:rPr>
                <w:rFonts w:hint="eastAsia" w:eastAsia="宋体"/>
                <w:bCs/>
                <w:lang w:eastAsia="zh-CN"/>
              </w:rPr>
            </w:pPr>
            <w:r>
              <w:rPr>
                <w:rFonts w:hint="eastAsia" w:ascii="仿宋" w:hAnsi="仿宋" w:eastAsia="仿宋" w:cs="仿宋"/>
                <w:sz w:val="28"/>
                <w:szCs w:val="28"/>
              </w:rPr>
              <w:drawing>
                <wp:inline distT="0" distB="0" distL="114300" distR="114300">
                  <wp:extent cx="4163695" cy="3122295"/>
                  <wp:effectExtent l="0" t="0" r="8255" b="1905"/>
                  <wp:docPr id="96" name="图片 96" descr="IMG_6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descr="IMG_6653"/>
                          <pic:cNvPicPr>
                            <a:picLocks noChangeAspect="1"/>
                          </pic:cNvPicPr>
                        </pic:nvPicPr>
                        <pic:blipFill>
                          <a:blip r:embed="rId23"/>
                          <a:stretch>
                            <a:fillRect/>
                          </a:stretch>
                        </pic:blipFill>
                        <pic:spPr>
                          <a:xfrm>
                            <a:off x="0" y="0"/>
                            <a:ext cx="4163695" cy="3122295"/>
                          </a:xfrm>
                          <a:prstGeom prst="rect">
                            <a:avLst/>
                          </a:prstGeom>
                        </pic:spPr>
                      </pic:pic>
                    </a:graphicData>
                  </a:graphic>
                </wp:inline>
              </w:drawing>
            </w:r>
          </w:p>
        </w:tc>
      </w:tr>
    </w:tbl>
    <w:p>
      <w:pPr>
        <w:widowControl/>
        <w:snapToGrid w:val="0"/>
        <w:spacing w:line="300" w:lineRule="auto"/>
        <w:ind w:right="-94"/>
        <w:rPr>
          <w:rFonts w:ascii="宋体" w:hAnsi="宋体" w:cs="宋体"/>
          <w:kern w:val="0"/>
          <w:sz w:val="24"/>
          <w:szCs w:val="24"/>
        </w:rPr>
      </w:pPr>
      <w:r>
        <w:br w:type="page"/>
      </w:r>
      <w:r>
        <w:rPr>
          <w:rFonts w:hint="eastAsia"/>
        </w:rPr>
        <w:t>2、</w:t>
      </w:r>
      <w:r>
        <w:rPr>
          <w:rFonts w:hint="eastAsia" w:ascii="宋体" w:hAnsi="宋体" w:cs="宋体"/>
          <w:kern w:val="0"/>
          <w:sz w:val="24"/>
          <w:szCs w:val="24"/>
        </w:rPr>
        <w:t>【不符合项描述】：</w:t>
      </w:r>
      <w:r>
        <w:rPr>
          <w:rFonts w:hint="default" w:ascii="仿宋" w:hAnsi="仿宋" w:eastAsia="仿宋" w:cs="仿宋"/>
          <w:b/>
          <w:bCs/>
          <w:color w:val="auto"/>
          <w:sz w:val="24"/>
          <w:szCs w:val="24"/>
          <w:lang w:val="en-US" w:eastAsia="zh-CN"/>
        </w:rPr>
        <w:t>管道介质标识褪色看不清，不易识别</w:t>
      </w:r>
      <w:r>
        <w:rPr>
          <w:rFonts w:hint="eastAsia" w:ascii="宋体" w:hAnsi="宋体" w:cs="宋体"/>
          <w:kern w:val="0"/>
          <w:sz w:val="24"/>
          <w:szCs w:val="24"/>
        </w:rPr>
        <w:t>。</w:t>
      </w:r>
    </w:p>
    <w:p>
      <w:pPr>
        <w:widowControl/>
        <w:snapToGrid w:val="0"/>
        <w:spacing w:line="300" w:lineRule="auto"/>
        <w:ind w:right="-94" w:firstLine="480" w:firstLineChars="200"/>
        <w:rPr>
          <w:rFonts w:ascii="宋体" w:hAnsi="宋体" w:cs="宋体"/>
          <w:kern w:val="0"/>
          <w:sz w:val="24"/>
          <w:szCs w:val="24"/>
        </w:rPr>
      </w:pPr>
      <w:r>
        <w:rPr>
          <w:rFonts w:hint="eastAsia" w:ascii="宋体" w:hAnsi="宋体" w:cs="宋体"/>
          <w:kern w:val="0"/>
          <w:sz w:val="24"/>
          <w:szCs w:val="24"/>
        </w:rPr>
        <w:t>【整改措施】：</w:t>
      </w:r>
      <w:r>
        <w:rPr>
          <w:rFonts w:hint="eastAsia" w:ascii="宋体" w:hAnsi="宋体" w:cs="宋体"/>
          <w:bCs/>
          <w:sz w:val="24"/>
          <w:szCs w:val="24"/>
        </w:rPr>
        <w:t>对车间管道</w:t>
      </w:r>
      <w:r>
        <w:rPr>
          <w:rFonts w:hint="eastAsia" w:ascii="宋体" w:hAnsi="宋体" w:cs="宋体"/>
          <w:bCs/>
          <w:sz w:val="24"/>
          <w:szCs w:val="24"/>
          <w:lang w:eastAsia="zh-CN"/>
        </w:rPr>
        <w:t>从新</w:t>
      </w:r>
      <w:r>
        <w:rPr>
          <w:rFonts w:hint="eastAsia" w:ascii="宋体" w:hAnsi="宋体" w:cs="宋体"/>
          <w:bCs/>
          <w:sz w:val="24"/>
          <w:szCs w:val="24"/>
        </w:rPr>
        <w:t>涂刷安全色，标注管道内介质名称及流向</w:t>
      </w:r>
      <w:r>
        <w:rPr>
          <w:rFonts w:hint="eastAsia" w:ascii="宋体" w:hAnsi="宋体" w:cs="宋体"/>
          <w:kern w:val="0"/>
          <w:sz w:val="24"/>
          <w:szCs w:val="24"/>
        </w:rPr>
        <w:t>。</w:t>
      </w:r>
    </w:p>
    <w:tbl>
      <w:tblPr>
        <w:tblStyle w:val="24"/>
        <w:tblW w:w="856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56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60" w:hRule="atLeast"/>
          <w:jc w:val="center"/>
        </w:trPr>
        <w:tc>
          <w:tcPr>
            <w:tcW w:w="8568" w:type="dxa"/>
            <w:tcBorders>
              <w:left w:val="single" w:color="auto" w:sz="4" w:space="0"/>
            </w:tcBorders>
            <w:noWrap/>
            <w:vAlign w:val="center"/>
          </w:tcPr>
          <w:p>
            <w:pPr>
              <w:ind w:firstLine="480"/>
              <w:jc w:val="center"/>
              <w:rPr>
                <w:b/>
                <w:bCs/>
              </w:rPr>
            </w:pPr>
            <w:r>
              <w:rPr>
                <w:rFonts w:hint="eastAsia"/>
                <w:b/>
                <w:bCs/>
              </w:rPr>
              <w:t>整改前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93" w:hRule="atLeast"/>
          <w:jc w:val="center"/>
        </w:trPr>
        <w:tc>
          <w:tcPr>
            <w:tcW w:w="8568" w:type="dxa"/>
            <w:tcBorders>
              <w:left w:val="single" w:color="auto" w:sz="4" w:space="0"/>
            </w:tcBorders>
            <w:noWrap/>
          </w:tcPr>
          <w:p>
            <w:pPr>
              <w:jc w:val="center"/>
              <w:rPr>
                <w:bCs/>
              </w:rPr>
            </w:pPr>
            <w:r>
              <w:rPr>
                <w:rFonts w:hint="eastAsia" w:ascii="仿宋" w:hAnsi="仿宋" w:eastAsia="仿宋" w:cs="仿宋"/>
                <w:b w:val="0"/>
                <w:bCs w:val="0"/>
                <w:color w:val="auto"/>
                <w:sz w:val="28"/>
                <w:szCs w:val="28"/>
                <w:vertAlign w:val="baseline"/>
                <w:lang w:val="en-US" w:eastAsia="zh-CN"/>
              </w:rPr>
              <w:drawing>
                <wp:inline distT="0" distB="0" distL="114300" distR="114300">
                  <wp:extent cx="3961130" cy="2971800"/>
                  <wp:effectExtent l="0" t="0" r="1270" b="0"/>
                  <wp:docPr id="42" name="图片 42" descr="IMG_6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IMG_6614"/>
                          <pic:cNvPicPr>
                            <a:picLocks noChangeAspect="1"/>
                          </pic:cNvPicPr>
                        </pic:nvPicPr>
                        <pic:blipFill>
                          <a:blip r:embed="rId24"/>
                          <a:stretch>
                            <a:fillRect/>
                          </a:stretch>
                        </pic:blipFill>
                        <pic:spPr>
                          <a:xfrm>
                            <a:off x="0" y="0"/>
                            <a:ext cx="3961130" cy="2971800"/>
                          </a:xfrm>
                          <a:prstGeom prst="rect">
                            <a:avLst/>
                          </a:prstGeom>
                        </pic:spPr>
                      </pic:pic>
                    </a:graphicData>
                  </a:graphic>
                </wp:inline>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6" w:hRule="atLeast"/>
          <w:jc w:val="center"/>
        </w:trPr>
        <w:tc>
          <w:tcPr>
            <w:tcW w:w="8568" w:type="dxa"/>
            <w:tcBorders>
              <w:top w:val="single" w:color="000000" w:sz="4" w:space="0"/>
              <w:left w:val="single" w:color="auto" w:sz="4" w:space="0"/>
              <w:bottom w:val="single" w:color="000000" w:sz="4" w:space="0"/>
              <w:right w:val="single" w:color="000000" w:sz="4" w:space="0"/>
            </w:tcBorders>
            <w:noWrap/>
          </w:tcPr>
          <w:p>
            <w:pPr>
              <w:jc w:val="center"/>
              <w:rPr>
                <w:bCs/>
              </w:rPr>
            </w:pPr>
          </w:p>
          <w:p>
            <w:pPr>
              <w:jc w:val="center"/>
              <w:rPr>
                <w:bCs/>
              </w:rPr>
            </w:pPr>
            <w:r>
              <w:rPr>
                <w:rFonts w:hint="eastAsia"/>
                <w:bCs/>
              </w:rPr>
              <w:t>整改后</w:t>
            </w:r>
          </w:p>
          <w:p>
            <w:pPr>
              <w:jc w:val="center"/>
              <w:rPr>
                <w:bC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891" w:hRule="atLeast"/>
          <w:jc w:val="center"/>
        </w:trPr>
        <w:tc>
          <w:tcPr>
            <w:tcW w:w="8568" w:type="dxa"/>
            <w:tcBorders>
              <w:top w:val="single" w:color="000000" w:sz="4" w:space="0"/>
              <w:left w:val="single" w:color="auto" w:sz="4" w:space="0"/>
              <w:bottom w:val="single" w:color="000000" w:sz="4" w:space="0"/>
              <w:right w:val="single" w:color="000000" w:sz="4" w:space="0"/>
            </w:tcBorders>
            <w:noWrap/>
          </w:tcPr>
          <w:p>
            <w:pPr>
              <w:rPr>
                <w:rFonts w:hint="eastAsia" w:eastAsia="宋体"/>
                <w:bCs/>
                <w:lang w:eastAsia="zh-CN"/>
              </w:rPr>
            </w:pPr>
            <w:r>
              <w:rPr>
                <w:rFonts w:hint="eastAsia"/>
                <w:bCs/>
                <w:lang w:val="en-US" w:eastAsia="zh-CN"/>
              </w:rPr>
              <w:t xml:space="preserve">          </w:t>
            </w:r>
            <w:r>
              <w:rPr>
                <w:sz w:val="28"/>
                <w:szCs w:val="28"/>
              </w:rPr>
              <w:drawing>
                <wp:inline distT="0" distB="0" distL="114300" distR="114300">
                  <wp:extent cx="4039870" cy="3030220"/>
                  <wp:effectExtent l="0" t="0" r="17780" b="17780"/>
                  <wp:docPr id="73" name="图片 73" descr="IMG_6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descr="IMG_6646"/>
                          <pic:cNvPicPr>
                            <a:picLocks noChangeAspect="1"/>
                          </pic:cNvPicPr>
                        </pic:nvPicPr>
                        <pic:blipFill>
                          <a:blip r:embed="rId25"/>
                          <a:stretch>
                            <a:fillRect/>
                          </a:stretch>
                        </pic:blipFill>
                        <pic:spPr>
                          <a:xfrm>
                            <a:off x="0" y="0"/>
                            <a:ext cx="4039870" cy="3030220"/>
                          </a:xfrm>
                          <a:prstGeom prst="rect">
                            <a:avLst/>
                          </a:prstGeom>
                        </pic:spPr>
                      </pic:pic>
                    </a:graphicData>
                  </a:graphic>
                </wp:inline>
              </w:drawing>
            </w:r>
          </w:p>
        </w:tc>
      </w:tr>
    </w:tbl>
    <w:p>
      <w:pPr>
        <w:widowControl/>
        <w:snapToGrid w:val="0"/>
        <w:spacing w:line="300" w:lineRule="auto"/>
        <w:ind w:right="-94"/>
        <w:rPr>
          <w:rFonts w:ascii="宋体" w:hAnsi="宋体" w:cs="宋体"/>
          <w:kern w:val="0"/>
          <w:sz w:val="24"/>
          <w:szCs w:val="24"/>
        </w:rPr>
      </w:pPr>
      <w:r>
        <w:br w:type="page"/>
      </w:r>
      <w:r>
        <w:rPr>
          <w:rFonts w:hint="eastAsia"/>
        </w:rPr>
        <w:t>3、</w:t>
      </w:r>
      <w:r>
        <w:rPr>
          <w:rFonts w:hint="eastAsia" w:ascii="宋体" w:hAnsi="宋体" w:cs="宋体"/>
          <w:kern w:val="0"/>
          <w:sz w:val="24"/>
        </w:rPr>
        <w:t>【不符合项描述】：</w:t>
      </w:r>
      <w:r>
        <w:rPr>
          <w:rFonts w:hint="eastAsia" w:ascii="宋体" w:hAnsi="宋体" w:eastAsia="宋体" w:cs="宋体"/>
          <w:bCs/>
          <w:sz w:val="24"/>
          <w:szCs w:val="24"/>
          <w:lang w:val="en-US" w:eastAsia="zh-CN"/>
        </w:rPr>
        <w:t>洗眼器喷淋</w:t>
      </w:r>
      <w:r>
        <w:rPr>
          <w:rFonts w:hint="eastAsia" w:ascii="宋体" w:hAnsi="宋体" w:cs="宋体"/>
          <w:bCs/>
          <w:sz w:val="24"/>
          <w:szCs w:val="24"/>
          <w:lang w:val="en-US" w:eastAsia="zh-CN"/>
        </w:rPr>
        <w:t>装置</w:t>
      </w:r>
      <w:r>
        <w:rPr>
          <w:rFonts w:hint="eastAsia" w:ascii="宋体" w:hAnsi="宋体" w:eastAsia="宋体" w:cs="宋体"/>
          <w:bCs/>
          <w:sz w:val="24"/>
          <w:szCs w:val="24"/>
          <w:lang w:val="en-US" w:eastAsia="zh-CN"/>
        </w:rPr>
        <w:t>拉杆损坏</w:t>
      </w:r>
      <w:r>
        <w:rPr>
          <w:rFonts w:hint="eastAsia" w:ascii="宋体" w:hAnsi="宋体" w:eastAsia="宋体" w:cs="宋体"/>
          <w:bCs/>
          <w:sz w:val="24"/>
          <w:szCs w:val="24"/>
        </w:rPr>
        <w:t>。</w:t>
      </w:r>
    </w:p>
    <w:p>
      <w:pPr>
        <w:widowControl/>
        <w:snapToGrid w:val="0"/>
        <w:spacing w:line="300" w:lineRule="auto"/>
        <w:ind w:right="-94" w:firstLine="480" w:firstLineChars="200"/>
        <w:rPr>
          <w:rFonts w:ascii="宋体" w:hAnsi="宋体" w:cs="宋体"/>
          <w:kern w:val="0"/>
          <w:sz w:val="24"/>
          <w:szCs w:val="24"/>
        </w:rPr>
      </w:pPr>
      <w:r>
        <w:rPr>
          <w:rFonts w:hint="eastAsia" w:ascii="宋体" w:hAnsi="宋体" w:cs="宋体"/>
          <w:kern w:val="0"/>
          <w:sz w:val="24"/>
          <w:szCs w:val="24"/>
        </w:rPr>
        <w:t>【整改措施】：</w:t>
      </w:r>
      <w:r>
        <w:rPr>
          <w:rFonts w:hint="eastAsia" w:ascii="宋体" w:hAnsi="宋体" w:cs="宋体"/>
          <w:bCs/>
          <w:sz w:val="24"/>
          <w:szCs w:val="24"/>
        </w:rPr>
        <w:t>修复</w:t>
      </w:r>
      <w:r>
        <w:rPr>
          <w:rFonts w:hint="eastAsia" w:ascii="宋体" w:hAnsi="宋体" w:eastAsia="宋体" w:cs="宋体"/>
          <w:bCs/>
          <w:sz w:val="24"/>
          <w:szCs w:val="24"/>
          <w:lang w:val="en-US" w:eastAsia="zh-CN"/>
        </w:rPr>
        <w:t>损坏</w:t>
      </w:r>
      <w:r>
        <w:rPr>
          <w:rFonts w:hint="eastAsia" w:ascii="宋体" w:hAnsi="宋体" w:cs="宋体"/>
          <w:bCs/>
          <w:sz w:val="24"/>
          <w:szCs w:val="24"/>
        </w:rPr>
        <w:t>的</w:t>
      </w:r>
      <w:r>
        <w:rPr>
          <w:rFonts w:hint="eastAsia" w:ascii="宋体" w:hAnsi="宋体" w:cs="宋体"/>
          <w:bCs/>
          <w:sz w:val="24"/>
          <w:szCs w:val="24"/>
          <w:lang w:eastAsia="zh-CN"/>
        </w:rPr>
        <w:t>喷淋</w:t>
      </w:r>
      <w:r>
        <w:rPr>
          <w:rFonts w:hint="eastAsia" w:ascii="宋体" w:hAnsi="宋体" w:cs="宋体"/>
          <w:bCs/>
          <w:sz w:val="24"/>
          <w:szCs w:val="24"/>
        </w:rPr>
        <w:t>装置，安装</w:t>
      </w:r>
      <w:r>
        <w:rPr>
          <w:rFonts w:hint="eastAsia" w:ascii="宋体" w:hAnsi="宋体" w:cs="宋体"/>
          <w:bCs/>
          <w:sz w:val="24"/>
          <w:szCs w:val="24"/>
          <w:lang w:eastAsia="zh-CN"/>
        </w:rPr>
        <w:t>拉杆装置</w:t>
      </w:r>
      <w:r>
        <w:rPr>
          <w:rFonts w:hint="eastAsia" w:ascii="宋体" w:hAnsi="宋体" w:cs="宋体"/>
          <w:kern w:val="0"/>
          <w:sz w:val="24"/>
          <w:szCs w:val="24"/>
        </w:rPr>
        <w:t>。</w:t>
      </w:r>
    </w:p>
    <w:tbl>
      <w:tblPr>
        <w:tblStyle w:val="24"/>
        <w:tblW w:w="856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56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60" w:hRule="atLeast"/>
          <w:jc w:val="center"/>
        </w:trPr>
        <w:tc>
          <w:tcPr>
            <w:tcW w:w="8568" w:type="dxa"/>
            <w:tcBorders>
              <w:left w:val="single" w:color="auto" w:sz="4" w:space="0"/>
            </w:tcBorders>
            <w:noWrap/>
            <w:vAlign w:val="center"/>
          </w:tcPr>
          <w:p>
            <w:pPr>
              <w:ind w:firstLine="480"/>
              <w:jc w:val="center"/>
              <w:rPr>
                <w:b/>
                <w:bCs/>
              </w:rPr>
            </w:pPr>
            <w:r>
              <w:rPr>
                <w:rFonts w:hint="eastAsia"/>
                <w:b/>
                <w:bCs/>
              </w:rPr>
              <w:t>整改前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93" w:hRule="atLeast"/>
          <w:jc w:val="center"/>
        </w:trPr>
        <w:tc>
          <w:tcPr>
            <w:tcW w:w="8568" w:type="dxa"/>
            <w:tcBorders>
              <w:left w:val="single" w:color="auto" w:sz="4" w:space="0"/>
            </w:tcBorders>
            <w:noWrap/>
          </w:tcPr>
          <w:p>
            <w:pPr>
              <w:jc w:val="center"/>
              <w:rPr>
                <w:bCs/>
              </w:rPr>
            </w:pPr>
            <w:r>
              <w:rPr>
                <w:rFonts w:hint="eastAsia" w:ascii="仿宋" w:hAnsi="仿宋" w:eastAsia="仿宋" w:cs="仿宋"/>
                <w:sz w:val="28"/>
                <w:szCs w:val="28"/>
              </w:rPr>
              <w:drawing>
                <wp:inline distT="0" distB="0" distL="114300" distR="114300">
                  <wp:extent cx="2432685" cy="3243580"/>
                  <wp:effectExtent l="0" t="0" r="5715" b="13970"/>
                  <wp:docPr id="19" name="图片 19" descr="IMG_6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IMG_6627"/>
                          <pic:cNvPicPr>
                            <a:picLocks noChangeAspect="1"/>
                          </pic:cNvPicPr>
                        </pic:nvPicPr>
                        <pic:blipFill>
                          <a:blip r:embed="rId26"/>
                          <a:stretch>
                            <a:fillRect/>
                          </a:stretch>
                        </pic:blipFill>
                        <pic:spPr>
                          <a:xfrm>
                            <a:off x="0" y="0"/>
                            <a:ext cx="2432685" cy="3243580"/>
                          </a:xfrm>
                          <a:prstGeom prst="rect">
                            <a:avLst/>
                          </a:prstGeom>
                        </pic:spPr>
                      </pic:pic>
                    </a:graphicData>
                  </a:graphic>
                </wp:inline>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6" w:hRule="atLeast"/>
          <w:jc w:val="center"/>
        </w:trPr>
        <w:tc>
          <w:tcPr>
            <w:tcW w:w="8568" w:type="dxa"/>
            <w:tcBorders>
              <w:top w:val="single" w:color="000000" w:sz="4" w:space="0"/>
              <w:left w:val="single" w:color="auto" w:sz="4" w:space="0"/>
              <w:bottom w:val="single" w:color="000000" w:sz="4" w:space="0"/>
              <w:right w:val="single" w:color="000000" w:sz="4" w:space="0"/>
            </w:tcBorders>
            <w:noWrap/>
          </w:tcPr>
          <w:p>
            <w:pPr>
              <w:jc w:val="center"/>
            </w:pPr>
          </w:p>
          <w:p>
            <w:pPr>
              <w:jc w:val="center"/>
              <w:rPr>
                <w:rFonts w:hint="eastAsia"/>
              </w:rPr>
            </w:pPr>
            <w:r>
              <w:rPr>
                <w:rFonts w:hint="eastAsia"/>
              </w:rPr>
              <w:t>整改后</w:t>
            </w:r>
          </w:p>
          <w:p>
            <w:pPr>
              <w:pStyle w:val="23"/>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45" w:hRule="atLeast"/>
          <w:jc w:val="center"/>
        </w:trPr>
        <w:tc>
          <w:tcPr>
            <w:tcW w:w="8568" w:type="dxa"/>
            <w:tcBorders>
              <w:top w:val="single" w:color="000000" w:sz="4" w:space="0"/>
              <w:left w:val="single" w:color="auto" w:sz="4" w:space="0"/>
              <w:bottom w:val="single" w:color="000000" w:sz="4" w:space="0"/>
              <w:right w:val="single" w:color="000000" w:sz="4" w:space="0"/>
            </w:tcBorders>
            <w:noWrap/>
          </w:tcPr>
          <w:p>
            <w:pPr>
              <w:rPr>
                <w:rFonts w:hint="eastAsia" w:eastAsia="宋体"/>
                <w:bCs/>
                <w:lang w:eastAsia="zh-CN"/>
              </w:rPr>
            </w:pPr>
            <w:r>
              <w:rPr>
                <w:rFonts w:hint="eastAsia"/>
                <w:bCs/>
                <w:lang w:val="en-US" w:eastAsia="zh-CN"/>
              </w:rPr>
              <w:t xml:space="preserve">             </w:t>
            </w:r>
            <w:r>
              <w:rPr>
                <w:rFonts w:hint="eastAsia" w:ascii="仿宋" w:hAnsi="仿宋" w:eastAsia="仿宋" w:cs="仿宋"/>
                <w:sz w:val="28"/>
                <w:szCs w:val="28"/>
              </w:rPr>
              <w:drawing>
                <wp:inline distT="0" distB="0" distL="114300" distR="114300">
                  <wp:extent cx="4049395" cy="3037205"/>
                  <wp:effectExtent l="0" t="0" r="8255" b="10795"/>
                  <wp:docPr id="64" name="图片 64" descr="IMG_6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IMG_6634"/>
                          <pic:cNvPicPr>
                            <a:picLocks noChangeAspect="1"/>
                          </pic:cNvPicPr>
                        </pic:nvPicPr>
                        <pic:blipFill>
                          <a:blip r:embed="rId27"/>
                          <a:stretch>
                            <a:fillRect/>
                          </a:stretch>
                        </pic:blipFill>
                        <pic:spPr>
                          <a:xfrm>
                            <a:off x="0" y="0"/>
                            <a:ext cx="4049395" cy="3037205"/>
                          </a:xfrm>
                          <a:prstGeom prst="rect">
                            <a:avLst/>
                          </a:prstGeom>
                        </pic:spPr>
                      </pic:pic>
                    </a:graphicData>
                  </a:graphic>
                </wp:inline>
              </w:drawing>
            </w:r>
          </w:p>
        </w:tc>
      </w:tr>
    </w:tbl>
    <w:p>
      <w:pPr>
        <w:widowControl/>
        <w:snapToGrid w:val="0"/>
        <w:spacing w:line="300" w:lineRule="auto"/>
        <w:ind w:right="-94"/>
        <w:rPr>
          <w:rFonts w:ascii="宋体" w:hAnsi="宋体" w:cs="宋体"/>
          <w:kern w:val="0"/>
          <w:sz w:val="24"/>
          <w:szCs w:val="24"/>
        </w:rPr>
      </w:pPr>
      <w:r>
        <w:br w:type="page"/>
      </w:r>
      <w:r>
        <w:rPr>
          <w:rFonts w:hint="eastAsia"/>
          <w:lang w:val="en-US" w:eastAsia="zh-CN"/>
        </w:rPr>
        <w:t xml:space="preserve"> </w:t>
      </w:r>
      <w:r>
        <w:rPr>
          <w:rFonts w:hint="eastAsia"/>
        </w:rPr>
        <w:t>4、</w:t>
      </w:r>
      <w:r>
        <w:rPr>
          <w:rFonts w:hint="eastAsia" w:ascii="宋体" w:hAnsi="宋体" w:cs="宋体"/>
          <w:kern w:val="0"/>
          <w:sz w:val="24"/>
          <w:szCs w:val="24"/>
        </w:rPr>
        <w:t>【不符合项描述】：</w:t>
      </w:r>
      <w:r>
        <w:rPr>
          <w:rFonts w:hint="eastAsia" w:ascii="宋体" w:hAnsi="宋体" w:cs="宋体"/>
          <w:bCs/>
          <w:sz w:val="24"/>
          <w:szCs w:val="24"/>
        </w:rPr>
        <w:t>车间氯化釜部分腐蚀严重</w:t>
      </w:r>
      <w:r>
        <w:rPr>
          <w:rFonts w:hint="eastAsia" w:ascii="宋体" w:hAnsi="宋体" w:cs="宋体"/>
          <w:kern w:val="0"/>
          <w:sz w:val="24"/>
          <w:szCs w:val="24"/>
        </w:rPr>
        <w:t>。</w:t>
      </w:r>
    </w:p>
    <w:p>
      <w:pPr>
        <w:widowControl/>
        <w:snapToGrid w:val="0"/>
        <w:spacing w:line="300" w:lineRule="auto"/>
        <w:ind w:right="-94" w:firstLine="590"/>
        <w:rPr>
          <w:rFonts w:ascii="宋体" w:hAnsi="宋体" w:cs="宋体"/>
          <w:kern w:val="0"/>
          <w:sz w:val="24"/>
          <w:szCs w:val="24"/>
        </w:rPr>
      </w:pPr>
      <w:r>
        <w:rPr>
          <w:rFonts w:hint="eastAsia" w:ascii="宋体" w:hAnsi="宋体" w:cs="宋体"/>
          <w:kern w:val="0"/>
          <w:sz w:val="24"/>
          <w:szCs w:val="24"/>
        </w:rPr>
        <w:t>【整改措施】：</w:t>
      </w:r>
      <w:r>
        <w:rPr>
          <w:rFonts w:hint="eastAsia" w:ascii="宋体" w:hAnsi="宋体" w:cs="宋体"/>
          <w:bCs/>
          <w:sz w:val="24"/>
          <w:szCs w:val="24"/>
        </w:rPr>
        <w:t>对腐蚀严重的部位除锈防腐</w:t>
      </w:r>
      <w:r>
        <w:rPr>
          <w:rFonts w:hint="eastAsia" w:ascii="宋体" w:hAnsi="宋体" w:cs="宋体"/>
          <w:kern w:val="0"/>
          <w:sz w:val="24"/>
          <w:szCs w:val="24"/>
        </w:rPr>
        <w:t>。</w:t>
      </w:r>
    </w:p>
    <w:tbl>
      <w:tblPr>
        <w:tblStyle w:val="24"/>
        <w:tblW w:w="856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56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60" w:hRule="atLeast"/>
          <w:jc w:val="center"/>
        </w:trPr>
        <w:tc>
          <w:tcPr>
            <w:tcW w:w="8568" w:type="dxa"/>
            <w:tcBorders>
              <w:left w:val="single" w:color="auto" w:sz="4" w:space="0"/>
            </w:tcBorders>
            <w:noWrap/>
            <w:vAlign w:val="center"/>
          </w:tcPr>
          <w:p>
            <w:pPr>
              <w:ind w:firstLine="480"/>
              <w:jc w:val="center"/>
              <w:rPr>
                <w:b/>
                <w:bCs/>
              </w:rPr>
            </w:pPr>
            <w:r>
              <w:rPr>
                <w:rFonts w:hint="eastAsia"/>
                <w:b/>
                <w:bCs/>
              </w:rPr>
              <w:t>整改前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13" w:hRule="atLeast"/>
          <w:jc w:val="center"/>
        </w:trPr>
        <w:tc>
          <w:tcPr>
            <w:tcW w:w="8568" w:type="dxa"/>
            <w:tcBorders>
              <w:left w:val="single" w:color="auto" w:sz="4" w:space="0"/>
            </w:tcBorders>
            <w:noWrap/>
          </w:tcPr>
          <w:p>
            <w:pPr>
              <w:jc w:val="center"/>
              <w:rPr>
                <w:rFonts w:hint="eastAsia" w:eastAsia="宋体"/>
                <w:bCs/>
                <w:lang w:eastAsia="zh-CN"/>
              </w:rPr>
            </w:pPr>
            <w:r>
              <w:rPr>
                <w:rFonts w:hint="eastAsia" w:eastAsia="宋体"/>
                <w:bCs/>
                <w:lang w:eastAsia="zh-CN"/>
              </w:rPr>
              <w:drawing>
                <wp:inline distT="0" distB="0" distL="114300" distR="114300">
                  <wp:extent cx="5283200" cy="2377440"/>
                  <wp:effectExtent l="0" t="0" r="12700" b="3810"/>
                  <wp:docPr id="26" name="图片 26" descr="1694768338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1694768338531"/>
                          <pic:cNvPicPr>
                            <a:picLocks noChangeAspect="1"/>
                          </pic:cNvPicPr>
                        </pic:nvPicPr>
                        <pic:blipFill>
                          <a:blip r:embed="rId28"/>
                          <a:stretch>
                            <a:fillRect/>
                          </a:stretch>
                        </pic:blipFill>
                        <pic:spPr>
                          <a:xfrm>
                            <a:off x="0" y="0"/>
                            <a:ext cx="5283200" cy="2377440"/>
                          </a:xfrm>
                          <a:prstGeom prst="rect">
                            <a:avLst/>
                          </a:prstGeom>
                        </pic:spPr>
                      </pic:pic>
                    </a:graphicData>
                  </a:graphic>
                </wp:inline>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6" w:hRule="atLeast"/>
          <w:jc w:val="center"/>
        </w:trPr>
        <w:tc>
          <w:tcPr>
            <w:tcW w:w="8568" w:type="dxa"/>
            <w:tcBorders>
              <w:top w:val="single" w:color="000000" w:sz="4" w:space="0"/>
              <w:left w:val="single" w:color="auto" w:sz="4" w:space="0"/>
              <w:bottom w:val="single" w:color="000000" w:sz="4" w:space="0"/>
              <w:right w:val="single" w:color="000000" w:sz="4" w:space="0"/>
            </w:tcBorders>
            <w:noWrap/>
          </w:tcPr>
          <w:p>
            <w:pPr>
              <w:jc w:val="center"/>
              <w:rPr>
                <w:bCs/>
              </w:rPr>
            </w:pPr>
          </w:p>
          <w:p>
            <w:pPr>
              <w:jc w:val="center"/>
              <w:rPr>
                <w:bCs/>
              </w:rPr>
            </w:pPr>
            <w:r>
              <w:rPr>
                <w:rFonts w:hint="eastAsia"/>
                <w:bCs/>
              </w:rPr>
              <w:t>整改后</w:t>
            </w:r>
          </w:p>
          <w:p>
            <w:pPr>
              <w:jc w:val="center"/>
              <w:rPr>
                <w:bC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23" w:hRule="atLeast"/>
          <w:jc w:val="center"/>
        </w:trPr>
        <w:tc>
          <w:tcPr>
            <w:tcW w:w="8568" w:type="dxa"/>
            <w:tcBorders>
              <w:top w:val="single" w:color="000000" w:sz="4" w:space="0"/>
              <w:left w:val="single" w:color="auto" w:sz="4" w:space="0"/>
              <w:bottom w:val="single" w:color="000000" w:sz="4" w:space="0"/>
              <w:right w:val="single" w:color="000000" w:sz="4" w:space="0"/>
            </w:tcBorders>
            <w:noWrap/>
          </w:tcPr>
          <w:p>
            <w:pPr>
              <w:jc w:val="center"/>
              <w:rPr>
                <w:rFonts w:hint="eastAsia" w:eastAsia="宋体"/>
                <w:bCs/>
                <w:lang w:eastAsia="zh-CN"/>
              </w:rPr>
            </w:pPr>
            <w:r>
              <w:rPr>
                <w:rFonts w:hint="eastAsia" w:eastAsia="宋体"/>
                <w:bCs/>
                <w:lang w:eastAsia="zh-CN"/>
              </w:rPr>
              <w:drawing>
                <wp:inline distT="0" distB="0" distL="114300" distR="114300">
                  <wp:extent cx="5347335" cy="2456180"/>
                  <wp:effectExtent l="0" t="0" r="5715" b="1270"/>
                  <wp:docPr id="30" name="图片 30" descr="1695892213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1695892213260"/>
                          <pic:cNvPicPr>
                            <a:picLocks noChangeAspect="1"/>
                          </pic:cNvPicPr>
                        </pic:nvPicPr>
                        <pic:blipFill>
                          <a:blip r:embed="rId29"/>
                          <a:stretch>
                            <a:fillRect/>
                          </a:stretch>
                        </pic:blipFill>
                        <pic:spPr>
                          <a:xfrm>
                            <a:off x="0" y="0"/>
                            <a:ext cx="5347335" cy="2456180"/>
                          </a:xfrm>
                          <a:prstGeom prst="rect">
                            <a:avLst/>
                          </a:prstGeom>
                        </pic:spPr>
                      </pic:pic>
                    </a:graphicData>
                  </a:graphic>
                </wp:inline>
              </w:drawing>
            </w:r>
          </w:p>
        </w:tc>
      </w:tr>
    </w:tbl>
    <w:p>
      <w:pPr>
        <w:widowControl/>
        <w:snapToGrid w:val="0"/>
        <w:spacing w:line="300" w:lineRule="auto"/>
        <w:ind w:right="-94"/>
        <w:rPr>
          <w:rFonts w:ascii="宋体" w:hAnsi="宋体" w:cs="宋体"/>
          <w:kern w:val="0"/>
          <w:sz w:val="24"/>
          <w:szCs w:val="24"/>
        </w:rPr>
      </w:pPr>
      <w:r>
        <w:br w:type="page"/>
      </w:r>
      <w:r>
        <w:rPr>
          <w:rFonts w:hint="eastAsia"/>
          <w:lang w:val="en-US" w:eastAsia="zh-CN"/>
        </w:rPr>
        <w:t xml:space="preserve">  </w:t>
      </w:r>
      <w:r>
        <w:rPr>
          <w:rFonts w:hint="eastAsia"/>
        </w:rPr>
        <w:t>5、</w:t>
      </w:r>
      <w:r>
        <w:rPr>
          <w:rFonts w:hint="eastAsia" w:ascii="宋体" w:hAnsi="宋体" w:cs="宋体"/>
          <w:kern w:val="0"/>
          <w:sz w:val="24"/>
        </w:rPr>
        <w:t>【不符合项描述】：</w:t>
      </w:r>
      <w:r>
        <w:rPr>
          <w:rFonts w:hint="eastAsia" w:ascii="宋体" w:hAnsi="宋体" w:cs="宋体"/>
          <w:bCs/>
          <w:sz w:val="24"/>
          <w:szCs w:val="24"/>
          <w:lang w:eastAsia="zh-CN"/>
        </w:rPr>
        <w:t>车间二楼部分尾气管道</w:t>
      </w:r>
      <w:r>
        <w:rPr>
          <w:rFonts w:hint="eastAsia" w:ascii="宋体" w:hAnsi="宋体" w:cs="宋体"/>
          <w:bCs/>
          <w:sz w:val="24"/>
          <w:szCs w:val="24"/>
        </w:rPr>
        <w:t>法兰连接螺栓不全</w:t>
      </w:r>
      <w:r>
        <w:rPr>
          <w:rFonts w:hint="eastAsia" w:ascii="宋体" w:hAnsi="宋体" w:cs="宋体"/>
          <w:kern w:val="0"/>
          <w:sz w:val="24"/>
          <w:szCs w:val="24"/>
        </w:rPr>
        <w:t>。</w:t>
      </w:r>
    </w:p>
    <w:p>
      <w:pPr>
        <w:widowControl/>
        <w:snapToGrid w:val="0"/>
        <w:spacing w:line="300" w:lineRule="auto"/>
        <w:ind w:right="-94" w:firstLine="590"/>
        <w:rPr>
          <w:rFonts w:ascii="宋体" w:hAnsi="宋体" w:cs="宋体"/>
          <w:kern w:val="0"/>
          <w:sz w:val="24"/>
          <w:szCs w:val="24"/>
        </w:rPr>
      </w:pPr>
      <w:r>
        <w:rPr>
          <w:rFonts w:hint="eastAsia" w:ascii="宋体" w:hAnsi="宋体" w:cs="宋体"/>
          <w:kern w:val="0"/>
          <w:sz w:val="24"/>
          <w:szCs w:val="24"/>
        </w:rPr>
        <w:t>【整改措施】：</w:t>
      </w:r>
      <w:r>
        <w:rPr>
          <w:rFonts w:hint="eastAsia" w:ascii="宋体" w:hAnsi="宋体" w:cs="宋体"/>
          <w:bCs/>
          <w:sz w:val="24"/>
          <w:szCs w:val="24"/>
        </w:rPr>
        <w:t>补全缺失的螺栓</w:t>
      </w:r>
      <w:r>
        <w:rPr>
          <w:rFonts w:hint="eastAsia" w:ascii="宋体" w:hAnsi="宋体" w:cs="宋体"/>
          <w:kern w:val="0"/>
          <w:sz w:val="24"/>
          <w:szCs w:val="24"/>
        </w:rPr>
        <w:t>。</w:t>
      </w:r>
    </w:p>
    <w:tbl>
      <w:tblPr>
        <w:tblStyle w:val="24"/>
        <w:tblW w:w="856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56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60" w:hRule="atLeast"/>
          <w:jc w:val="center"/>
        </w:trPr>
        <w:tc>
          <w:tcPr>
            <w:tcW w:w="8568" w:type="dxa"/>
            <w:tcBorders>
              <w:left w:val="single" w:color="auto" w:sz="4" w:space="0"/>
            </w:tcBorders>
            <w:noWrap/>
            <w:vAlign w:val="center"/>
          </w:tcPr>
          <w:p>
            <w:pPr>
              <w:ind w:firstLine="480"/>
              <w:jc w:val="center"/>
              <w:rPr>
                <w:b/>
                <w:bCs/>
              </w:rPr>
            </w:pPr>
            <w:r>
              <w:rPr>
                <w:rFonts w:hint="eastAsia"/>
                <w:b/>
                <w:bCs/>
              </w:rPr>
              <w:t>整改前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93" w:hRule="atLeast"/>
          <w:jc w:val="center"/>
        </w:trPr>
        <w:tc>
          <w:tcPr>
            <w:tcW w:w="8568" w:type="dxa"/>
            <w:tcBorders>
              <w:left w:val="single" w:color="auto" w:sz="4" w:space="0"/>
            </w:tcBorders>
            <w:noWrap/>
          </w:tcPr>
          <w:p>
            <w:pPr>
              <w:jc w:val="center"/>
              <w:rPr>
                <w:sz w:val="21"/>
              </w:rPr>
            </w:pPr>
          </w:p>
          <w:p>
            <w:pPr>
              <w:jc w:val="center"/>
              <w:rPr>
                <w:bCs/>
              </w:rPr>
            </w:pPr>
            <w:r>
              <w:rPr>
                <w:sz w:val="21"/>
              </w:rPr>
              <w:drawing>
                <wp:inline distT="0" distB="0" distL="114300" distR="114300">
                  <wp:extent cx="5245100" cy="2558415"/>
                  <wp:effectExtent l="0" t="0" r="12700" b="13335"/>
                  <wp:docPr id="11" name="图片 3" descr="1695630815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descr="1695630815208"/>
                          <pic:cNvPicPr>
                            <a:picLocks noChangeAspect="1"/>
                          </pic:cNvPicPr>
                        </pic:nvPicPr>
                        <pic:blipFill>
                          <a:blip r:embed="rId30"/>
                          <a:stretch>
                            <a:fillRect/>
                          </a:stretch>
                        </pic:blipFill>
                        <pic:spPr>
                          <a:xfrm>
                            <a:off x="0" y="0"/>
                            <a:ext cx="5245100" cy="2558415"/>
                          </a:xfrm>
                          <a:prstGeom prst="rect">
                            <a:avLst/>
                          </a:prstGeom>
                          <a:noFill/>
                          <a:ln>
                            <a:noFill/>
                          </a:ln>
                        </pic:spPr>
                      </pic:pic>
                    </a:graphicData>
                  </a:graphic>
                </wp:inline>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6" w:hRule="atLeast"/>
          <w:jc w:val="center"/>
        </w:trPr>
        <w:tc>
          <w:tcPr>
            <w:tcW w:w="8568" w:type="dxa"/>
            <w:tcBorders>
              <w:top w:val="single" w:color="000000" w:sz="4" w:space="0"/>
              <w:left w:val="single" w:color="auto" w:sz="4" w:space="0"/>
              <w:bottom w:val="single" w:color="000000" w:sz="4" w:space="0"/>
              <w:right w:val="single" w:color="000000" w:sz="4" w:space="0"/>
            </w:tcBorders>
            <w:noWrap/>
          </w:tcPr>
          <w:p>
            <w:pPr>
              <w:jc w:val="center"/>
              <w:rPr>
                <w:bCs/>
              </w:rPr>
            </w:pPr>
          </w:p>
          <w:p>
            <w:pPr>
              <w:jc w:val="center"/>
              <w:rPr>
                <w:bCs/>
              </w:rPr>
            </w:pPr>
            <w:r>
              <w:rPr>
                <w:rFonts w:hint="eastAsia"/>
                <w:bCs/>
              </w:rPr>
              <w:t>整改后</w:t>
            </w:r>
          </w:p>
          <w:p>
            <w:pPr>
              <w:jc w:val="center"/>
              <w:rPr>
                <w:bC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03" w:hRule="atLeast"/>
          <w:jc w:val="center"/>
        </w:trPr>
        <w:tc>
          <w:tcPr>
            <w:tcW w:w="8568" w:type="dxa"/>
            <w:tcBorders>
              <w:top w:val="single" w:color="000000" w:sz="4" w:space="0"/>
              <w:left w:val="single" w:color="auto" w:sz="4" w:space="0"/>
              <w:bottom w:val="single" w:color="000000" w:sz="4" w:space="0"/>
              <w:right w:val="single" w:color="000000" w:sz="4" w:space="0"/>
            </w:tcBorders>
            <w:noWrap/>
          </w:tcPr>
          <w:p>
            <w:pPr>
              <w:jc w:val="center"/>
              <w:rPr>
                <w:rFonts w:hint="eastAsia"/>
                <w:sz w:val="24"/>
                <w:szCs w:val="32"/>
                <w:vertAlign w:val="baseline"/>
                <w:lang w:val="en-US" w:eastAsia="zh-CN"/>
              </w:rPr>
            </w:pPr>
          </w:p>
          <w:p>
            <w:pPr>
              <w:jc w:val="center"/>
              <w:rPr>
                <w:rFonts w:hint="eastAsia" w:eastAsia="宋体"/>
                <w:bCs/>
                <w:lang w:eastAsia="zh-CN"/>
              </w:rPr>
            </w:pPr>
            <w:r>
              <w:rPr>
                <w:rFonts w:hint="eastAsia"/>
                <w:sz w:val="24"/>
                <w:szCs w:val="32"/>
                <w:vertAlign w:val="baseline"/>
                <w:lang w:val="en-US" w:eastAsia="zh-CN"/>
              </w:rPr>
              <w:drawing>
                <wp:inline distT="0" distB="0" distL="114300" distR="114300">
                  <wp:extent cx="5255895" cy="2532380"/>
                  <wp:effectExtent l="0" t="0" r="1905" b="1270"/>
                  <wp:docPr id="12" name="图片 4" descr="1695715665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descr="1695715665572"/>
                          <pic:cNvPicPr>
                            <a:picLocks noChangeAspect="1"/>
                          </pic:cNvPicPr>
                        </pic:nvPicPr>
                        <pic:blipFill>
                          <a:blip r:embed="rId31"/>
                          <a:stretch>
                            <a:fillRect/>
                          </a:stretch>
                        </pic:blipFill>
                        <pic:spPr>
                          <a:xfrm>
                            <a:off x="0" y="0"/>
                            <a:ext cx="5255895" cy="2532380"/>
                          </a:xfrm>
                          <a:prstGeom prst="rect">
                            <a:avLst/>
                          </a:prstGeom>
                          <a:noFill/>
                          <a:ln>
                            <a:noFill/>
                          </a:ln>
                        </pic:spPr>
                      </pic:pic>
                    </a:graphicData>
                  </a:graphic>
                </wp:inline>
              </w:drawing>
            </w:r>
          </w:p>
        </w:tc>
      </w:tr>
    </w:tbl>
    <w:p>
      <w:pPr>
        <w:widowControl/>
        <w:snapToGrid w:val="0"/>
        <w:spacing w:line="300" w:lineRule="auto"/>
        <w:ind w:right="-94"/>
        <w:rPr>
          <w:rFonts w:hint="eastAsia" w:ascii="宋体" w:hAnsi="宋体" w:eastAsia="宋体" w:cs="宋体"/>
          <w:kern w:val="0"/>
          <w:sz w:val="24"/>
          <w:szCs w:val="24"/>
        </w:rPr>
      </w:pPr>
      <w:r>
        <w:br w:type="page"/>
      </w:r>
      <w:r>
        <w:rPr>
          <w:rFonts w:hint="eastAsia"/>
          <w:lang w:val="en-US" w:eastAsia="zh-CN"/>
        </w:rPr>
        <w:t xml:space="preserve"> </w:t>
      </w:r>
      <w:r>
        <w:rPr>
          <w:rFonts w:hint="eastAsia"/>
        </w:rPr>
        <w:t>6、</w:t>
      </w:r>
      <w:r>
        <w:rPr>
          <w:rFonts w:hint="eastAsia" w:ascii="宋体" w:hAnsi="宋体" w:cs="宋体"/>
          <w:kern w:val="0"/>
          <w:sz w:val="24"/>
          <w:szCs w:val="24"/>
        </w:rPr>
        <w:t>【不符合项描述】：</w:t>
      </w:r>
      <w:r>
        <w:rPr>
          <w:rFonts w:hint="eastAsia" w:ascii="宋体" w:hAnsi="宋体" w:eastAsia="宋体" w:cs="宋体"/>
          <w:kern w:val="2"/>
          <w:sz w:val="24"/>
          <w:szCs w:val="24"/>
          <w:lang w:val="en-US" w:eastAsia="zh-CN" w:bidi="ar-SA"/>
        </w:rPr>
        <w:t>车间消防水泵接合器未设置永久性标志牌；</w:t>
      </w:r>
    </w:p>
    <w:p>
      <w:pPr>
        <w:widowControl/>
        <w:snapToGrid w:val="0"/>
        <w:spacing w:line="300" w:lineRule="auto"/>
        <w:ind w:right="-94" w:firstLine="480" w:firstLineChars="200"/>
        <w:rPr>
          <w:rFonts w:hint="eastAsia" w:ascii="宋体" w:hAnsi="宋体" w:eastAsia="宋体" w:cs="宋体"/>
          <w:bCs/>
          <w:sz w:val="24"/>
          <w:szCs w:val="24"/>
        </w:rPr>
      </w:pPr>
      <w:r>
        <w:rPr>
          <w:rFonts w:hint="eastAsia" w:ascii="宋体" w:hAnsi="宋体" w:eastAsia="宋体" w:cs="宋体"/>
          <w:kern w:val="0"/>
          <w:sz w:val="24"/>
          <w:szCs w:val="24"/>
        </w:rPr>
        <w:t>【整改措施】：</w:t>
      </w:r>
      <w:r>
        <w:rPr>
          <w:rFonts w:hint="eastAsia" w:ascii="宋体" w:hAnsi="宋体" w:eastAsia="宋体" w:cs="宋体"/>
          <w:kern w:val="2"/>
          <w:sz w:val="24"/>
          <w:szCs w:val="24"/>
          <w:lang w:val="en-US" w:eastAsia="zh-CN" w:bidi="ar-SA"/>
        </w:rPr>
        <w:t>安排安环部整改此隐患</w:t>
      </w:r>
      <w:r>
        <w:rPr>
          <w:rFonts w:hint="eastAsia" w:ascii="宋体" w:hAnsi="宋体" w:eastAsia="宋体" w:cs="宋体"/>
          <w:kern w:val="0"/>
          <w:sz w:val="24"/>
          <w:szCs w:val="24"/>
        </w:rPr>
        <w:t>。</w:t>
      </w:r>
    </w:p>
    <w:tbl>
      <w:tblPr>
        <w:tblStyle w:val="24"/>
        <w:tblW w:w="856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56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60" w:hRule="atLeast"/>
          <w:jc w:val="center"/>
        </w:trPr>
        <w:tc>
          <w:tcPr>
            <w:tcW w:w="8568" w:type="dxa"/>
            <w:tcBorders>
              <w:left w:val="single" w:color="auto" w:sz="4" w:space="0"/>
            </w:tcBorders>
            <w:noWrap/>
            <w:vAlign w:val="center"/>
          </w:tcPr>
          <w:p>
            <w:pPr>
              <w:ind w:firstLine="480"/>
              <w:jc w:val="center"/>
              <w:rPr>
                <w:b/>
                <w:bCs/>
              </w:rPr>
            </w:pPr>
            <w:r>
              <w:rPr>
                <w:rFonts w:hint="eastAsia"/>
                <w:b/>
                <w:bCs/>
              </w:rPr>
              <w:t>整改前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53" w:hRule="atLeast"/>
          <w:jc w:val="center"/>
        </w:trPr>
        <w:tc>
          <w:tcPr>
            <w:tcW w:w="8568" w:type="dxa"/>
            <w:tcBorders>
              <w:left w:val="single" w:color="auto" w:sz="4" w:space="0"/>
            </w:tcBorders>
            <w:noWrap/>
          </w:tcPr>
          <w:p>
            <w:pPr>
              <w:jc w:val="center"/>
              <w:rPr>
                <w:bCs/>
              </w:rPr>
            </w:pPr>
            <w:r>
              <w:rPr>
                <w:rFonts w:hint="default"/>
                <w:sz w:val="32"/>
                <w:szCs w:val="40"/>
                <w:lang w:val="en-US" w:eastAsia="zh-CN"/>
              </w:rPr>
              <w:drawing>
                <wp:inline distT="0" distB="0" distL="114300" distR="114300">
                  <wp:extent cx="4973955" cy="2237740"/>
                  <wp:effectExtent l="0" t="0" r="17145" b="10160"/>
                  <wp:docPr id="15" name="图片 15" descr="17023450505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1702345050593(1)"/>
                          <pic:cNvPicPr>
                            <a:picLocks noChangeAspect="1"/>
                          </pic:cNvPicPr>
                        </pic:nvPicPr>
                        <pic:blipFill>
                          <a:blip r:embed="rId32"/>
                          <a:stretch>
                            <a:fillRect/>
                          </a:stretch>
                        </pic:blipFill>
                        <pic:spPr>
                          <a:xfrm>
                            <a:off x="0" y="0"/>
                            <a:ext cx="4973955" cy="2237740"/>
                          </a:xfrm>
                          <a:prstGeom prst="rect">
                            <a:avLst/>
                          </a:prstGeom>
                        </pic:spPr>
                      </pic:pic>
                    </a:graphicData>
                  </a:graphic>
                </wp:inline>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16" w:hRule="atLeast"/>
          <w:jc w:val="center"/>
        </w:trPr>
        <w:tc>
          <w:tcPr>
            <w:tcW w:w="8568" w:type="dxa"/>
            <w:tcBorders>
              <w:top w:val="single" w:color="000000" w:sz="4" w:space="0"/>
              <w:left w:val="single" w:color="auto" w:sz="4" w:space="0"/>
              <w:bottom w:val="single" w:color="000000" w:sz="4" w:space="0"/>
              <w:right w:val="single" w:color="000000" w:sz="4" w:space="0"/>
            </w:tcBorders>
            <w:noWrap/>
          </w:tcPr>
          <w:p>
            <w:pPr>
              <w:jc w:val="center"/>
              <w:rPr>
                <w:bCs/>
              </w:rPr>
            </w:pPr>
          </w:p>
          <w:p>
            <w:pPr>
              <w:jc w:val="center"/>
              <w:rPr>
                <w:bCs/>
              </w:rPr>
            </w:pPr>
            <w:r>
              <w:rPr>
                <w:rFonts w:hint="eastAsia"/>
                <w:bCs/>
              </w:rPr>
              <w:t>整改后</w:t>
            </w:r>
          </w:p>
          <w:p>
            <w:pPr>
              <w:jc w:val="center"/>
              <w:rPr>
                <w:bC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98" w:hRule="atLeast"/>
          <w:jc w:val="center"/>
        </w:trPr>
        <w:tc>
          <w:tcPr>
            <w:tcW w:w="8568" w:type="dxa"/>
            <w:tcBorders>
              <w:top w:val="single" w:color="000000" w:sz="4" w:space="0"/>
              <w:left w:val="single" w:color="auto" w:sz="4" w:space="0"/>
              <w:bottom w:val="single" w:color="000000" w:sz="4" w:space="0"/>
              <w:right w:val="single" w:color="000000" w:sz="4" w:space="0"/>
            </w:tcBorders>
            <w:noWrap/>
          </w:tcPr>
          <w:p>
            <w:pPr>
              <w:jc w:val="center"/>
              <w:rPr>
                <w:bCs/>
              </w:rPr>
            </w:pPr>
            <w:r>
              <w:rPr>
                <w:rFonts w:hint="default"/>
                <w:sz w:val="32"/>
                <w:szCs w:val="40"/>
                <w:lang w:val="en-US" w:eastAsia="zh-CN"/>
              </w:rPr>
              <w:drawing>
                <wp:inline distT="0" distB="0" distL="114300" distR="114300">
                  <wp:extent cx="5232400" cy="2312670"/>
                  <wp:effectExtent l="0" t="0" r="6350" b="11430"/>
                  <wp:docPr id="16" name="图片 16" descr="1702345050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1702345050587"/>
                          <pic:cNvPicPr>
                            <a:picLocks noChangeAspect="1"/>
                          </pic:cNvPicPr>
                        </pic:nvPicPr>
                        <pic:blipFill>
                          <a:blip r:embed="rId33"/>
                          <a:stretch>
                            <a:fillRect/>
                          </a:stretch>
                        </pic:blipFill>
                        <pic:spPr>
                          <a:xfrm>
                            <a:off x="0" y="0"/>
                            <a:ext cx="5232400" cy="2312670"/>
                          </a:xfrm>
                          <a:prstGeom prst="rect">
                            <a:avLst/>
                          </a:prstGeom>
                        </pic:spPr>
                      </pic:pic>
                    </a:graphicData>
                  </a:graphic>
                </wp:inline>
              </w:drawing>
            </w:r>
          </w:p>
        </w:tc>
      </w:tr>
    </w:tbl>
    <w:p>
      <w:pPr>
        <w:widowControl/>
        <w:snapToGrid w:val="0"/>
        <w:spacing w:line="300" w:lineRule="auto"/>
        <w:ind w:right="-94"/>
        <w:rPr>
          <w:rFonts w:ascii="宋体" w:hAnsi="宋体" w:cs="宋体"/>
          <w:b w:val="0"/>
          <w:bCs w:val="0"/>
          <w:kern w:val="0"/>
          <w:sz w:val="24"/>
        </w:rPr>
      </w:pPr>
      <w:r>
        <w:br w:type="page"/>
      </w:r>
      <w:r>
        <w:rPr>
          <w:rFonts w:hint="eastAsia"/>
          <w:lang w:val="en-US" w:eastAsia="zh-CN"/>
        </w:rPr>
        <w:t xml:space="preserve">  </w:t>
      </w:r>
      <w:r>
        <w:rPr>
          <w:rFonts w:hint="eastAsia"/>
        </w:rPr>
        <w:t>7、</w:t>
      </w:r>
      <w:r>
        <w:rPr>
          <w:rFonts w:hint="eastAsia" w:ascii="宋体" w:hAnsi="宋体" w:cs="宋体"/>
          <w:kern w:val="0"/>
          <w:sz w:val="24"/>
        </w:rPr>
        <w:t>【不符合项描述】：</w:t>
      </w:r>
      <w:r>
        <w:rPr>
          <w:rFonts w:hint="default" w:ascii="Times New Roman" w:hAnsi="Times New Roman" w:eastAsia="宋体" w:cs="Times New Roman"/>
          <w:b w:val="0"/>
          <w:bCs w:val="0"/>
          <w:sz w:val="24"/>
          <w:szCs w:val="32"/>
          <w:lang w:val="en-US" w:eastAsia="zh-CN"/>
        </w:rPr>
        <w:t>消防控制室未设置应急照明灯</w:t>
      </w:r>
      <w:r>
        <w:rPr>
          <w:rFonts w:hint="eastAsia" w:ascii="Times New Roman" w:hAnsi="Times New Roman" w:eastAsia="宋体" w:cs="Times New Roman"/>
          <w:b w:val="0"/>
          <w:bCs w:val="0"/>
          <w:sz w:val="24"/>
          <w:szCs w:val="32"/>
          <w:lang w:val="en-US" w:eastAsia="zh-CN"/>
        </w:rPr>
        <w:t>。</w:t>
      </w:r>
    </w:p>
    <w:p>
      <w:pPr>
        <w:widowControl/>
        <w:snapToGrid w:val="0"/>
        <w:spacing w:line="300" w:lineRule="auto"/>
        <w:ind w:right="-94" w:firstLine="590"/>
        <w:rPr>
          <w:rFonts w:ascii="宋体" w:hAnsi="宋体" w:cs="宋体"/>
          <w:b w:val="0"/>
          <w:bCs w:val="0"/>
          <w:kern w:val="0"/>
          <w:sz w:val="24"/>
        </w:rPr>
      </w:pPr>
      <w:r>
        <w:rPr>
          <w:rFonts w:hint="eastAsia" w:ascii="宋体" w:hAnsi="宋体" w:cs="宋体"/>
          <w:b w:val="0"/>
          <w:bCs w:val="0"/>
          <w:kern w:val="0"/>
          <w:sz w:val="24"/>
        </w:rPr>
        <w:t>【整改措施】：</w:t>
      </w:r>
      <w:r>
        <w:rPr>
          <w:rFonts w:hint="eastAsia" w:ascii="Times New Roman" w:hAnsi="Times New Roman" w:eastAsia="宋体" w:cs="Times New Roman"/>
          <w:b w:val="0"/>
          <w:bCs w:val="0"/>
          <w:sz w:val="24"/>
          <w:szCs w:val="32"/>
          <w:lang w:val="en-US" w:eastAsia="zh-CN"/>
        </w:rPr>
        <w:t>安排维修电工安装应急照明灯。</w:t>
      </w:r>
    </w:p>
    <w:tbl>
      <w:tblPr>
        <w:tblStyle w:val="24"/>
        <w:tblW w:w="856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56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60" w:hRule="atLeast"/>
          <w:jc w:val="center"/>
        </w:trPr>
        <w:tc>
          <w:tcPr>
            <w:tcW w:w="8568" w:type="dxa"/>
            <w:tcBorders>
              <w:left w:val="single" w:color="auto" w:sz="4" w:space="0"/>
            </w:tcBorders>
            <w:noWrap/>
            <w:vAlign w:val="center"/>
          </w:tcPr>
          <w:p>
            <w:pPr>
              <w:ind w:firstLine="480"/>
              <w:jc w:val="center"/>
              <w:rPr>
                <w:b/>
                <w:bCs/>
              </w:rPr>
            </w:pPr>
            <w:r>
              <w:rPr>
                <w:rFonts w:hint="eastAsia"/>
                <w:b/>
                <w:bCs/>
              </w:rPr>
              <w:t>整改前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93" w:hRule="atLeast"/>
          <w:jc w:val="center"/>
        </w:trPr>
        <w:tc>
          <w:tcPr>
            <w:tcW w:w="8568" w:type="dxa"/>
            <w:tcBorders>
              <w:left w:val="single" w:color="auto" w:sz="4" w:space="0"/>
            </w:tcBorders>
            <w:noWrap/>
          </w:tcPr>
          <w:p>
            <w:pPr>
              <w:jc w:val="center"/>
              <w:rPr>
                <w:rFonts w:hint="eastAsia" w:ascii="仿宋" w:hAnsi="仿宋" w:eastAsia="仿宋" w:cs="仿宋"/>
                <w:sz w:val="28"/>
                <w:szCs w:val="28"/>
              </w:rPr>
            </w:pPr>
          </w:p>
          <w:p>
            <w:pPr>
              <w:jc w:val="center"/>
              <w:rPr>
                <w:bCs/>
              </w:rPr>
            </w:pPr>
            <w:r>
              <w:rPr>
                <w:rFonts w:hint="eastAsia" w:ascii="仿宋" w:hAnsi="仿宋" w:eastAsia="仿宋" w:cs="仿宋"/>
                <w:sz w:val="28"/>
                <w:szCs w:val="28"/>
              </w:rPr>
              <w:drawing>
                <wp:inline distT="0" distB="0" distL="114300" distR="114300">
                  <wp:extent cx="5050790" cy="2581910"/>
                  <wp:effectExtent l="0" t="0" r="16510" b="8890"/>
                  <wp:docPr id="31" name="图片 31" descr="833eaab1fcccb4ede683df04c768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833eaab1fcccb4ede683df04c768756"/>
                          <pic:cNvPicPr>
                            <a:picLocks noChangeAspect="1"/>
                          </pic:cNvPicPr>
                        </pic:nvPicPr>
                        <pic:blipFill>
                          <a:blip r:embed="rId34"/>
                          <a:stretch>
                            <a:fillRect/>
                          </a:stretch>
                        </pic:blipFill>
                        <pic:spPr>
                          <a:xfrm>
                            <a:off x="0" y="0"/>
                            <a:ext cx="5050790" cy="2581910"/>
                          </a:xfrm>
                          <a:prstGeom prst="rect">
                            <a:avLst/>
                          </a:prstGeom>
                        </pic:spPr>
                      </pic:pic>
                    </a:graphicData>
                  </a:graphic>
                </wp:inline>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6" w:hRule="atLeast"/>
          <w:jc w:val="center"/>
        </w:trPr>
        <w:tc>
          <w:tcPr>
            <w:tcW w:w="8568" w:type="dxa"/>
            <w:tcBorders>
              <w:top w:val="single" w:color="000000" w:sz="4" w:space="0"/>
              <w:left w:val="single" w:color="auto" w:sz="4" w:space="0"/>
              <w:bottom w:val="single" w:color="000000" w:sz="4" w:space="0"/>
              <w:right w:val="single" w:color="000000" w:sz="4" w:space="0"/>
            </w:tcBorders>
            <w:noWrap/>
          </w:tcPr>
          <w:p>
            <w:pPr>
              <w:jc w:val="center"/>
              <w:rPr>
                <w:bCs/>
              </w:rPr>
            </w:pPr>
          </w:p>
          <w:p>
            <w:pPr>
              <w:jc w:val="center"/>
              <w:rPr>
                <w:bCs/>
              </w:rPr>
            </w:pPr>
            <w:r>
              <w:rPr>
                <w:rFonts w:hint="eastAsia"/>
                <w:bCs/>
              </w:rPr>
              <w:t>整改后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93" w:hRule="atLeast"/>
          <w:jc w:val="center"/>
        </w:trPr>
        <w:tc>
          <w:tcPr>
            <w:tcW w:w="8568" w:type="dxa"/>
            <w:tcBorders>
              <w:top w:val="single" w:color="000000" w:sz="4" w:space="0"/>
              <w:left w:val="single" w:color="auto" w:sz="4" w:space="0"/>
              <w:bottom w:val="single" w:color="000000" w:sz="4" w:space="0"/>
              <w:right w:val="single" w:color="000000" w:sz="4" w:space="0"/>
            </w:tcBorders>
            <w:noWrap/>
          </w:tcPr>
          <w:p>
            <w:pPr>
              <w:jc w:val="both"/>
              <w:rPr>
                <w:rFonts w:hint="eastAsia" w:ascii="仿宋" w:hAnsi="仿宋" w:eastAsia="仿宋" w:cs="仿宋"/>
                <w:sz w:val="28"/>
                <w:szCs w:val="28"/>
              </w:rPr>
            </w:pPr>
          </w:p>
          <w:p>
            <w:pPr>
              <w:jc w:val="center"/>
              <w:rPr>
                <w:rFonts w:hint="eastAsia" w:eastAsia="宋体"/>
                <w:bCs/>
                <w:lang w:eastAsia="zh-CN"/>
              </w:rPr>
            </w:pPr>
            <w:r>
              <w:rPr>
                <w:rFonts w:hint="eastAsia" w:ascii="仿宋" w:hAnsi="仿宋" w:eastAsia="仿宋" w:cs="仿宋"/>
                <w:sz w:val="28"/>
                <w:szCs w:val="28"/>
              </w:rPr>
              <w:drawing>
                <wp:inline distT="0" distB="0" distL="114300" distR="114300">
                  <wp:extent cx="5160010" cy="2773680"/>
                  <wp:effectExtent l="0" t="0" r="2540" b="7620"/>
                  <wp:docPr id="32" name="图片 32" descr="ff20386e1abf270a926d91b21705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ff20386e1abf270a926d91b21705783"/>
                          <pic:cNvPicPr>
                            <a:picLocks noChangeAspect="1"/>
                          </pic:cNvPicPr>
                        </pic:nvPicPr>
                        <pic:blipFill>
                          <a:blip r:embed="rId35"/>
                          <a:stretch>
                            <a:fillRect/>
                          </a:stretch>
                        </pic:blipFill>
                        <pic:spPr>
                          <a:xfrm>
                            <a:off x="0" y="0"/>
                            <a:ext cx="5160010" cy="2773680"/>
                          </a:xfrm>
                          <a:prstGeom prst="rect">
                            <a:avLst/>
                          </a:prstGeom>
                        </pic:spPr>
                      </pic:pic>
                    </a:graphicData>
                  </a:graphic>
                </wp:inline>
              </w:drawing>
            </w:r>
          </w:p>
        </w:tc>
      </w:tr>
    </w:tbl>
    <w:p>
      <w:pPr>
        <w:widowControl/>
        <w:spacing w:line="540" w:lineRule="exact"/>
        <w:rPr>
          <w:rFonts w:ascii="宋体" w:hAnsi="宋体"/>
          <w:b/>
          <w:bCs/>
          <w:kern w:val="0"/>
          <w:sz w:val="24"/>
        </w:rPr>
      </w:pPr>
      <w:r>
        <w:br w:type="page"/>
      </w:r>
      <w:r>
        <w:rPr>
          <w:rFonts w:hint="eastAsia"/>
          <w:lang w:val="en-US" w:eastAsia="zh-CN"/>
        </w:rPr>
        <w:t xml:space="preserve"> </w:t>
      </w:r>
      <w:r>
        <w:rPr>
          <w:rFonts w:hint="eastAsia" w:ascii="宋体" w:hAnsi="宋体"/>
          <w:b/>
          <w:bCs/>
          <w:kern w:val="0"/>
          <w:sz w:val="24"/>
        </w:rPr>
        <w:t>附件7：企业承诺书</w:t>
      </w:r>
    </w:p>
    <w:p>
      <w:pPr>
        <w:jc w:val="center"/>
        <w:rPr>
          <w:sz w:val="44"/>
          <w:szCs w:val="44"/>
        </w:rPr>
      </w:pPr>
    </w:p>
    <w:p>
      <w:pPr>
        <w:jc w:val="center"/>
        <w:rPr>
          <w:sz w:val="44"/>
          <w:szCs w:val="44"/>
        </w:rPr>
      </w:pPr>
      <w:r>
        <w:rPr>
          <w:rFonts w:hint="eastAsia"/>
          <w:sz w:val="44"/>
          <w:szCs w:val="44"/>
        </w:rPr>
        <w:t>企业承诺书</w:t>
      </w:r>
    </w:p>
    <w:p/>
    <w:p>
      <w:pPr>
        <w:ind w:firstLine="640" w:firstLineChars="200"/>
        <w:rPr>
          <w:sz w:val="32"/>
          <w:szCs w:val="32"/>
        </w:rPr>
      </w:pPr>
      <w:r>
        <w:rPr>
          <w:rFonts w:hint="eastAsia"/>
          <w:sz w:val="32"/>
          <w:szCs w:val="32"/>
        </w:rPr>
        <w:t>我公司编制的安全生产标准化《自评报告》内容真实、客观、对未完成的不符合制定的整改计划，我公司承诺按计划的进度实施，并且严格按照安全生产标准化的要求运行，做的持续改进，巩固提高！</w:t>
      </w:r>
    </w:p>
    <w:p>
      <w:pPr>
        <w:ind w:firstLine="640" w:firstLineChars="200"/>
        <w:rPr>
          <w:sz w:val="32"/>
          <w:szCs w:val="32"/>
        </w:rPr>
      </w:pPr>
    </w:p>
    <w:p>
      <w:pPr>
        <w:ind w:firstLine="640" w:firstLineChars="200"/>
        <w:rPr>
          <w:sz w:val="32"/>
          <w:szCs w:val="32"/>
        </w:rPr>
      </w:pPr>
      <w:r>
        <w:rPr>
          <w:rFonts w:hint="eastAsia"/>
          <w:sz w:val="32"/>
          <w:szCs w:val="32"/>
        </w:rPr>
        <w:t xml:space="preserve">特此承诺    </w:t>
      </w:r>
    </w:p>
    <w:p>
      <w:pPr>
        <w:ind w:firstLine="640" w:firstLineChars="200"/>
        <w:rPr>
          <w:sz w:val="32"/>
          <w:szCs w:val="32"/>
        </w:rPr>
      </w:pPr>
      <w:r>
        <w:rPr>
          <w:rFonts w:hint="eastAsia"/>
          <w:sz w:val="32"/>
          <w:szCs w:val="32"/>
        </w:rPr>
        <w:t>承诺人（企业负责人）签字：</w:t>
      </w:r>
    </w:p>
    <w:p>
      <w:pPr>
        <w:ind w:firstLine="640" w:firstLineChars="200"/>
        <w:rPr>
          <w:sz w:val="32"/>
          <w:szCs w:val="32"/>
        </w:rPr>
      </w:pPr>
    </w:p>
    <w:p>
      <w:pPr>
        <w:ind w:firstLine="640" w:firstLineChars="200"/>
        <w:rPr>
          <w:sz w:val="32"/>
          <w:szCs w:val="32"/>
        </w:rPr>
      </w:pPr>
    </w:p>
    <w:p>
      <w:pPr>
        <w:ind w:firstLine="640" w:firstLineChars="200"/>
        <w:rPr>
          <w:sz w:val="32"/>
          <w:szCs w:val="32"/>
        </w:rPr>
      </w:pPr>
    </w:p>
    <w:p>
      <w:pPr>
        <w:ind w:firstLine="640" w:firstLineChars="200"/>
        <w:jc w:val="center"/>
        <w:rPr>
          <w:rFonts w:ascii="宋体" w:hAnsi="宋体"/>
          <w:kern w:val="0"/>
          <w:sz w:val="32"/>
          <w:szCs w:val="32"/>
        </w:rPr>
      </w:pPr>
      <w:r>
        <w:rPr>
          <w:rFonts w:hint="eastAsia" w:ascii="宋体" w:hAnsi="宋体"/>
          <w:kern w:val="0"/>
          <w:sz w:val="32"/>
          <w:szCs w:val="32"/>
        </w:rPr>
        <w:t xml:space="preserve">               老河口华辰化学有限公司</w:t>
      </w:r>
    </w:p>
    <w:p>
      <w:pPr>
        <w:ind w:firstLine="640" w:firstLineChars="200"/>
        <w:jc w:val="center"/>
        <w:rPr>
          <w:sz w:val="32"/>
          <w:szCs w:val="32"/>
        </w:rPr>
      </w:pPr>
      <w:r>
        <w:rPr>
          <w:rFonts w:hint="eastAsia" w:ascii="宋体" w:hAnsi="宋体"/>
          <w:kern w:val="0"/>
          <w:sz w:val="32"/>
          <w:szCs w:val="32"/>
          <w:lang w:val="en-US" w:eastAsia="zh-CN"/>
        </w:rPr>
        <w:t xml:space="preserve">               </w:t>
      </w:r>
      <w:r>
        <w:rPr>
          <w:rFonts w:hint="eastAsia" w:ascii="宋体" w:hAnsi="宋体"/>
          <w:kern w:val="0"/>
          <w:sz w:val="32"/>
          <w:szCs w:val="32"/>
        </w:rPr>
        <w:t>202</w:t>
      </w:r>
      <w:r>
        <w:rPr>
          <w:rFonts w:hint="eastAsia" w:ascii="宋体" w:hAnsi="宋体"/>
          <w:kern w:val="0"/>
          <w:sz w:val="32"/>
          <w:szCs w:val="32"/>
          <w:lang w:val="en-US" w:eastAsia="zh-CN"/>
        </w:rPr>
        <w:t>3</w:t>
      </w:r>
      <w:r>
        <w:rPr>
          <w:rFonts w:hint="eastAsia" w:ascii="宋体" w:hAnsi="宋体"/>
          <w:kern w:val="0"/>
          <w:sz w:val="32"/>
          <w:szCs w:val="32"/>
        </w:rPr>
        <w:t>年</w:t>
      </w:r>
      <w:r>
        <w:rPr>
          <w:rFonts w:hint="eastAsia" w:ascii="宋体" w:hAnsi="宋体"/>
          <w:color w:val="auto"/>
          <w:kern w:val="0"/>
          <w:sz w:val="32"/>
          <w:szCs w:val="32"/>
        </w:rPr>
        <w:t>1</w:t>
      </w:r>
      <w:r>
        <w:rPr>
          <w:rFonts w:hint="eastAsia" w:ascii="宋体" w:hAnsi="宋体"/>
          <w:color w:val="auto"/>
          <w:kern w:val="0"/>
          <w:sz w:val="32"/>
          <w:szCs w:val="32"/>
          <w:lang w:val="en-US" w:eastAsia="zh-CN"/>
        </w:rPr>
        <w:t>2</w:t>
      </w:r>
      <w:r>
        <w:rPr>
          <w:rFonts w:hint="eastAsia" w:ascii="宋体" w:hAnsi="宋体"/>
          <w:kern w:val="0"/>
          <w:sz w:val="32"/>
          <w:szCs w:val="32"/>
        </w:rPr>
        <w:t>月</w:t>
      </w:r>
      <w:r>
        <w:rPr>
          <w:rFonts w:hint="eastAsia" w:ascii="宋体" w:hAnsi="宋体"/>
          <w:kern w:val="0"/>
          <w:sz w:val="32"/>
          <w:szCs w:val="32"/>
          <w:lang w:val="en-US" w:eastAsia="zh-CN"/>
        </w:rPr>
        <w:t>20</w:t>
      </w:r>
      <w:r>
        <w:rPr>
          <w:rFonts w:hint="eastAsia" w:ascii="宋体" w:hAnsi="宋体"/>
          <w:kern w:val="0"/>
          <w:sz w:val="32"/>
          <w:szCs w:val="32"/>
        </w:rPr>
        <w:t>日</w:t>
      </w:r>
    </w:p>
    <w:p>
      <w:pPr>
        <w:widowControl/>
        <w:spacing w:line="540" w:lineRule="exact"/>
        <w:rPr>
          <w:rFonts w:ascii="宋体" w:hAnsi="宋体"/>
          <w:b/>
          <w:bCs/>
          <w:kern w:val="0"/>
          <w:sz w:val="24"/>
        </w:rPr>
      </w:pPr>
    </w:p>
    <w:p>
      <w:pPr>
        <w:widowControl/>
        <w:spacing w:line="540" w:lineRule="exact"/>
        <w:rPr>
          <w:rFonts w:ascii="宋体" w:hAnsi="宋体"/>
          <w:b/>
          <w:bCs/>
          <w:kern w:val="0"/>
          <w:sz w:val="28"/>
          <w:szCs w:val="28"/>
        </w:rPr>
      </w:pPr>
      <w:r>
        <w:rPr>
          <w:rFonts w:ascii="宋体" w:hAnsi="宋体"/>
          <w:b/>
          <w:bCs/>
          <w:kern w:val="0"/>
          <w:sz w:val="24"/>
        </w:rPr>
        <w:br w:type="page"/>
      </w:r>
    </w:p>
    <w:p>
      <w:pPr>
        <w:widowControl/>
        <w:spacing w:line="300" w:lineRule="auto"/>
        <w:rPr>
          <w:rFonts w:ascii="宋体" w:hAnsi="宋体"/>
          <w:kern w:val="0"/>
          <w:sz w:val="24"/>
        </w:rPr>
      </w:pPr>
      <w:r>
        <w:rPr>
          <w:rFonts w:hint="eastAsia" w:ascii="宋体" w:hAnsi="宋体"/>
          <w:b/>
          <w:bCs/>
          <w:kern w:val="0"/>
          <w:sz w:val="24"/>
        </w:rPr>
        <w:t>附件8：《自评报告》公示情况照片（截图）</w:t>
      </w:r>
    </w:p>
    <w:p>
      <w:pPr>
        <w:widowControl/>
        <w:jc w:val="left"/>
        <w:rPr>
          <w:rFonts w:hint="eastAsia" w:ascii="宋体" w:hAnsi="宋体"/>
          <w:b/>
          <w:bCs/>
          <w:kern w:val="0"/>
          <w:sz w:val="24"/>
        </w:rPr>
      </w:pPr>
    </w:p>
    <w:p>
      <w:pPr>
        <w:widowControl/>
        <w:jc w:val="left"/>
        <w:rPr>
          <w:rFonts w:hint="eastAsia" w:ascii="宋体" w:hAnsi="宋体"/>
          <w:b/>
          <w:bCs/>
          <w:kern w:val="0"/>
          <w:sz w:val="24"/>
        </w:rPr>
      </w:pPr>
    </w:p>
    <w:p>
      <w:pPr>
        <w:widowControl/>
        <w:jc w:val="left"/>
        <w:rPr>
          <w:rFonts w:hint="eastAsia" w:ascii="宋体" w:hAnsi="宋体"/>
          <w:b/>
          <w:bCs/>
          <w:kern w:val="0"/>
          <w:sz w:val="24"/>
        </w:rPr>
      </w:pPr>
    </w:p>
    <w:p>
      <w:pPr>
        <w:widowControl/>
        <w:jc w:val="left"/>
        <w:rPr>
          <w:rFonts w:hint="eastAsia" w:ascii="宋体" w:hAnsi="宋体"/>
          <w:b/>
          <w:bCs/>
          <w:kern w:val="0"/>
          <w:sz w:val="24"/>
        </w:rPr>
      </w:pPr>
    </w:p>
    <w:p>
      <w:pPr>
        <w:widowControl/>
        <w:jc w:val="left"/>
        <w:rPr>
          <w:rFonts w:hint="eastAsia" w:ascii="宋体" w:hAnsi="宋体"/>
          <w:b/>
          <w:bCs/>
          <w:kern w:val="0"/>
          <w:sz w:val="24"/>
        </w:rPr>
      </w:pPr>
    </w:p>
    <w:p>
      <w:pPr>
        <w:widowControl/>
        <w:jc w:val="left"/>
        <w:rPr>
          <w:rFonts w:hint="eastAsia" w:ascii="宋体" w:hAnsi="宋体"/>
          <w:b/>
          <w:bCs/>
          <w:kern w:val="0"/>
          <w:sz w:val="24"/>
        </w:rPr>
      </w:pPr>
    </w:p>
    <w:p>
      <w:pPr>
        <w:widowControl/>
        <w:jc w:val="left"/>
        <w:rPr>
          <w:rFonts w:hint="eastAsia" w:ascii="宋体" w:hAnsi="宋体"/>
          <w:b/>
          <w:bCs/>
          <w:kern w:val="0"/>
          <w:sz w:val="24"/>
        </w:rPr>
      </w:pPr>
    </w:p>
    <w:p>
      <w:pPr>
        <w:widowControl/>
        <w:jc w:val="left"/>
        <w:rPr>
          <w:rFonts w:hint="eastAsia" w:ascii="宋体" w:hAnsi="宋体"/>
          <w:b/>
          <w:bCs/>
          <w:kern w:val="0"/>
          <w:sz w:val="24"/>
        </w:rPr>
      </w:pPr>
    </w:p>
    <w:p>
      <w:pPr>
        <w:widowControl/>
        <w:jc w:val="left"/>
        <w:rPr>
          <w:rFonts w:hint="eastAsia" w:ascii="宋体" w:hAnsi="宋体"/>
          <w:b/>
          <w:bCs/>
          <w:kern w:val="0"/>
          <w:sz w:val="24"/>
        </w:rPr>
      </w:pPr>
    </w:p>
    <w:p>
      <w:pPr>
        <w:widowControl/>
        <w:jc w:val="left"/>
        <w:rPr>
          <w:rFonts w:hint="eastAsia" w:ascii="宋体" w:hAnsi="宋体"/>
          <w:b/>
          <w:bCs/>
          <w:kern w:val="0"/>
          <w:sz w:val="24"/>
        </w:rPr>
      </w:pPr>
    </w:p>
    <w:p>
      <w:pPr>
        <w:widowControl/>
        <w:jc w:val="left"/>
        <w:rPr>
          <w:rFonts w:hint="eastAsia" w:ascii="宋体" w:hAnsi="宋体"/>
          <w:b/>
          <w:bCs/>
          <w:kern w:val="0"/>
          <w:sz w:val="24"/>
        </w:rPr>
      </w:pPr>
    </w:p>
    <w:p>
      <w:pPr>
        <w:widowControl/>
        <w:jc w:val="left"/>
        <w:rPr>
          <w:rFonts w:hint="eastAsia" w:ascii="宋体" w:hAnsi="宋体"/>
          <w:b/>
          <w:bCs/>
          <w:kern w:val="0"/>
          <w:sz w:val="24"/>
        </w:rPr>
      </w:pPr>
    </w:p>
    <w:p>
      <w:pPr>
        <w:widowControl/>
        <w:jc w:val="left"/>
        <w:rPr>
          <w:rFonts w:hint="eastAsia" w:ascii="宋体" w:hAnsi="宋体"/>
          <w:b/>
          <w:bCs/>
          <w:kern w:val="0"/>
          <w:sz w:val="24"/>
        </w:rPr>
      </w:pPr>
    </w:p>
    <w:p>
      <w:pPr>
        <w:widowControl/>
        <w:jc w:val="left"/>
        <w:rPr>
          <w:rFonts w:hint="eastAsia" w:ascii="宋体" w:hAnsi="宋体"/>
          <w:b/>
          <w:bCs/>
          <w:kern w:val="0"/>
          <w:sz w:val="24"/>
        </w:rPr>
      </w:pPr>
    </w:p>
    <w:p>
      <w:pPr>
        <w:widowControl/>
        <w:jc w:val="left"/>
        <w:rPr>
          <w:rFonts w:hint="eastAsia" w:ascii="宋体" w:hAnsi="宋体"/>
          <w:b/>
          <w:bCs/>
          <w:kern w:val="0"/>
          <w:sz w:val="24"/>
        </w:rPr>
      </w:pPr>
    </w:p>
    <w:p>
      <w:pPr>
        <w:widowControl/>
        <w:jc w:val="left"/>
        <w:rPr>
          <w:rFonts w:hint="eastAsia" w:ascii="宋体" w:hAnsi="宋体"/>
          <w:b/>
          <w:bCs/>
          <w:kern w:val="0"/>
          <w:sz w:val="24"/>
        </w:rPr>
      </w:pPr>
    </w:p>
    <w:p>
      <w:pPr>
        <w:widowControl/>
        <w:jc w:val="left"/>
        <w:rPr>
          <w:rFonts w:hint="eastAsia" w:ascii="宋体" w:hAnsi="宋体"/>
          <w:b/>
          <w:bCs/>
          <w:kern w:val="0"/>
          <w:sz w:val="24"/>
        </w:rPr>
      </w:pPr>
    </w:p>
    <w:p>
      <w:pPr>
        <w:widowControl/>
        <w:jc w:val="left"/>
        <w:rPr>
          <w:rFonts w:hint="eastAsia" w:ascii="宋体" w:hAnsi="宋体"/>
          <w:b/>
          <w:bCs/>
          <w:kern w:val="0"/>
          <w:sz w:val="24"/>
        </w:rPr>
      </w:pPr>
    </w:p>
    <w:p>
      <w:pPr>
        <w:widowControl/>
        <w:jc w:val="left"/>
        <w:rPr>
          <w:rFonts w:hint="eastAsia" w:ascii="宋体" w:hAnsi="宋体"/>
          <w:b/>
          <w:bCs/>
          <w:kern w:val="0"/>
          <w:sz w:val="24"/>
        </w:rPr>
      </w:pPr>
    </w:p>
    <w:p>
      <w:pPr>
        <w:widowControl/>
        <w:jc w:val="left"/>
        <w:rPr>
          <w:rFonts w:hint="eastAsia" w:ascii="宋体" w:hAnsi="宋体"/>
          <w:b/>
          <w:bCs/>
          <w:kern w:val="0"/>
          <w:sz w:val="24"/>
        </w:rPr>
      </w:pPr>
    </w:p>
    <w:p>
      <w:pPr>
        <w:widowControl/>
        <w:jc w:val="left"/>
        <w:rPr>
          <w:rFonts w:hint="eastAsia" w:ascii="宋体" w:hAnsi="宋体"/>
          <w:b/>
          <w:bCs/>
          <w:kern w:val="0"/>
          <w:sz w:val="24"/>
        </w:rPr>
      </w:pPr>
    </w:p>
    <w:p>
      <w:pPr>
        <w:widowControl/>
        <w:jc w:val="left"/>
        <w:rPr>
          <w:rFonts w:hint="eastAsia" w:ascii="宋体" w:hAnsi="宋体"/>
          <w:b/>
          <w:bCs/>
          <w:kern w:val="0"/>
          <w:sz w:val="24"/>
        </w:rPr>
      </w:pPr>
    </w:p>
    <w:p>
      <w:pPr>
        <w:widowControl/>
        <w:jc w:val="left"/>
        <w:rPr>
          <w:rFonts w:hint="eastAsia" w:ascii="宋体" w:hAnsi="宋体"/>
          <w:b/>
          <w:bCs/>
          <w:kern w:val="0"/>
          <w:sz w:val="24"/>
        </w:rPr>
      </w:pPr>
    </w:p>
    <w:p>
      <w:pPr>
        <w:widowControl/>
        <w:jc w:val="left"/>
        <w:rPr>
          <w:rFonts w:hint="eastAsia" w:ascii="宋体" w:hAnsi="宋体"/>
          <w:b/>
          <w:bCs/>
          <w:kern w:val="0"/>
          <w:sz w:val="24"/>
        </w:rPr>
      </w:pPr>
    </w:p>
    <w:p>
      <w:pPr>
        <w:widowControl/>
        <w:jc w:val="left"/>
        <w:rPr>
          <w:rFonts w:hint="eastAsia" w:ascii="宋体" w:hAnsi="宋体"/>
          <w:b/>
          <w:bCs/>
          <w:kern w:val="0"/>
          <w:sz w:val="24"/>
        </w:rPr>
      </w:pPr>
    </w:p>
    <w:p>
      <w:pPr>
        <w:widowControl/>
        <w:jc w:val="left"/>
        <w:rPr>
          <w:rFonts w:hint="eastAsia" w:ascii="宋体" w:hAnsi="宋体"/>
          <w:b/>
          <w:bCs/>
          <w:kern w:val="0"/>
          <w:sz w:val="24"/>
        </w:rPr>
      </w:pPr>
    </w:p>
    <w:p>
      <w:pPr>
        <w:widowControl/>
        <w:jc w:val="left"/>
        <w:rPr>
          <w:rFonts w:hint="eastAsia" w:ascii="宋体" w:hAnsi="宋体"/>
          <w:b/>
          <w:bCs/>
          <w:kern w:val="0"/>
          <w:sz w:val="24"/>
        </w:rPr>
      </w:pPr>
    </w:p>
    <w:p>
      <w:pPr>
        <w:widowControl/>
        <w:jc w:val="left"/>
        <w:rPr>
          <w:rFonts w:hint="eastAsia" w:ascii="宋体" w:hAnsi="宋体"/>
          <w:b/>
          <w:bCs/>
          <w:kern w:val="0"/>
          <w:sz w:val="24"/>
        </w:rPr>
      </w:pPr>
    </w:p>
    <w:p>
      <w:pPr>
        <w:widowControl/>
        <w:jc w:val="left"/>
        <w:rPr>
          <w:rFonts w:hint="eastAsia" w:ascii="宋体" w:hAnsi="宋体"/>
          <w:b/>
          <w:bCs/>
          <w:kern w:val="0"/>
          <w:sz w:val="24"/>
        </w:rPr>
      </w:pPr>
    </w:p>
    <w:p>
      <w:pPr>
        <w:widowControl/>
        <w:jc w:val="left"/>
        <w:rPr>
          <w:rFonts w:hint="eastAsia" w:ascii="宋体" w:hAnsi="宋体"/>
          <w:b/>
          <w:bCs/>
          <w:kern w:val="0"/>
          <w:sz w:val="24"/>
        </w:rPr>
      </w:pPr>
    </w:p>
    <w:p>
      <w:pPr>
        <w:widowControl/>
        <w:jc w:val="left"/>
        <w:rPr>
          <w:rFonts w:hint="eastAsia" w:ascii="宋体" w:hAnsi="宋体"/>
          <w:b/>
          <w:bCs/>
          <w:kern w:val="0"/>
          <w:sz w:val="24"/>
        </w:rPr>
      </w:pPr>
    </w:p>
    <w:p>
      <w:pPr>
        <w:widowControl/>
        <w:jc w:val="left"/>
        <w:rPr>
          <w:rFonts w:hint="eastAsia" w:ascii="宋体" w:hAnsi="宋体"/>
          <w:b/>
          <w:bCs/>
          <w:kern w:val="0"/>
          <w:sz w:val="24"/>
        </w:rPr>
      </w:pPr>
    </w:p>
    <w:p>
      <w:pPr>
        <w:widowControl/>
        <w:jc w:val="left"/>
        <w:rPr>
          <w:rFonts w:hint="eastAsia" w:ascii="宋体" w:hAnsi="宋体"/>
          <w:b/>
          <w:bCs/>
          <w:kern w:val="0"/>
          <w:sz w:val="24"/>
        </w:rPr>
      </w:pPr>
    </w:p>
    <w:p>
      <w:pPr>
        <w:widowControl/>
        <w:jc w:val="left"/>
        <w:rPr>
          <w:rFonts w:hint="eastAsia" w:ascii="宋体" w:hAnsi="宋体"/>
          <w:b/>
          <w:bCs/>
          <w:kern w:val="0"/>
          <w:sz w:val="24"/>
        </w:rPr>
      </w:pPr>
    </w:p>
    <w:p>
      <w:pPr>
        <w:widowControl/>
        <w:jc w:val="left"/>
        <w:rPr>
          <w:rFonts w:hint="eastAsia" w:ascii="宋体" w:hAnsi="宋体"/>
          <w:b/>
          <w:bCs/>
          <w:kern w:val="0"/>
          <w:sz w:val="24"/>
        </w:rPr>
      </w:pPr>
    </w:p>
    <w:p>
      <w:pPr>
        <w:widowControl/>
        <w:jc w:val="left"/>
        <w:rPr>
          <w:rFonts w:hint="eastAsia" w:ascii="宋体" w:hAnsi="宋体"/>
          <w:b/>
          <w:bCs/>
          <w:kern w:val="0"/>
          <w:sz w:val="24"/>
        </w:rPr>
      </w:pPr>
    </w:p>
    <w:p>
      <w:pPr>
        <w:widowControl/>
        <w:jc w:val="left"/>
        <w:rPr>
          <w:rFonts w:hint="eastAsia" w:ascii="宋体" w:hAnsi="宋体"/>
          <w:b/>
          <w:bCs/>
          <w:kern w:val="0"/>
          <w:sz w:val="24"/>
        </w:rPr>
      </w:pPr>
    </w:p>
    <w:p>
      <w:pPr>
        <w:widowControl/>
        <w:jc w:val="left"/>
        <w:rPr>
          <w:rFonts w:hint="eastAsia" w:ascii="宋体" w:hAnsi="宋体"/>
          <w:b/>
          <w:bCs/>
          <w:kern w:val="0"/>
          <w:sz w:val="24"/>
        </w:rPr>
      </w:pPr>
    </w:p>
    <w:p>
      <w:pPr>
        <w:widowControl/>
        <w:jc w:val="left"/>
        <w:rPr>
          <w:rFonts w:hint="eastAsia" w:ascii="宋体" w:hAnsi="宋体"/>
          <w:b/>
          <w:bCs/>
          <w:kern w:val="0"/>
          <w:sz w:val="24"/>
        </w:rPr>
      </w:pPr>
    </w:p>
    <w:p>
      <w:pPr>
        <w:widowControl/>
        <w:jc w:val="left"/>
        <w:rPr>
          <w:rFonts w:hint="eastAsia" w:ascii="宋体" w:hAnsi="宋体"/>
          <w:b/>
          <w:bCs/>
          <w:kern w:val="0"/>
          <w:sz w:val="24"/>
        </w:rPr>
      </w:pPr>
    </w:p>
    <w:p>
      <w:pPr>
        <w:widowControl/>
        <w:jc w:val="left"/>
        <w:rPr>
          <w:rFonts w:hint="eastAsia" w:ascii="宋体" w:hAnsi="宋体"/>
          <w:b/>
          <w:bCs/>
          <w:kern w:val="0"/>
          <w:sz w:val="24"/>
        </w:rPr>
      </w:pPr>
    </w:p>
    <w:p>
      <w:pPr>
        <w:widowControl/>
        <w:jc w:val="left"/>
        <w:rPr>
          <w:rFonts w:hint="eastAsia" w:ascii="宋体" w:hAnsi="宋体"/>
          <w:b/>
          <w:bCs/>
          <w:kern w:val="0"/>
          <w:sz w:val="24"/>
        </w:rPr>
      </w:pPr>
    </w:p>
    <w:p>
      <w:pPr>
        <w:widowControl/>
        <w:jc w:val="left"/>
        <w:rPr>
          <w:rFonts w:hint="eastAsia" w:ascii="宋体" w:hAnsi="宋体"/>
          <w:b/>
          <w:bCs/>
          <w:kern w:val="0"/>
          <w:sz w:val="24"/>
        </w:rPr>
      </w:pPr>
    </w:p>
    <w:p>
      <w:pPr>
        <w:widowControl/>
        <w:jc w:val="left"/>
        <w:rPr>
          <w:rFonts w:hint="eastAsia" w:ascii="宋体" w:hAnsi="宋体"/>
          <w:b/>
          <w:bCs/>
          <w:kern w:val="0"/>
          <w:sz w:val="24"/>
        </w:rPr>
      </w:pPr>
    </w:p>
    <w:p>
      <w:pPr>
        <w:widowControl/>
        <w:jc w:val="left"/>
        <w:rPr>
          <w:rFonts w:ascii="宋体" w:hAnsi="宋体"/>
          <w:b/>
          <w:bCs/>
          <w:kern w:val="0"/>
          <w:sz w:val="28"/>
          <w:szCs w:val="28"/>
        </w:rPr>
      </w:pPr>
      <w:r>
        <w:rPr>
          <w:rFonts w:hint="eastAsia" w:ascii="宋体" w:hAnsi="宋体"/>
          <w:b/>
          <w:bCs/>
          <w:kern w:val="0"/>
          <w:sz w:val="24"/>
        </w:rPr>
        <w:t>附件</w:t>
      </w:r>
      <w:r>
        <w:rPr>
          <w:rFonts w:hint="eastAsia" w:ascii="宋体" w:hAnsi="宋体"/>
          <w:b/>
          <w:bCs/>
          <w:kern w:val="0"/>
          <w:sz w:val="24"/>
          <w:lang w:val="en-US" w:eastAsia="zh-CN"/>
        </w:rPr>
        <w:t>9</w:t>
      </w:r>
      <w:r>
        <w:rPr>
          <w:rFonts w:hint="eastAsia" w:ascii="宋体" w:hAnsi="宋体"/>
          <w:b/>
          <w:bCs/>
          <w:kern w:val="0"/>
          <w:sz w:val="24"/>
        </w:rPr>
        <w:t>：重大危险源辨识</w:t>
      </w:r>
    </w:p>
    <w:p>
      <w:pPr>
        <w:spacing w:line="360" w:lineRule="auto"/>
        <w:jc w:val="center"/>
        <w:rPr>
          <w:rFonts w:ascii="宋体" w:hAnsi="宋体" w:cs="宋体"/>
          <w:b/>
          <w:sz w:val="24"/>
        </w:rPr>
      </w:pPr>
      <w:r>
        <w:rPr>
          <w:rFonts w:hint="eastAsia" w:ascii="宋体" w:hAnsi="宋体" w:cs="宋体"/>
          <w:b/>
          <w:sz w:val="24"/>
        </w:rPr>
        <w:t>重大危险源辨识</w:t>
      </w:r>
    </w:p>
    <w:p>
      <w:pPr>
        <w:spacing w:line="360" w:lineRule="auto"/>
        <w:rPr>
          <w:rFonts w:ascii="宋体" w:hAnsi="宋体" w:cs="宋体"/>
          <w:bCs/>
          <w:sz w:val="24"/>
        </w:rPr>
      </w:pPr>
    </w:p>
    <w:p>
      <w:pPr>
        <w:spacing w:after="156" w:afterLines="50" w:line="440" w:lineRule="exact"/>
        <w:ind w:firstLine="480" w:firstLineChars="200"/>
        <w:rPr>
          <w:rFonts w:ascii="宋体" w:hAnsi="宋体" w:cs="宋体"/>
          <w:bCs/>
          <w:sz w:val="24"/>
        </w:rPr>
      </w:pPr>
      <w:r>
        <w:rPr>
          <w:rFonts w:hint="eastAsia" w:ascii="宋体" w:hAnsi="宋体" w:cs="宋体"/>
          <w:bCs/>
          <w:sz w:val="24"/>
        </w:rPr>
        <w:t>一、重大危险源</w:t>
      </w:r>
    </w:p>
    <w:p>
      <w:pPr>
        <w:spacing w:after="156" w:afterLines="50" w:line="440" w:lineRule="exact"/>
        <w:ind w:firstLine="480" w:firstLineChars="200"/>
        <w:rPr>
          <w:rFonts w:ascii="宋体" w:hAnsi="宋体" w:cs="宋体"/>
          <w:sz w:val="24"/>
        </w:rPr>
      </w:pPr>
      <w:r>
        <w:rPr>
          <w:rFonts w:ascii="宋体" w:hAnsi="宋体" w:cs="宋体"/>
          <w:sz w:val="24"/>
        </w:rPr>
        <w:t xml:space="preserve">危险化学品重大危险源可分为生产单元危险化学品重大危险源和储存 单元危险化学品重大危险源。 </w:t>
      </w:r>
    </w:p>
    <w:p>
      <w:pPr>
        <w:spacing w:after="156" w:afterLines="50" w:line="440" w:lineRule="exact"/>
        <w:ind w:firstLine="480" w:firstLineChars="200"/>
        <w:rPr>
          <w:rFonts w:ascii="宋体" w:hAnsi="宋体" w:cs="宋体"/>
          <w:sz w:val="24"/>
        </w:rPr>
      </w:pPr>
      <w:r>
        <w:rPr>
          <w:rFonts w:ascii="宋体" w:hAnsi="宋体" w:cs="宋体"/>
          <w:sz w:val="24"/>
        </w:rPr>
        <w:t>生产单元、储存单元内存在危险化学品的数量等于或超过GB18218-2018 表1、表2规定的临界量，即被定为重大危险源。单元内存在的危险化学品的 数量根据危险化学品种类的多少区分为以下两种情况：</w:t>
      </w:r>
    </w:p>
    <w:p>
      <w:pPr>
        <w:numPr>
          <w:ilvl w:val="0"/>
          <w:numId w:val="10"/>
        </w:numPr>
        <w:spacing w:after="156" w:afterLines="50" w:line="440" w:lineRule="exact"/>
        <w:rPr>
          <w:rFonts w:ascii="宋体" w:hAnsi="宋体" w:cs="宋体"/>
          <w:sz w:val="24"/>
        </w:rPr>
      </w:pPr>
      <w:r>
        <w:rPr>
          <w:rFonts w:ascii="宋体" w:hAnsi="宋体" w:cs="宋体"/>
          <w:sz w:val="24"/>
        </w:rPr>
        <w:t xml:space="preserve">生产单元、储存单元内存在的危险化学品为单一品种时，该危险化学 品的数量即为单元内危险化学品的总量，若等于或超过相应的临界量，则定 为重大危险源。 </w:t>
      </w:r>
    </w:p>
    <w:p>
      <w:pPr>
        <w:numPr>
          <w:ilvl w:val="0"/>
          <w:numId w:val="10"/>
        </w:numPr>
        <w:spacing w:after="156" w:afterLines="50" w:line="440" w:lineRule="exact"/>
        <w:rPr>
          <w:rFonts w:ascii="宋体" w:hAnsi="宋体" w:cs="宋体"/>
          <w:sz w:val="24"/>
        </w:rPr>
      </w:pPr>
      <w:r>
        <w:rPr>
          <w:rFonts w:ascii="宋体" w:hAnsi="宋体" w:cs="宋体"/>
          <w:sz w:val="24"/>
        </w:rPr>
        <w:t>生产单元、储存单元内存在的危险化学品为多品种时，按式（1）计 算，若满足式（1），则定为重大危险源：</w:t>
      </w:r>
    </w:p>
    <w:p>
      <w:pPr>
        <w:spacing w:after="156" w:afterLines="50" w:line="440" w:lineRule="exact"/>
        <w:ind w:left="600" w:firstLine="480" w:firstLineChars="200"/>
        <w:rPr>
          <w:rFonts w:ascii="宋体" w:hAnsi="宋体" w:cs="宋体"/>
          <w:sz w:val="24"/>
        </w:rPr>
      </w:pPr>
      <w:r>
        <w:rPr>
          <w:rFonts w:ascii="宋体" w:hAnsi="宋体" w:cs="宋体"/>
          <w:sz w:val="24"/>
        </w:rPr>
        <w:t xml:space="preserve"> S=q1/Q1+q2/Q2+…+qn/Qn≥1……………………（1） </w:t>
      </w:r>
    </w:p>
    <w:p>
      <w:pPr>
        <w:spacing w:after="156" w:afterLines="50" w:line="440" w:lineRule="exact"/>
        <w:ind w:left="600" w:firstLine="480" w:firstLineChars="200"/>
        <w:rPr>
          <w:rFonts w:ascii="宋体" w:hAnsi="宋体" w:cs="宋体"/>
          <w:sz w:val="24"/>
        </w:rPr>
      </w:pPr>
      <w:r>
        <w:rPr>
          <w:rFonts w:ascii="宋体" w:hAnsi="宋体" w:cs="宋体"/>
          <w:sz w:val="24"/>
        </w:rPr>
        <w:t xml:space="preserve">式中： </w:t>
      </w:r>
    </w:p>
    <w:p>
      <w:pPr>
        <w:spacing w:after="156" w:afterLines="50" w:line="440" w:lineRule="exact"/>
        <w:ind w:left="600" w:firstLine="480" w:firstLineChars="200"/>
        <w:rPr>
          <w:rFonts w:ascii="宋体" w:hAnsi="宋体" w:cs="宋体"/>
          <w:sz w:val="24"/>
        </w:rPr>
      </w:pPr>
      <w:r>
        <w:rPr>
          <w:rFonts w:ascii="宋体" w:hAnsi="宋体" w:cs="宋体"/>
          <w:sz w:val="24"/>
        </w:rPr>
        <w:t>S——辨识指标；</w:t>
      </w:r>
    </w:p>
    <w:p>
      <w:pPr>
        <w:spacing w:after="156" w:afterLines="50" w:line="440" w:lineRule="exact"/>
        <w:ind w:left="600" w:firstLine="480" w:firstLineChars="200"/>
        <w:rPr>
          <w:rFonts w:ascii="宋体" w:hAnsi="宋体" w:cs="宋体"/>
          <w:sz w:val="24"/>
        </w:rPr>
      </w:pPr>
      <w:r>
        <w:rPr>
          <w:rFonts w:ascii="宋体" w:hAnsi="宋体" w:cs="宋体"/>
          <w:sz w:val="24"/>
        </w:rPr>
        <w:t xml:space="preserve"> q1，q2，…，qn——每种危险化学品的实际存在量，单位为吨（t）；</w:t>
      </w:r>
    </w:p>
    <w:p>
      <w:pPr>
        <w:spacing w:after="156" w:afterLines="50" w:line="440" w:lineRule="exact"/>
        <w:ind w:left="600" w:firstLine="480" w:firstLineChars="200"/>
        <w:rPr>
          <w:rFonts w:ascii="宋体" w:hAnsi="宋体" w:cs="宋体"/>
          <w:sz w:val="24"/>
        </w:rPr>
      </w:pPr>
      <w:r>
        <w:rPr>
          <w:rFonts w:ascii="宋体" w:hAnsi="宋体" w:cs="宋体"/>
          <w:sz w:val="24"/>
        </w:rPr>
        <w:t xml:space="preserve"> Q1，Q2，…，Qn——与每种危险化学品相对应的临界量，单位为吨（t）。 </w:t>
      </w:r>
    </w:p>
    <w:p>
      <w:pPr>
        <w:spacing w:after="156" w:afterLines="50" w:line="440" w:lineRule="exact"/>
        <w:ind w:firstLine="480" w:firstLineChars="200"/>
        <w:rPr>
          <w:rFonts w:ascii="宋体" w:hAnsi="宋体" w:cs="宋体"/>
          <w:bCs/>
          <w:sz w:val="24"/>
        </w:rPr>
      </w:pPr>
      <w:r>
        <w:rPr>
          <w:rFonts w:hint="eastAsia" w:ascii="宋体" w:hAnsi="宋体" w:cs="宋体"/>
          <w:bCs/>
          <w:sz w:val="24"/>
        </w:rPr>
        <w:t>二、 重大危险源的辨识</w:t>
      </w:r>
    </w:p>
    <w:p>
      <w:pPr>
        <w:widowControl/>
        <w:spacing w:line="360" w:lineRule="auto"/>
        <w:ind w:firstLine="480" w:firstLineChars="200"/>
        <w:rPr>
          <w:rFonts w:ascii="宋体" w:hAnsi="宋体" w:cs="宋体"/>
          <w:sz w:val="24"/>
        </w:rPr>
      </w:pPr>
      <w:r>
        <w:rPr>
          <w:rFonts w:ascii="宋体" w:hAnsi="宋体" w:cs="宋体"/>
          <w:sz w:val="24"/>
        </w:rPr>
        <w:t xml:space="preserve">根据《危险化学品重大危险源辨识》GB18218-2018 有关危险化学品及 单元的定义，该公司中纳入重大危险源辨识范围中的危险化学品包括液氯、 邻氯甲苯、天然气等，上述危险化学品主要存在于生产车间、氯气库、邻氯 甲苯罐、锅炉房等区域。 </w:t>
      </w:r>
    </w:p>
    <w:p>
      <w:pPr>
        <w:widowControl/>
        <w:spacing w:line="360" w:lineRule="auto"/>
        <w:ind w:firstLine="480" w:firstLineChars="200"/>
        <w:rPr>
          <w:rFonts w:ascii="宋体" w:hAnsi="宋体" w:cs="宋体"/>
          <w:sz w:val="24"/>
        </w:rPr>
      </w:pPr>
      <w:r>
        <w:rPr>
          <w:rFonts w:ascii="宋体" w:hAnsi="宋体" w:cs="宋体"/>
          <w:sz w:val="24"/>
        </w:rPr>
        <w:t xml:space="preserve">本次重大危险源单元划分及辨识情况如下表所示。 </w:t>
      </w:r>
    </w:p>
    <w:tbl>
      <w:tblPr>
        <w:tblStyle w:val="2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9"/>
        <w:gridCol w:w="820"/>
        <w:gridCol w:w="1590"/>
        <w:gridCol w:w="2220"/>
        <w:gridCol w:w="1140"/>
        <w:gridCol w:w="1130"/>
        <w:gridCol w:w="16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9" w:type="dxa"/>
            <w:gridSpan w:val="2"/>
          </w:tcPr>
          <w:p>
            <w:pPr>
              <w:widowControl/>
              <w:spacing w:line="360" w:lineRule="auto"/>
              <w:jc w:val="center"/>
              <w:rPr>
                <w:rFonts w:ascii="宋体" w:hAnsi="宋体" w:cs="宋体"/>
                <w:sz w:val="18"/>
                <w:szCs w:val="18"/>
              </w:rPr>
            </w:pPr>
            <w:r>
              <w:rPr>
                <w:rFonts w:hint="eastAsia" w:ascii="宋体" w:hAnsi="宋体" w:cs="宋体"/>
                <w:sz w:val="18"/>
                <w:szCs w:val="18"/>
              </w:rPr>
              <w:t>辨识单元</w:t>
            </w:r>
          </w:p>
        </w:tc>
        <w:tc>
          <w:tcPr>
            <w:tcW w:w="1590" w:type="dxa"/>
          </w:tcPr>
          <w:p>
            <w:pPr>
              <w:widowControl/>
              <w:spacing w:line="360" w:lineRule="auto"/>
              <w:jc w:val="center"/>
              <w:rPr>
                <w:rFonts w:ascii="宋体" w:hAnsi="宋体" w:cs="宋体"/>
                <w:sz w:val="18"/>
                <w:szCs w:val="18"/>
              </w:rPr>
            </w:pPr>
            <w:r>
              <w:rPr>
                <w:rFonts w:hint="eastAsia" w:ascii="宋体" w:hAnsi="宋体" w:cs="宋体"/>
                <w:sz w:val="18"/>
                <w:szCs w:val="18"/>
              </w:rPr>
              <w:t>危险化学品名称</w:t>
            </w:r>
          </w:p>
        </w:tc>
        <w:tc>
          <w:tcPr>
            <w:tcW w:w="2220" w:type="dxa"/>
          </w:tcPr>
          <w:p>
            <w:pPr>
              <w:widowControl/>
              <w:spacing w:line="360" w:lineRule="auto"/>
              <w:jc w:val="center"/>
              <w:rPr>
                <w:rFonts w:ascii="宋体" w:hAnsi="宋体" w:cs="宋体"/>
                <w:sz w:val="18"/>
                <w:szCs w:val="18"/>
              </w:rPr>
            </w:pPr>
            <w:r>
              <w:rPr>
                <w:rFonts w:ascii="宋体" w:hAnsi="宋体" w:cs="宋体"/>
                <w:sz w:val="18"/>
                <w:szCs w:val="18"/>
              </w:rPr>
              <w:t>GB18218 危险性分类及说明</w:t>
            </w:r>
          </w:p>
        </w:tc>
        <w:tc>
          <w:tcPr>
            <w:tcW w:w="1140" w:type="dxa"/>
          </w:tcPr>
          <w:p>
            <w:pPr>
              <w:widowControl/>
              <w:spacing w:line="360" w:lineRule="auto"/>
              <w:jc w:val="center"/>
              <w:rPr>
                <w:rFonts w:ascii="宋体" w:hAnsi="宋体" w:cs="宋体"/>
                <w:sz w:val="18"/>
                <w:szCs w:val="18"/>
              </w:rPr>
            </w:pPr>
            <w:r>
              <w:rPr>
                <w:rFonts w:ascii="宋体" w:hAnsi="宋体" w:cs="宋体"/>
                <w:sz w:val="18"/>
                <w:szCs w:val="18"/>
              </w:rPr>
              <w:t>最大存在 量 q（t）</w:t>
            </w:r>
          </w:p>
        </w:tc>
        <w:tc>
          <w:tcPr>
            <w:tcW w:w="1130" w:type="dxa"/>
          </w:tcPr>
          <w:p>
            <w:pPr>
              <w:widowControl/>
              <w:spacing w:line="360" w:lineRule="auto"/>
              <w:jc w:val="center"/>
              <w:rPr>
                <w:rFonts w:ascii="宋体" w:hAnsi="宋体" w:cs="宋体"/>
                <w:sz w:val="18"/>
                <w:szCs w:val="18"/>
              </w:rPr>
            </w:pPr>
            <w:r>
              <w:rPr>
                <w:rFonts w:ascii="宋体" w:hAnsi="宋体" w:cs="宋体"/>
                <w:sz w:val="18"/>
                <w:szCs w:val="18"/>
              </w:rPr>
              <w:t>临界量 Q （t）</w:t>
            </w:r>
          </w:p>
        </w:tc>
        <w:tc>
          <w:tcPr>
            <w:tcW w:w="1661" w:type="dxa"/>
          </w:tcPr>
          <w:p>
            <w:pPr>
              <w:widowControl/>
              <w:spacing w:line="360" w:lineRule="auto"/>
              <w:jc w:val="center"/>
              <w:rPr>
                <w:rFonts w:ascii="宋体" w:hAnsi="宋体" w:cs="宋体"/>
                <w:sz w:val="18"/>
                <w:szCs w:val="18"/>
              </w:rPr>
            </w:pPr>
            <w:r>
              <w:rPr>
                <w:rFonts w:ascii="宋体" w:hAnsi="宋体" w:cs="宋体"/>
                <w:sz w:val="18"/>
                <w:szCs w:val="18"/>
              </w:rPr>
              <w:t>∑qi/Qi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9" w:type="dxa"/>
            <w:vMerge w:val="restart"/>
            <w:vAlign w:val="center"/>
          </w:tcPr>
          <w:p>
            <w:pPr>
              <w:widowControl/>
              <w:spacing w:line="360" w:lineRule="auto"/>
              <w:jc w:val="center"/>
              <w:rPr>
                <w:rFonts w:ascii="宋体" w:hAnsi="宋体" w:cs="宋体"/>
                <w:sz w:val="18"/>
                <w:szCs w:val="18"/>
              </w:rPr>
            </w:pPr>
            <w:r>
              <w:rPr>
                <w:rFonts w:ascii="宋体" w:hAnsi="宋体" w:cs="宋体"/>
                <w:sz w:val="18"/>
                <w:szCs w:val="18"/>
              </w:rPr>
              <w:t>甲类 厂房</w:t>
            </w:r>
          </w:p>
        </w:tc>
        <w:tc>
          <w:tcPr>
            <w:tcW w:w="820" w:type="dxa"/>
            <w:vMerge w:val="restart"/>
            <w:vAlign w:val="center"/>
          </w:tcPr>
          <w:p>
            <w:pPr>
              <w:widowControl/>
              <w:spacing w:line="360" w:lineRule="auto"/>
              <w:jc w:val="center"/>
              <w:rPr>
                <w:rFonts w:ascii="宋体" w:hAnsi="宋体" w:cs="宋体"/>
                <w:sz w:val="18"/>
                <w:szCs w:val="18"/>
              </w:rPr>
            </w:pPr>
            <w:r>
              <w:rPr>
                <w:rFonts w:ascii="宋体" w:hAnsi="宋体" w:cs="宋体"/>
                <w:sz w:val="18"/>
                <w:szCs w:val="18"/>
              </w:rPr>
              <w:t>生产 车间</w:t>
            </w:r>
          </w:p>
        </w:tc>
        <w:tc>
          <w:tcPr>
            <w:tcW w:w="1590" w:type="dxa"/>
          </w:tcPr>
          <w:p>
            <w:pPr>
              <w:widowControl/>
              <w:spacing w:line="360" w:lineRule="auto"/>
              <w:rPr>
                <w:rFonts w:ascii="宋体" w:hAnsi="宋体" w:cs="宋体"/>
                <w:sz w:val="18"/>
                <w:szCs w:val="18"/>
              </w:rPr>
            </w:pPr>
            <w:r>
              <w:rPr>
                <w:rFonts w:ascii="宋体" w:hAnsi="宋体" w:cs="宋体"/>
                <w:sz w:val="18"/>
                <w:szCs w:val="18"/>
              </w:rPr>
              <w:t>液氯</w:t>
            </w:r>
          </w:p>
        </w:tc>
        <w:tc>
          <w:tcPr>
            <w:tcW w:w="2220" w:type="dxa"/>
          </w:tcPr>
          <w:p>
            <w:pPr>
              <w:widowControl/>
              <w:spacing w:line="360" w:lineRule="auto"/>
              <w:rPr>
                <w:rFonts w:ascii="宋体" w:hAnsi="宋体" w:cs="宋体"/>
                <w:sz w:val="18"/>
                <w:szCs w:val="18"/>
              </w:rPr>
            </w:pPr>
            <w:r>
              <w:rPr>
                <w:rFonts w:ascii="宋体" w:hAnsi="宋体" w:cs="宋体"/>
                <w:sz w:val="18"/>
                <w:szCs w:val="18"/>
              </w:rPr>
              <w:t>GB18218-2018 表 1</w:t>
            </w:r>
          </w:p>
        </w:tc>
        <w:tc>
          <w:tcPr>
            <w:tcW w:w="1140" w:type="dxa"/>
          </w:tcPr>
          <w:p>
            <w:pPr>
              <w:widowControl/>
              <w:spacing w:line="360" w:lineRule="auto"/>
              <w:rPr>
                <w:rFonts w:ascii="宋体" w:hAnsi="宋体" w:cs="宋体"/>
                <w:sz w:val="18"/>
                <w:szCs w:val="18"/>
              </w:rPr>
            </w:pPr>
            <w:r>
              <w:rPr>
                <w:rFonts w:hint="eastAsia" w:ascii="宋体" w:hAnsi="宋体" w:cs="宋体"/>
                <w:sz w:val="18"/>
                <w:szCs w:val="18"/>
              </w:rPr>
              <w:t>6</w:t>
            </w:r>
          </w:p>
        </w:tc>
        <w:tc>
          <w:tcPr>
            <w:tcW w:w="1130" w:type="dxa"/>
          </w:tcPr>
          <w:p>
            <w:pPr>
              <w:widowControl/>
              <w:spacing w:line="360" w:lineRule="auto"/>
              <w:rPr>
                <w:rFonts w:ascii="宋体" w:hAnsi="宋体" w:cs="宋体"/>
                <w:sz w:val="18"/>
                <w:szCs w:val="18"/>
              </w:rPr>
            </w:pPr>
            <w:r>
              <w:rPr>
                <w:rFonts w:hint="eastAsia" w:ascii="宋体" w:hAnsi="宋体" w:cs="宋体"/>
                <w:sz w:val="18"/>
                <w:szCs w:val="18"/>
              </w:rPr>
              <w:t>5</w:t>
            </w:r>
          </w:p>
        </w:tc>
        <w:tc>
          <w:tcPr>
            <w:tcW w:w="1661" w:type="dxa"/>
            <w:vMerge w:val="restart"/>
            <w:vAlign w:val="center"/>
          </w:tcPr>
          <w:p>
            <w:pPr>
              <w:widowControl/>
              <w:spacing w:line="360" w:lineRule="auto"/>
              <w:jc w:val="center"/>
              <w:rPr>
                <w:rFonts w:ascii="宋体" w:hAnsi="宋体" w:cs="宋体"/>
                <w:sz w:val="18"/>
                <w:szCs w:val="18"/>
              </w:rPr>
            </w:pPr>
            <w:r>
              <w:rPr>
                <w:rFonts w:ascii="宋体" w:hAnsi="宋体" w:cs="宋体"/>
                <w:sz w:val="18"/>
                <w:szCs w:val="18"/>
              </w:rPr>
              <w:t>1.27＞1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9" w:type="dxa"/>
            <w:vMerge w:val="continue"/>
          </w:tcPr>
          <w:p>
            <w:pPr>
              <w:widowControl/>
              <w:spacing w:line="360" w:lineRule="auto"/>
              <w:rPr>
                <w:rFonts w:ascii="宋体" w:hAnsi="宋体" w:cs="宋体"/>
                <w:sz w:val="18"/>
                <w:szCs w:val="18"/>
              </w:rPr>
            </w:pPr>
          </w:p>
        </w:tc>
        <w:tc>
          <w:tcPr>
            <w:tcW w:w="820" w:type="dxa"/>
            <w:vMerge w:val="continue"/>
          </w:tcPr>
          <w:p>
            <w:pPr>
              <w:widowControl/>
              <w:spacing w:line="360" w:lineRule="auto"/>
              <w:rPr>
                <w:rFonts w:ascii="宋体" w:hAnsi="宋体" w:cs="宋体"/>
                <w:sz w:val="18"/>
                <w:szCs w:val="18"/>
              </w:rPr>
            </w:pPr>
          </w:p>
        </w:tc>
        <w:tc>
          <w:tcPr>
            <w:tcW w:w="1590" w:type="dxa"/>
          </w:tcPr>
          <w:p>
            <w:pPr>
              <w:widowControl/>
              <w:spacing w:line="360" w:lineRule="auto"/>
              <w:rPr>
                <w:rFonts w:ascii="宋体" w:hAnsi="宋体" w:cs="宋体"/>
                <w:sz w:val="18"/>
                <w:szCs w:val="18"/>
              </w:rPr>
            </w:pPr>
            <w:r>
              <w:rPr>
                <w:rFonts w:ascii="宋体" w:hAnsi="宋体" w:cs="宋体"/>
                <w:sz w:val="18"/>
                <w:szCs w:val="18"/>
              </w:rPr>
              <w:t>邻氯甲苯</w:t>
            </w:r>
          </w:p>
        </w:tc>
        <w:tc>
          <w:tcPr>
            <w:tcW w:w="2220" w:type="dxa"/>
          </w:tcPr>
          <w:p>
            <w:pPr>
              <w:widowControl/>
              <w:spacing w:line="360" w:lineRule="auto"/>
              <w:rPr>
                <w:rFonts w:ascii="宋体" w:hAnsi="宋体" w:cs="宋体"/>
                <w:sz w:val="18"/>
                <w:szCs w:val="18"/>
              </w:rPr>
            </w:pPr>
            <w:r>
              <w:rPr>
                <w:rFonts w:ascii="宋体" w:hAnsi="宋体" w:cs="宋体"/>
                <w:sz w:val="18"/>
                <w:szCs w:val="18"/>
              </w:rPr>
              <w:t>GB18218-201</w:t>
            </w:r>
            <w:r>
              <w:rPr>
                <w:rFonts w:hint="eastAsia" w:ascii="宋体" w:hAnsi="宋体" w:cs="宋体"/>
                <w:sz w:val="18"/>
                <w:szCs w:val="18"/>
              </w:rPr>
              <w:t>8</w:t>
            </w:r>
            <w:r>
              <w:rPr>
                <w:rFonts w:ascii="宋体" w:hAnsi="宋体" w:cs="宋体"/>
                <w:sz w:val="18"/>
                <w:szCs w:val="18"/>
              </w:rPr>
              <w:t>表 2W5.2</w:t>
            </w:r>
          </w:p>
        </w:tc>
        <w:tc>
          <w:tcPr>
            <w:tcW w:w="1140" w:type="dxa"/>
          </w:tcPr>
          <w:p>
            <w:pPr>
              <w:widowControl/>
              <w:spacing w:line="360" w:lineRule="auto"/>
              <w:rPr>
                <w:rFonts w:ascii="宋体" w:hAnsi="宋体" w:cs="宋体"/>
                <w:sz w:val="18"/>
                <w:szCs w:val="18"/>
              </w:rPr>
            </w:pPr>
            <w:r>
              <w:rPr>
                <w:rFonts w:hint="eastAsia" w:ascii="宋体" w:hAnsi="宋体" w:cs="宋体"/>
                <w:sz w:val="18"/>
                <w:szCs w:val="18"/>
              </w:rPr>
              <w:t>3.56</w:t>
            </w:r>
          </w:p>
        </w:tc>
        <w:tc>
          <w:tcPr>
            <w:tcW w:w="1130" w:type="dxa"/>
          </w:tcPr>
          <w:p>
            <w:pPr>
              <w:widowControl/>
              <w:spacing w:line="360" w:lineRule="auto"/>
              <w:rPr>
                <w:rFonts w:ascii="宋体" w:hAnsi="宋体" w:cs="宋体"/>
                <w:sz w:val="18"/>
                <w:szCs w:val="18"/>
              </w:rPr>
            </w:pPr>
            <w:r>
              <w:rPr>
                <w:rFonts w:hint="eastAsia" w:ascii="宋体" w:hAnsi="宋体" w:cs="宋体"/>
                <w:sz w:val="18"/>
                <w:szCs w:val="18"/>
              </w:rPr>
              <w:t>50</w:t>
            </w:r>
          </w:p>
        </w:tc>
        <w:tc>
          <w:tcPr>
            <w:tcW w:w="1661" w:type="dxa"/>
            <w:vMerge w:val="continue"/>
          </w:tcPr>
          <w:p>
            <w:pPr>
              <w:widowControl/>
              <w:spacing w:line="360" w:lineRule="auto"/>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9" w:type="dxa"/>
            <w:gridSpan w:val="2"/>
          </w:tcPr>
          <w:p>
            <w:pPr>
              <w:widowControl/>
              <w:spacing w:line="360" w:lineRule="auto"/>
              <w:rPr>
                <w:rFonts w:ascii="宋体" w:hAnsi="宋体" w:cs="宋体"/>
                <w:sz w:val="18"/>
                <w:szCs w:val="18"/>
              </w:rPr>
            </w:pPr>
            <w:r>
              <w:rPr>
                <w:rFonts w:ascii="宋体" w:hAnsi="宋体" w:cs="宋体"/>
                <w:sz w:val="18"/>
                <w:szCs w:val="18"/>
              </w:rPr>
              <w:t>氯气库</w:t>
            </w:r>
          </w:p>
        </w:tc>
        <w:tc>
          <w:tcPr>
            <w:tcW w:w="1590" w:type="dxa"/>
          </w:tcPr>
          <w:p>
            <w:pPr>
              <w:widowControl/>
              <w:spacing w:line="360" w:lineRule="auto"/>
              <w:rPr>
                <w:rFonts w:ascii="宋体" w:hAnsi="宋体" w:cs="宋体"/>
                <w:sz w:val="18"/>
                <w:szCs w:val="18"/>
              </w:rPr>
            </w:pPr>
            <w:r>
              <w:rPr>
                <w:rFonts w:ascii="宋体" w:hAnsi="宋体" w:cs="宋体"/>
                <w:sz w:val="18"/>
                <w:szCs w:val="18"/>
              </w:rPr>
              <w:t>液氯</w:t>
            </w:r>
          </w:p>
        </w:tc>
        <w:tc>
          <w:tcPr>
            <w:tcW w:w="2220" w:type="dxa"/>
          </w:tcPr>
          <w:p>
            <w:pPr>
              <w:widowControl/>
              <w:spacing w:line="360" w:lineRule="auto"/>
              <w:rPr>
                <w:rFonts w:ascii="宋体" w:hAnsi="宋体" w:cs="宋体"/>
                <w:sz w:val="18"/>
                <w:szCs w:val="18"/>
              </w:rPr>
            </w:pPr>
            <w:r>
              <w:rPr>
                <w:rFonts w:ascii="宋体" w:hAnsi="宋体" w:cs="宋体"/>
                <w:sz w:val="18"/>
                <w:szCs w:val="18"/>
              </w:rPr>
              <w:t>GB18218-2018 表 1</w:t>
            </w:r>
          </w:p>
        </w:tc>
        <w:tc>
          <w:tcPr>
            <w:tcW w:w="1140" w:type="dxa"/>
          </w:tcPr>
          <w:p>
            <w:pPr>
              <w:widowControl/>
              <w:spacing w:line="360" w:lineRule="auto"/>
              <w:rPr>
                <w:rFonts w:ascii="宋体" w:hAnsi="宋体" w:cs="宋体"/>
                <w:sz w:val="18"/>
                <w:szCs w:val="18"/>
              </w:rPr>
            </w:pPr>
            <w:r>
              <w:rPr>
                <w:rFonts w:hint="eastAsia" w:ascii="宋体" w:hAnsi="宋体" w:cs="宋体"/>
                <w:sz w:val="18"/>
                <w:szCs w:val="18"/>
              </w:rPr>
              <w:t>16</w:t>
            </w:r>
          </w:p>
        </w:tc>
        <w:tc>
          <w:tcPr>
            <w:tcW w:w="1130" w:type="dxa"/>
          </w:tcPr>
          <w:p>
            <w:pPr>
              <w:widowControl/>
              <w:spacing w:line="360" w:lineRule="auto"/>
              <w:rPr>
                <w:rFonts w:ascii="宋体" w:hAnsi="宋体" w:cs="宋体"/>
                <w:sz w:val="18"/>
                <w:szCs w:val="18"/>
              </w:rPr>
            </w:pPr>
            <w:r>
              <w:rPr>
                <w:rFonts w:hint="eastAsia" w:ascii="宋体" w:hAnsi="宋体" w:cs="宋体"/>
                <w:sz w:val="18"/>
                <w:szCs w:val="18"/>
              </w:rPr>
              <w:t>5</w:t>
            </w:r>
          </w:p>
        </w:tc>
        <w:tc>
          <w:tcPr>
            <w:tcW w:w="1661" w:type="dxa"/>
          </w:tcPr>
          <w:p>
            <w:pPr>
              <w:widowControl/>
              <w:spacing w:line="360" w:lineRule="auto"/>
              <w:rPr>
                <w:rFonts w:ascii="宋体" w:hAnsi="宋体" w:cs="宋体"/>
                <w:sz w:val="18"/>
                <w:szCs w:val="18"/>
              </w:rPr>
            </w:pPr>
            <w:r>
              <w:rPr>
                <w:rFonts w:ascii="宋体" w:hAnsi="宋体" w:cs="宋体"/>
                <w:sz w:val="18"/>
                <w:szCs w:val="18"/>
              </w:rPr>
              <w:t>3.2＞1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9" w:type="dxa"/>
            <w:gridSpan w:val="2"/>
          </w:tcPr>
          <w:p>
            <w:pPr>
              <w:widowControl/>
              <w:spacing w:line="360" w:lineRule="auto"/>
              <w:rPr>
                <w:rFonts w:ascii="宋体" w:hAnsi="宋体" w:cs="宋体"/>
                <w:sz w:val="18"/>
                <w:szCs w:val="18"/>
              </w:rPr>
            </w:pPr>
            <w:r>
              <w:rPr>
                <w:rFonts w:ascii="宋体" w:hAnsi="宋体" w:cs="宋体"/>
                <w:sz w:val="18"/>
                <w:szCs w:val="18"/>
              </w:rPr>
              <w:t>邻氯甲苯罐</w:t>
            </w:r>
          </w:p>
        </w:tc>
        <w:tc>
          <w:tcPr>
            <w:tcW w:w="1590" w:type="dxa"/>
          </w:tcPr>
          <w:p>
            <w:pPr>
              <w:widowControl/>
              <w:spacing w:line="360" w:lineRule="auto"/>
              <w:rPr>
                <w:rFonts w:ascii="宋体" w:hAnsi="宋体" w:cs="宋体"/>
                <w:sz w:val="18"/>
                <w:szCs w:val="18"/>
              </w:rPr>
            </w:pPr>
            <w:r>
              <w:rPr>
                <w:rFonts w:ascii="宋体" w:hAnsi="宋体" w:cs="宋体"/>
                <w:sz w:val="18"/>
                <w:szCs w:val="18"/>
              </w:rPr>
              <w:t>邻氯甲苯</w:t>
            </w:r>
          </w:p>
        </w:tc>
        <w:tc>
          <w:tcPr>
            <w:tcW w:w="2220" w:type="dxa"/>
          </w:tcPr>
          <w:p>
            <w:pPr>
              <w:widowControl/>
              <w:spacing w:line="360" w:lineRule="auto"/>
              <w:rPr>
                <w:rFonts w:ascii="宋体" w:hAnsi="宋体" w:cs="宋体"/>
                <w:sz w:val="18"/>
                <w:szCs w:val="18"/>
              </w:rPr>
            </w:pPr>
            <w:r>
              <w:rPr>
                <w:rFonts w:ascii="宋体" w:hAnsi="宋体" w:cs="宋体"/>
                <w:sz w:val="18"/>
                <w:szCs w:val="18"/>
              </w:rPr>
              <w:t>GB18218-2018 表 2W5.3</w:t>
            </w:r>
          </w:p>
        </w:tc>
        <w:tc>
          <w:tcPr>
            <w:tcW w:w="1140" w:type="dxa"/>
          </w:tcPr>
          <w:p>
            <w:pPr>
              <w:widowControl/>
              <w:spacing w:line="360" w:lineRule="auto"/>
              <w:rPr>
                <w:rFonts w:ascii="宋体" w:hAnsi="宋体" w:cs="宋体"/>
                <w:sz w:val="18"/>
                <w:szCs w:val="18"/>
              </w:rPr>
            </w:pPr>
            <w:r>
              <w:rPr>
                <w:rFonts w:hint="eastAsia" w:ascii="宋体" w:hAnsi="宋体" w:cs="宋体"/>
                <w:sz w:val="18"/>
                <w:szCs w:val="18"/>
              </w:rPr>
              <w:t>65</w:t>
            </w:r>
          </w:p>
        </w:tc>
        <w:tc>
          <w:tcPr>
            <w:tcW w:w="1130" w:type="dxa"/>
          </w:tcPr>
          <w:p>
            <w:pPr>
              <w:widowControl/>
              <w:spacing w:line="360" w:lineRule="auto"/>
              <w:rPr>
                <w:rFonts w:ascii="宋体" w:hAnsi="宋体" w:cs="宋体"/>
                <w:sz w:val="18"/>
                <w:szCs w:val="18"/>
              </w:rPr>
            </w:pPr>
            <w:r>
              <w:rPr>
                <w:rFonts w:hint="eastAsia" w:ascii="宋体" w:hAnsi="宋体" w:cs="宋体"/>
                <w:sz w:val="18"/>
                <w:szCs w:val="18"/>
              </w:rPr>
              <w:t>1000</w:t>
            </w:r>
          </w:p>
        </w:tc>
        <w:tc>
          <w:tcPr>
            <w:tcW w:w="1661" w:type="dxa"/>
          </w:tcPr>
          <w:p>
            <w:pPr>
              <w:widowControl/>
              <w:spacing w:line="360" w:lineRule="auto"/>
              <w:rPr>
                <w:rFonts w:ascii="宋体" w:hAnsi="宋体" w:cs="宋体"/>
                <w:sz w:val="18"/>
                <w:szCs w:val="18"/>
              </w:rPr>
            </w:pPr>
            <w:r>
              <w:rPr>
                <w:rFonts w:ascii="宋体" w:hAnsi="宋体" w:cs="宋体"/>
                <w:sz w:val="18"/>
                <w:szCs w:val="18"/>
              </w:rPr>
              <w:t>0.065＜1</w:t>
            </w:r>
          </w:p>
        </w:tc>
      </w:tr>
    </w:tbl>
    <w:p>
      <w:pPr>
        <w:widowControl/>
        <w:spacing w:line="360" w:lineRule="auto"/>
        <w:ind w:firstLine="360" w:firstLineChars="200"/>
        <w:rPr>
          <w:rFonts w:ascii="宋体" w:hAnsi="宋体" w:cs="宋体"/>
          <w:sz w:val="24"/>
        </w:rPr>
      </w:pPr>
      <w:r>
        <w:rPr>
          <w:rFonts w:ascii="宋体" w:hAnsi="宋体" w:cs="宋体"/>
          <w:sz w:val="18"/>
          <w:szCs w:val="18"/>
        </w:rPr>
        <w:t>注：锅炉房不储存天然气，通过管道运输至锅炉供给燃烧，天然气存在量较小，距离临界值较远， 不纳入本次重大危险源辨识。</w:t>
      </w:r>
    </w:p>
    <w:p>
      <w:pPr>
        <w:widowControl/>
        <w:spacing w:line="360" w:lineRule="auto"/>
        <w:ind w:firstLine="480" w:firstLineChars="200"/>
        <w:rPr>
          <w:rFonts w:ascii="宋体" w:hAnsi="宋体" w:cs="宋体"/>
          <w:sz w:val="24"/>
        </w:rPr>
      </w:pPr>
      <w:r>
        <w:rPr>
          <w:rFonts w:ascii="宋体" w:hAnsi="宋体" w:cs="宋体"/>
          <w:sz w:val="24"/>
        </w:rPr>
        <w:t xml:space="preserve">计算过程： </w:t>
      </w:r>
    </w:p>
    <w:p>
      <w:pPr>
        <w:widowControl/>
        <w:spacing w:line="360" w:lineRule="auto"/>
        <w:ind w:firstLine="480" w:firstLineChars="200"/>
        <w:rPr>
          <w:rFonts w:ascii="宋体" w:hAnsi="宋体" w:cs="宋体"/>
          <w:sz w:val="24"/>
        </w:rPr>
      </w:pPr>
      <w:r>
        <w:rPr>
          <w:rFonts w:ascii="宋体" w:hAnsi="宋体" w:cs="宋体"/>
          <w:sz w:val="24"/>
        </w:rPr>
        <w:t xml:space="preserve">邻氯甲苯存在量计算： </w:t>
      </w:r>
    </w:p>
    <w:p>
      <w:pPr>
        <w:widowControl/>
        <w:spacing w:line="360" w:lineRule="auto"/>
        <w:ind w:firstLine="480" w:firstLineChars="200"/>
        <w:rPr>
          <w:rFonts w:ascii="宋体" w:hAnsi="宋体" w:cs="宋体"/>
          <w:sz w:val="24"/>
        </w:rPr>
      </w:pPr>
      <w:r>
        <w:rPr>
          <w:rFonts w:ascii="宋体" w:hAnsi="宋体" w:cs="宋体"/>
          <w:sz w:val="24"/>
        </w:rPr>
        <w:t xml:space="preserve">该公司车间使用氯气钢瓶供气，最多同时使用 6 瓶氯气，氯气最大投料量为6t，邻氯甲苯与氯气发生反应，根据反应式按照最大反应进行计算可得，氯气与邻氯甲苯摩尔比1:3，邻氯甲苯的质量： </w:t>
      </w:r>
    </w:p>
    <w:p>
      <w:pPr>
        <w:widowControl/>
        <w:spacing w:line="360" w:lineRule="auto"/>
        <w:ind w:firstLine="480" w:firstLineChars="200"/>
        <w:rPr>
          <w:rFonts w:ascii="宋体" w:hAnsi="宋体" w:cs="宋体"/>
          <w:sz w:val="24"/>
        </w:rPr>
      </w:pPr>
      <w:r>
        <w:rPr>
          <w:rFonts w:ascii="宋体" w:hAnsi="宋体" w:cs="宋体"/>
          <w:sz w:val="24"/>
        </w:rPr>
        <w:t xml:space="preserve">氯气总量：6*1000*1000=6000000g </w:t>
      </w:r>
    </w:p>
    <w:p>
      <w:pPr>
        <w:widowControl/>
        <w:spacing w:line="360" w:lineRule="auto"/>
        <w:ind w:firstLine="480" w:firstLineChars="200"/>
        <w:rPr>
          <w:rFonts w:ascii="宋体" w:hAnsi="宋体" w:cs="宋体"/>
          <w:sz w:val="24"/>
        </w:rPr>
      </w:pPr>
      <w:r>
        <w:rPr>
          <w:rFonts w:ascii="宋体" w:hAnsi="宋体" w:cs="宋体"/>
          <w:sz w:val="24"/>
        </w:rPr>
        <w:t xml:space="preserve">氯气摩尔量：6000000/71=84507mol </w:t>
      </w:r>
    </w:p>
    <w:p>
      <w:pPr>
        <w:widowControl/>
        <w:spacing w:line="360" w:lineRule="auto"/>
        <w:ind w:firstLine="480" w:firstLineChars="200"/>
        <w:rPr>
          <w:rFonts w:ascii="宋体" w:hAnsi="宋体" w:cs="宋体"/>
          <w:sz w:val="24"/>
        </w:rPr>
      </w:pPr>
      <w:r>
        <w:rPr>
          <w:rFonts w:ascii="宋体" w:hAnsi="宋体" w:cs="宋体"/>
          <w:sz w:val="24"/>
        </w:rPr>
        <w:t xml:space="preserve">邻氯甲苯摩尔量：84507/3=28169mol </w:t>
      </w:r>
    </w:p>
    <w:p>
      <w:pPr>
        <w:widowControl/>
        <w:spacing w:line="360" w:lineRule="auto"/>
        <w:ind w:firstLine="480" w:firstLineChars="200"/>
        <w:rPr>
          <w:rFonts w:ascii="宋体" w:hAnsi="宋体" w:cs="宋体"/>
          <w:sz w:val="24"/>
        </w:rPr>
      </w:pPr>
      <w:r>
        <w:rPr>
          <w:rFonts w:ascii="宋体" w:hAnsi="宋体" w:cs="宋体"/>
          <w:sz w:val="24"/>
        </w:rPr>
        <w:t xml:space="preserve">邻氯甲苯质量：28169*126.5/1000/1000=3.56t </w:t>
      </w:r>
    </w:p>
    <w:p>
      <w:pPr>
        <w:widowControl/>
        <w:spacing w:line="360" w:lineRule="auto"/>
        <w:ind w:firstLine="480" w:firstLineChars="200"/>
        <w:rPr>
          <w:rFonts w:ascii="宋体" w:hAnsi="宋体" w:cs="宋体"/>
          <w:sz w:val="24"/>
        </w:rPr>
      </w:pPr>
      <w:r>
        <w:rPr>
          <w:rFonts w:ascii="宋体" w:hAnsi="宋体" w:cs="宋体"/>
          <w:sz w:val="24"/>
        </w:rPr>
        <w:t>综上所述，经辨识，该公司生产车间、氯气库构成危险化学品重大危险 源，其他生产、储存单元未构成危险化学品重大危险源。</w:t>
      </w:r>
    </w:p>
    <w:p>
      <w:pPr>
        <w:widowControl/>
        <w:spacing w:line="360" w:lineRule="auto"/>
        <w:rPr>
          <w:rFonts w:ascii="宋体" w:hAnsi="宋体" w:cs="宋体"/>
          <w:sz w:val="24"/>
        </w:rPr>
      </w:pPr>
    </w:p>
    <w:p>
      <w:pPr>
        <w:widowControl/>
        <w:spacing w:line="360" w:lineRule="auto"/>
        <w:rPr>
          <w:rFonts w:ascii="宋体" w:hAnsi="宋体" w:cs="宋体"/>
          <w:sz w:val="24"/>
        </w:rPr>
      </w:pPr>
    </w:p>
    <w:p>
      <w:pPr>
        <w:widowControl/>
        <w:spacing w:line="360" w:lineRule="auto"/>
        <w:rPr>
          <w:rFonts w:ascii="宋体" w:hAnsi="宋体" w:cs="宋体"/>
          <w:sz w:val="24"/>
        </w:rPr>
      </w:pPr>
    </w:p>
    <w:p>
      <w:pPr>
        <w:widowControl/>
        <w:spacing w:line="360" w:lineRule="auto"/>
        <w:rPr>
          <w:rFonts w:ascii="宋体" w:hAnsi="宋体" w:cs="宋体"/>
          <w:sz w:val="24"/>
        </w:rPr>
      </w:pPr>
    </w:p>
    <w:p>
      <w:pPr>
        <w:widowControl/>
        <w:spacing w:line="360" w:lineRule="auto"/>
        <w:rPr>
          <w:rFonts w:ascii="宋体" w:hAnsi="宋体" w:cs="宋体"/>
          <w:sz w:val="24"/>
        </w:rPr>
      </w:pPr>
    </w:p>
    <w:p>
      <w:pPr>
        <w:widowControl/>
        <w:spacing w:line="360" w:lineRule="auto"/>
        <w:rPr>
          <w:rFonts w:ascii="宋体" w:hAnsi="宋体" w:cs="宋体"/>
          <w:sz w:val="24"/>
        </w:rPr>
      </w:pPr>
    </w:p>
    <w:p>
      <w:pPr>
        <w:widowControl/>
        <w:spacing w:line="360" w:lineRule="auto"/>
        <w:rPr>
          <w:rFonts w:ascii="宋体" w:hAnsi="宋体" w:cs="宋体"/>
          <w:sz w:val="24"/>
        </w:rPr>
      </w:pPr>
    </w:p>
    <w:p>
      <w:pPr>
        <w:widowControl/>
        <w:spacing w:line="360" w:lineRule="auto"/>
        <w:rPr>
          <w:rFonts w:ascii="宋体" w:hAnsi="宋体" w:cs="宋体"/>
          <w:sz w:val="24"/>
        </w:rPr>
      </w:pPr>
    </w:p>
    <w:p>
      <w:pPr>
        <w:widowControl/>
        <w:spacing w:line="360" w:lineRule="auto"/>
        <w:rPr>
          <w:rFonts w:ascii="宋体" w:hAnsi="宋体" w:cs="宋体"/>
          <w:sz w:val="24"/>
        </w:rPr>
      </w:pPr>
    </w:p>
    <w:p>
      <w:pPr>
        <w:widowControl/>
        <w:spacing w:line="360" w:lineRule="auto"/>
        <w:rPr>
          <w:rFonts w:ascii="宋体" w:hAnsi="宋体" w:cs="宋体"/>
          <w:sz w:val="24"/>
        </w:rPr>
      </w:pPr>
    </w:p>
    <w:p>
      <w:pPr>
        <w:widowControl/>
        <w:spacing w:line="360" w:lineRule="auto"/>
        <w:rPr>
          <w:rFonts w:ascii="宋体" w:hAnsi="宋体" w:cs="宋体"/>
          <w:sz w:val="24"/>
        </w:rPr>
      </w:pPr>
    </w:p>
    <w:p>
      <w:pPr>
        <w:widowControl/>
        <w:spacing w:line="360" w:lineRule="auto"/>
        <w:rPr>
          <w:rFonts w:ascii="宋体" w:hAnsi="宋体" w:cs="宋体"/>
          <w:sz w:val="24"/>
        </w:rPr>
      </w:pPr>
    </w:p>
    <w:p>
      <w:pPr>
        <w:widowControl/>
        <w:spacing w:line="360" w:lineRule="auto"/>
        <w:rPr>
          <w:rFonts w:ascii="宋体" w:hAnsi="宋体" w:cs="宋体"/>
          <w:sz w:val="24"/>
        </w:rPr>
      </w:pPr>
    </w:p>
    <w:p>
      <w:pPr>
        <w:widowControl/>
        <w:spacing w:line="360" w:lineRule="auto"/>
        <w:rPr>
          <w:rFonts w:ascii="宋体" w:hAnsi="宋体" w:cs="宋体"/>
          <w:sz w:val="24"/>
        </w:rPr>
      </w:pPr>
    </w:p>
    <w:p>
      <w:pPr>
        <w:widowControl/>
        <w:spacing w:line="360" w:lineRule="auto"/>
        <w:rPr>
          <w:rFonts w:ascii="宋体" w:hAnsi="宋体" w:cs="宋体"/>
          <w:sz w:val="24"/>
        </w:rPr>
      </w:pPr>
    </w:p>
    <w:p>
      <w:pPr>
        <w:widowControl/>
        <w:spacing w:line="360" w:lineRule="auto"/>
        <w:rPr>
          <w:rFonts w:ascii="宋体" w:hAnsi="宋体" w:cs="宋体"/>
          <w:sz w:val="32"/>
          <w:szCs w:val="32"/>
        </w:rPr>
      </w:pPr>
      <w:r>
        <w:rPr>
          <w:rFonts w:hint="eastAsia" w:ascii="宋体" w:hAnsi="宋体"/>
          <w:b/>
          <w:bCs/>
          <w:kern w:val="0"/>
          <w:sz w:val="24"/>
        </w:rPr>
        <w:t>附件1</w:t>
      </w:r>
      <w:r>
        <w:rPr>
          <w:rFonts w:hint="eastAsia" w:ascii="宋体" w:hAnsi="宋体"/>
          <w:b/>
          <w:bCs/>
          <w:kern w:val="0"/>
          <w:sz w:val="24"/>
          <w:lang w:val="en-US" w:eastAsia="zh-CN"/>
        </w:rPr>
        <w:t>0</w:t>
      </w:r>
      <w:r>
        <w:rPr>
          <w:rFonts w:hint="eastAsia" w:ascii="宋体" w:hAnsi="宋体"/>
          <w:b/>
          <w:bCs/>
          <w:kern w:val="0"/>
          <w:sz w:val="24"/>
        </w:rPr>
        <w:t>：安全生产组织机构和生产生产管理人员名录</w:t>
      </w:r>
    </w:p>
    <w:p>
      <w:pPr>
        <w:widowControl/>
        <w:spacing w:line="360" w:lineRule="auto"/>
        <w:rPr>
          <w:rFonts w:ascii="宋体" w:hAnsi="宋体" w:cs="宋体"/>
          <w:sz w:val="24"/>
        </w:rPr>
      </w:pPr>
      <w:r>
        <w:rPr>
          <w:rFonts w:hint="eastAsia" w:ascii="宋体" w:hAnsi="宋体" w:cs="宋体"/>
          <w:b/>
          <w:sz w:val="24"/>
        </w:rPr>
        <w:t xml:space="preserve">组  长： </w:t>
      </w:r>
      <w:r>
        <w:rPr>
          <w:rFonts w:hint="eastAsia" w:ascii="宋体" w:hAnsi="宋体" w:cs="宋体"/>
          <w:sz w:val="24"/>
        </w:rPr>
        <w:t>祝捷</w:t>
      </w:r>
      <w:r>
        <w:rPr>
          <w:rFonts w:hint="eastAsia"/>
          <w:sz w:val="24"/>
        </w:rPr>
        <w:t>（总经理）</w:t>
      </w:r>
    </w:p>
    <w:p>
      <w:pPr>
        <w:widowControl/>
        <w:spacing w:line="360" w:lineRule="auto"/>
        <w:rPr>
          <w:rFonts w:hint="default" w:ascii="宋体" w:hAnsi="宋体" w:eastAsia="宋体" w:cs="宋体"/>
          <w:sz w:val="24"/>
          <w:lang w:val="en-US" w:eastAsia="zh-CN"/>
        </w:rPr>
      </w:pPr>
      <w:r>
        <w:rPr>
          <w:rFonts w:hint="eastAsia" w:ascii="宋体" w:hAnsi="宋体" w:cs="宋体"/>
          <w:b/>
          <w:sz w:val="24"/>
        </w:rPr>
        <w:t>成  员：</w:t>
      </w:r>
      <w:r>
        <w:rPr>
          <w:rFonts w:hint="eastAsia" w:ascii="宋体" w:hAnsi="宋体" w:cs="宋体"/>
          <w:sz w:val="24"/>
        </w:rPr>
        <w:t>张克  陈利平</w:t>
      </w:r>
      <w:r>
        <w:rPr>
          <w:rFonts w:hint="eastAsia" w:ascii="宋体" w:hAnsi="宋体" w:cs="宋体"/>
          <w:sz w:val="24"/>
          <w:lang w:val="en-US" w:eastAsia="zh-CN"/>
        </w:rPr>
        <w:t xml:space="preserve">  </w:t>
      </w:r>
      <w:r>
        <w:rPr>
          <w:rFonts w:hint="eastAsia" w:ascii="宋体" w:hAnsi="宋体" w:cs="宋体"/>
          <w:sz w:val="24"/>
        </w:rPr>
        <w:t>刘付俊  王明胜</w:t>
      </w:r>
      <w:r>
        <w:rPr>
          <w:rFonts w:hint="eastAsia" w:ascii="宋体" w:hAnsi="宋体" w:cs="宋体"/>
          <w:sz w:val="24"/>
          <w:lang w:val="en-US" w:eastAsia="zh-CN"/>
        </w:rPr>
        <w:t xml:space="preserve">  丁伯喆  熊新伟</w:t>
      </w:r>
    </w:p>
    <w:p>
      <w:pPr>
        <w:widowControl/>
        <w:spacing w:line="360" w:lineRule="auto"/>
        <w:rPr>
          <w:rFonts w:hint="eastAsia" w:ascii="宋体" w:hAnsi="宋体" w:cs="宋体"/>
          <w:sz w:val="24"/>
        </w:rPr>
      </w:pPr>
      <w:r>
        <w:rPr>
          <w:rFonts w:hint="eastAsia" w:ascii="宋体" w:hAnsi="宋体" w:cs="宋体"/>
          <w:b/>
          <w:sz w:val="24"/>
        </w:rPr>
        <w:t>专职安全管理人员：</w:t>
      </w:r>
      <w:r>
        <w:rPr>
          <w:rFonts w:hint="eastAsia" w:ascii="宋体" w:hAnsi="宋体" w:cs="宋体"/>
          <w:sz w:val="24"/>
        </w:rPr>
        <w:t xml:space="preserve">陈宏   </w:t>
      </w:r>
      <w:r>
        <w:rPr>
          <w:rFonts w:hint="eastAsia" w:ascii="宋体" w:hAnsi="宋体" w:cs="宋体"/>
          <w:sz w:val="24"/>
          <w:lang w:eastAsia="zh-CN"/>
        </w:rPr>
        <w:t>王明胜</w:t>
      </w:r>
      <w:r>
        <w:rPr>
          <w:rFonts w:hint="eastAsia" w:ascii="宋体" w:hAnsi="宋体" w:cs="宋体"/>
          <w:sz w:val="24"/>
          <w:lang w:val="en-US" w:eastAsia="zh-CN"/>
        </w:rPr>
        <w:t xml:space="preserve">   全安意</w:t>
      </w:r>
      <w:r>
        <w:rPr>
          <w:rFonts w:hint="eastAsia" w:ascii="宋体" w:hAnsi="宋体" w:cs="宋体"/>
          <w:sz w:val="24"/>
        </w:rPr>
        <w:t xml:space="preserve">  </w:t>
      </w:r>
    </w:p>
    <w:p>
      <w:pPr>
        <w:widowControl/>
        <w:spacing w:line="360" w:lineRule="auto"/>
        <w:rPr>
          <w:rFonts w:ascii="宋体" w:hAnsi="宋体" w:cs="宋体"/>
          <w:b/>
          <w:sz w:val="24"/>
        </w:rPr>
      </w:pPr>
      <w:r>
        <w:rPr>
          <w:rFonts w:hint="eastAsia" w:ascii="宋体" w:hAnsi="宋体" w:cs="宋体"/>
          <w:sz w:val="24"/>
        </w:rPr>
        <w:t xml:space="preserve"> </w:t>
      </w:r>
      <w:r>
        <w:rPr>
          <w:rFonts w:hint="eastAsia" w:ascii="宋体" w:hAnsi="宋体" w:cs="宋体"/>
          <w:b/>
          <w:sz w:val="24"/>
        </w:rPr>
        <w:t>职  责：</w:t>
      </w:r>
    </w:p>
    <w:p>
      <w:pPr>
        <w:widowControl/>
        <w:spacing w:line="360" w:lineRule="auto"/>
        <w:ind w:firstLine="480" w:firstLineChars="200"/>
        <w:rPr>
          <w:rFonts w:ascii="宋体" w:hAnsi="宋体" w:cs="宋体"/>
          <w:sz w:val="24"/>
        </w:rPr>
      </w:pPr>
      <w:r>
        <w:rPr>
          <w:rFonts w:hint="eastAsia" w:ascii="宋体" w:hAnsi="宋体" w:cs="宋体"/>
          <w:sz w:val="24"/>
        </w:rPr>
        <w:t>1、贯彻国家和上级颁发的安全生产法令、法规、标准。</w:t>
      </w:r>
    </w:p>
    <w:p>
      <w:pPr>
        <w:widowControl/>
        <w:spacing w:line="360" w:lineRule="auto"/>
        <w:ind w:firstLine="480" w:firstLineChars="200"/>
        <w:rPr>
          <w:rFonts w:ascii="宋体" w:hAnsi="宋体" w:cs="宋体"/>
          <w:sz w:val="24"/>
        </w:rPr>
      </w:pPr>
      <w:r>
        <w:rPr>
          <w:rFonts w:hint="eastAsia" w:ascii="宋体" w:hAnsi="宋体" w:cs="宋体"/>
          <w:sz w:val="24"/>
        </w:rPr>
        <w:t>2、建立、健全公司安全生产责任制；</w:t>
      </w:r>
    </w:p>
    <w:p>
      <w:pPr>
        <w:widowControl/>
        <w:spacing w:line="360" w:lineRule="auto"/>
        <w:ind w:firstLine="480" w:firstLineChars="200"/>
        <w:rPr>
          <w:rFonts w:ascii="宋体" w:hAnsi="宋体" w:cs="宋体"/>
          <w:sz w:val="24"/>
        </w:rPr>
      </w:pPr>
      <w:r>
        <w:rPr>
          <w:rFonts w:hint="eastAsia" w:ascii="宋体" w:hAnsi="宋体" w:cs="宋体"/>
          <w:sz w:val="24"/>
        </w:rPr>
        <w:t>3、制定、修订公司安全生产规章制度和操作规程；</w:t>
      </w:r>
    </w:p>
    <w:p>
      <w:pPr>
        <w:widowControl/>
        <w:spacing w:line="360" w:lineRule="auto"/>
        <w:ind w:firstLine="480" w:firstLineChars="200"/>
        <w:rPr>
          <w:rFonts w:ascii="宋体" w:hAnsi="宋体" w:cs="宋体"/>
          <w:sz w:val="24"/>
        </w:rPr>
      </w:pPr>
      <w:r>
        <w:rPr>
          <w:rFonts w:hint="eastAsia" w:ascii="宋体" w:hAnsi="宋体" w:cs="宋体"/>
          <w:sz w:val="24"/>
        </w:rPr>
        <w:t>4、组织制定并实施本单位安全生产教育和培训计划；</w:t>
      </w:r>
    </w:p>
    <w:p>
      <w:pPr>
        <w:widowControl/>
        <w:spacing w:line="360" w:lineRule="auto"/>
        <w:ind w:firstLine="480" w:firstLineChars="200"/>
        <w:rPr>
          <w:rFonts w:ascii="宋体" w:hAnsi="宋体" w:cs="宋体"/>
          <w:sz w:val="24"/>
        </w:rPr>
      </w:pPr>
      <w:r>
        <w:rPr>
          <w:rFonts w:hint="eastAsia" w:ascii="宋体" w:hAnsi="宋体" w:cs="宋体"/>
          <w:sz w:val="24"/>
        </w:rPr>
        <w:t>5、建立公司安全投入保障制度，并保障其实施；</w:t>
      </w:r>
    </w:p>
    <w:p>
      <w:pPr>
        <w:widowControl/>
        <w:spacing w:line="360" w:lineRule="auto"/>
        <w:ind w:firstLine="480" w:firstLineChars="200"/>
        <w:rPr>
          <w:rFonts w:ascii="宋体" w:hAnsi="宋体" w:cs="宋体"/>
          <w:sz w:val="24"/>
        </w:rPr>
      </w:pPr>
      <w:r>
        <w:rPr>
          <w:rFonts w:hint="eastAsia" w:ascii="宋体" w:hAnsi="宋体" w:cs="宋体"/>
          <w:sz w:val="24"/>
        </w:rPr>
        <w:t>6、督促、检查公司的安全生产工作，开展隐患排查工作，及时消除生产安全事故隐患；</w:t>
      </w:r>
    </w:p>
    <w:p>
      <w:pPr>
        <w:widowControl/>
        <w:spacing w:line="360" w:lineRule="auto"/>
        <w:ind w:firstLine="480" w:firstLineChars="200"/>
        <w:rPr>
          <w:rFonts w:ascii="宋体" w:hAnsi="宋体" w:cs="宋体"/>
          <w:sz w:val="24"/>
        </w:rPr>
      </w:pPr>
      <w:r>
        <w:rPr>
          <w:rFonts w:hint="eastAsia" w:ascii="宋体" w:hAnsi="宋体" w:cs="宋体"/>
          <w:sz w:val="24"/>
        </w:rPr>
        <w:t>7、制定并实施公司的生产安全事故应急救援预案；</w:t>
      </w:r>
    </w:p>
    <w:p>
      <w:pPr>
        <w:widowControl/>
        <w:spacing w:line="360" w:lineRule="auto"/>
        <w:ind w:firstLine="480" w:firstLineChars="200"/>
        <w:rPr>
          <w:rFonts w:ascii="宋体" w:hAnsi="宋体" w:cs="宋体"/>
          <w:sz w:val="24"/>
        </w:rPr>
      </w:pPr>
      <w:r>
        <w:rPr>
          <w:rFonts w:hint="eastAsia" w:ascii="宋体" w:hAnsi="宋体" w:cs="宋体"/>
          <w:sz w:val="24"/>
        </w:rPr>
        <w:t>8、创建、运行、持续改进安全生产标准化体系；</w:t>
      </w:r>
    </w:p>
    <w:p>
      <w:pPr>
        <w:widowControl/>
        <w:spacing w:line="360" w:lineRule="auto"/>
        <w:ind w:firstLine="480" w:firstLineChars="200"/>
        <w:rPr>
          <w:rFonts w:ascii="宋体" w:hAnsi="宋体" w:cs="宋体"/>
          <w:sz w:val="24"/>
        </w:rPr>
      </w:pPr>
      <w:r>
        <w:rPr>
          <w:rFonts w:hint="eastAsia" w:ascii="宋体" w:hAnsi="宋体" w:cs="宋体"/>
          <w:sz w:val="24"/>
        </w:rPr>
        <w:t>9、制定职业健康规划、落实职业危害的监测、评价、控制工作，提供符合职业健康要求的工作环境和条件；</w:t>
      </w:r>
    </w:p>
    <w:p>
      <w:pPr>
        <w:widowControl/>
        <w:spacing w:line="360" w:lineRule="auto"/>
        <w:ind w:firstLine="480" w:firstLineChars="200"/>
        <w:rPr>
          <w:rFonts w:ascii="宋体" w:hAnsi="宋体" w:cs="宋体"/>
          <w:sz w:val="24"/>
        </w:rPr>
      </w:pPr>
      <w:r>
        <w:rPr>
          <w:rFonts w:hint="eastAsia" w:ascii="宋体" w:hAnsi="宋体" w:cs="宋体"/>
          <w:sz w:val="24"/>
        </w:rPr>
        <w:t>10、定期召开安全生产工作会议，分析单位安全生产动态，及时解决生产存在的问题；</w:t>
      </w:r>
    </w:p>
    <w:p>
      <w:pPr>
        <w:widowControl/>
        <w:spacing w:line="360" w:lineRule="auto"/>
        <w:ind w:firstLine="480" w:firstLineChars="200"/>
        <w:rPr>
          <w:rFonts w:ascii="宋体" w:hAnsi="宋体" w:cs="宋体"/>
          <w:sz w:val="24"/>
        </w:rPr>
      </w:pPr>
      <w:r>
        <w:rPr>
          <w:rFonts w:hint="eastAsia" w:ascii="宋体" w:hAnsi="宋体" w:cs="宋体"/>
          <w:sz w:val="24"/>
        </w:rPr>
        <w:t>11、组织事故调查、及时、如实向主管部门报告安全生产事故。</w:t>
      </w:r>
    </w:p>
    <w:p>
      <w:pPr>
        <w:spacing w:after="156" w:afterLines="50" w:line="440" w:lineRule="exact"/>
        <w:rPr>
          <w:rFonts w:ascii="宋体" w:hAnsi="宋体" w:cs="宋体"/>
          <w:b/>
          <w:sz w:val="28"/>
          <w:szCs w:val="28"/>
        </w:rPr>
      </w:pPr>
    </w:p>
    <w:p>
      <w:pPr>
        <w:spacing w:after="156" w:afterLines="50" w:line="440" w:lineRule="exact"/>
        <w:rPr>
          <w:rFonts w:ascii="宋体" w:hAnsi="宋体" w:cs="宋体"/>
          <w:b/>
          <w:sz w:val="28"/>
          <w:szCs w:val="28"/>
        </w:rPr>
        <w:sectPr>
          <w:pgSz w:w="11906" w:h="16838"/>
          <w:pgMar w:top="1418" w:right="1134" w:bottom="1134" w:left="1588" w:header="851" w:footer="992" w:gutter="0"/>
          <w:cols w:space="720" w:num="1"/>
          <w:titlePg/>
          <w:docGrid w:type="lines" w:linePitch="312" w:charSpace="0"/>
        </w:sectPr>
      </w:pPr>
    </w:p>
    <w:p>
      <w:pPr>
        <w:spacing w:after="156" w:afterLines="50" w:line="440" w:lineRule="exact"/>
        <w:rPr>
          <w:rFonts w:ascii="宋体" w:hAnsi="宋体" w:cs="宋体"/>
          <w:bCs/>
          <w:sz w:val="24"/>
        </w:rPr>
      </w:pPr>
      <w:r>
        <w:rPr>
          <w:rFonts w:hint="eastAsia" w:ascii="宋体" w:hAnsi="宋体" w:cs="宋体"/>
          <w:bCs/>
          <w:sz w:val="24"/>
        </w:rPr>
        <w:t>附件1</w:t>
      </w:r>
      <w:r>
        <w:rPr>
          <w:rFonts w:hint="eastAsia" w:ascii="宋体" w:hAnsi="宋体" w:cs="宋体"/>
          <w:bCs/>
          <w:sz w:val="24"/>
          <w:lang w:val="en-US" w:eastAsia="zh-CN"/>
        </w:rPr>
        <w:t>1</w:t>
      </w:r>
      <w:r>
        <w:rPr>
          <w:rFonts w:hint="eastAsia" w:ascii="宋体" w:hAnsi="宋体" w:cs="宋体"/>
          <w:bCs/>
          <w:sz w:val="24"/>
        </w:rPr>
        <w:t>：自评评分检查表</w:t>
      </w:r>
    </w:p>
    <w:p>
      <w:pPr>
        <w:spacing w:line="400" w:lineRule="exact"/>
        <w:jc w:val="center"/>
        <w:rPr>
          <w:rFonts w:ascii="宋体" w:hAnsi="宋体" w:cs="宋体"/>
          <w:b/>
          <w:bCs/>
          <w:sz w:val="32"/>
          <w:szCs w:val="32"/>
        </w:rPr>
      </w:pPr>
      <w:r>
        <w:rPr>
          <w:rFonts w:hint="eastAsia" w:ascii="宋体" w:hAnsi="宋体" w:cs="宋体"/>
          <w:b/>
          <w:bCs/>
          <w:sz w:val="32"/>
          <w:szCs w:val="32"/>
        </w:rPr>
        <w:t>安全生产标准化评分表</w:t>
      </w:r>
    </w:p>
    <w:p>
      <w:pPr>
        <w:spacing w:line="400" w:lineRule="exact"/>
        <w:jc w:val="center"/>
        <w:rPr>
          <w:rFonts w:ascii="仿宋_GB2312" w:hAnsi="宋体" w:eastAsia="仿宋_GB2312"/>
          <w:b/>
          <w:sz w:val="32"/>
          <w:szCs w:val="32"/>
        </w:rPr>
      </w:pPr>
    </w:p>
    <w:p>
      <w:pPr>
        <w:spacing w:line="400" w:lineRule="exact"/>
        <w:rPr>
          <w:rFonts w:ascii="宋体" w:hAnsi="宋体"/>
          <w:sz w:val="28"/>
          <w:szCs w:val="28"/>
          <w:u w:val="single"/>
        </w:rPr>
      </w:pPr>
      <w:r>
        <w:rPr>
          <w:rFonts w:hint="eastAsia" w:ascii="宋体" w:hAnsi="宋体"/>
          <w:sz w:val="28"/>
          <w:szCs w:val="28"/>
        </w:rPr>
        <w:t xml:space="preserve"> 自评/评审单位：</w:t>
      </w:r>
      <w:r>
        <w:rPr>
          <w:rFonts w:hint="eastAsia" w:ascii="宋体" w:hAnsi="宋体"/>
          <w:sz w:val="28"/>
          <w:szCs w:val="28"/>
          <w:u w:val="single"/>
        </w:rPr>
        <w:t xml:space="preserve"> 老河口华辰化学有限公司</w:t>
      </w:r>
    </w:p>
    <w:p>
      <w:pPr>
        <w:spacing w:line="560" w:lineRule="exact"/>
        <w:ind w:left="-540" w:leftChars="-257"/>
        <w:rPr>
          <w:rFonts w:ascii="宋体" w:hAnsi="宋体"/>
          <w:sz w:val="28"/>
          <w:szCs w:val="28"/>
        </w:rPr>
      </w:pPr>
      <w:r>
        <w:rPr>
          <w:rFonts w:hint="eastAsia" w:ascii="宋体" w:hAnsi="宋体"/>
          <w:sz w:val="28"/>
          <w:szCs w:val="28"/>
        </w:rPr>
        <w:t xml:space="preserve">     自评/评审时间：从</w:t>
      </w:r>
      <w:r>
        <w:rPr>
          <w:rFonts w:hint="eastAsia" w:ascii="宋体" w:hAnsi="宋体"/>
          <w:sz w:val="28"/>
          <w:szCs w:val="28"/>
          <w:u w:val="single"/>
        </w:rPr>
        <w:t xml:space="preserve"> 202</w:t>
      </w:r>
      <w:r>
        <w:rPr>
          <w:rFonts w:hint="eastAsia" w:ascii="宋体" w:hAnsi="宋体"/>
          <w:sz w:val="28"/>
          <w:szCs w:val="28"/>
          <w:u w:val="single"/>
          <w:lang w:val="en-US" w:eastAsia="zh-CN"/>
        </w:rPr>
        <w:t>3</w:t>
      </w:r>
      <w:r>
        <w:rPr>
          <w:rFonts w:hint="eastAsia" w:ascii="宋体" w:hAnsi="宋体"/>
          <w:sz w:val="28"/>
          <w:szCs w:val="28"/>
          <w:u w:val="single"/>
        </w:rPr>
        <w:t>年1</w:t>
      </w:r>
      <w:r>
        <w:rPr>
          <w:rFonts w:hint="eastAsia" w:ascii="宋体" w:hAnsi="宋体"/>
          <w:sz w:val="28"/>
          <w:szCs w:val="28"/>
          <w:u w:val="single"/>
          <w:lang w:val="en-US" w:eastAsia="zh-CN"/>
        </w:rPr>
        <w:t>1</w:t>
      </w:r>
      <w:r>
        <w:rPr>
          <w:rFonts w:hint="eastAsia" w:ascii="宋体" w:hAnsi="宋体"/>
          <w:sz w:val="28"/>
          <w:szCs w:val="28"/>
        </w:rPr>
        <w:t>月</w:t>
      </w:r>
      <w:r>
        <w:rPr>
          <w:rFonts w:hint="eastAsia" w:ascii="宋体" w:hAnsi="宋体"/>
          <w:sz w:val="28"/>
          <w:szCs w:val="28"/>
          <w:u w:val="single"/>
        </w:rPr>
        <w:t>1</w:t>
      </w:r>
      <w:r>
        <w:rPr>
          <w:rFonts w:hint="eastAsia" w:ascii="宋体" w:hAnsi="宋体"/>
          <w:sz w:val="28"/>
          <w:szCs w:val="28"/>
          <w:u w:val="single"/>
          <w:lang w:val="en-US" w:eastAsia="zh-CN"/>
        </w:rPr>
        <w:t>4</w:t>
      </w:r>
      <w:r>
        <w:rPr>
          <w:rFonts w:hint="eastAsia" w:ascii="宋体" w:hAnsi="宋体"/>
          <w:sz w:val="28"/>
          <w:szCs w:val="28"/>
        </w:rPr>
        <w:t>日 到</w:t>
      </w:r>
      <w:r>
        <w:rPr>
          <w:rFonts w:hint="eastAsia" w:ascii="宋体" w:hAnsi="宋体"/>
          <w:sz w:val="28"/>
          <w:szCs w:val="28"/>
          <w:u w:val="single"/>
        </w:rPr>
        <w:t xml:space="preserve"> 202</w:t>
      </w:r>
      <w:r>
        <w:rPr>
          <w:rFonts w:hint="eastAsia" w:ascii="宋体" w:hAnsi="宋体"/>
          <w:sz w:val="28"/>
          <w:szCs w:val="28"/>
          <w:u w:val="single"/>
          <w:lang w:val="en-US" w:eastAsia="zh-CN"/>
        </w:rPr>
        <w:t>3</w:t>
      </w:r>
      <w:r>
        <w:rPr>
          <w:rFonts w:hint="eastAsia" w:ascii="宋体" w:hAnsi="宋体"/>
          <w:sz w:val="28"/>
          <w:szCs w:val="28"/>
        </w:rPr>
        <w:t>年</w:t>
      </w:r>
      <w:r>
        <w:rPr>
          <w:rFonts w:hint="eastAsia" w:ascii="宋体" w:hAnsi="宋体"/>
          <w:sz w:val="28"/>
          <w:szCs w:val="28"/>
          <w:u w:val="single"/>
        </w:rPr>
        <w:t>1</w:t>
      </w:r>
      <w:r>
        <w:rPr>
          <w:rFonts w:hint="eastAsia" w:ascii="宋体" w:hAnsi="宋体"/>
          <w:sz w:val="28"/>
          <w:szCs w:val="28"/>
          <w:u w:val="single"/>
          <w:lang w:val="en-US" w:eastAsia="zh-CN"/>
        </w:rPr>
        <w:t>1</w:t>
      </w:r>
      <w:r>
        <w:rPr>
          <w:rFonts w:hint="eastAsia" w:ascii="宋体" w:hAnsi="宋体"/>
          <w:sz w:val="28"/>
          <w:szCs w:val="28"/>
        </w:rPr>
        <w:t>月</w:t>
      </w:r>
      <w:r>
        <w:rPr>
          <w:rFonts w:hint="eastAsia" w:ascii="宋体" w:hAnsi="宋体"/>
          <w:sz w:val="28"/>
          <w:szCs w:val="28"/>
          <w:u w:val="single"/>
        </w:rPr>
        <w:t xml:space="preserve"> </w:t>
      </w:r>
      <w:r>
        <w:rPr>
          <w:rFonts w:hint="eastAsia" w:ascii="宋体" w:hAnsi="宋体"/>
          <w:sz w:val="28"/>
          <w:szCs w:val="28"/>
          <w:u w:val="single"/>
          <w:lang w:val="en-US" w:eastAsia="zh-CN"/>
        </w:rPr>
        <w:t>20</w:t>
      </w:r>
      <w:r>
        <w:rPr>
          <w:rFonts w:hint="eastAsia" w:ascii="宋体" w:hAnsi="宋体"/>
          <w:sz w:val="28"/>
          <w:szCs w:val="28"/>
        </w:rPr>
        <w:t>日</w:t>
      </w:r>
    </w:p>
    <w:p>
      <w:pPr>
        <w:spacing w:line="400" w:lineRule="exact"/>
        <w:rPr>
          <w:rFonts w:ascii="宋体" w:hAnsi="宋体"/>
          <w:sz w:val="28"/>
          <w:szCs w:val="28"/>
          <w:u w:val="single"/>
        </w:rPr>
      </w:pPr>
      <w:r>
        <w:rPr>
          <w:rFonts w:hint="eastAsia" w:ascii="宋体" w:hAnsi="宋体"/>
          <w:sz w:val="28"/>
          <w:szCs w:val="28"/>
        </w:rPr>
        <w:t xml:space="preserve"> 自评/评审组组长：</w:t>
      </w:r>
      <w:r>
        <w:rPr>
          <w:rFonts w:hint="eastAsia" w:ascii="宋体" w:hAnsi="宋体"/>
          <w:sz w:val="28"/>
          <w:szCs w:val="28"/>
          <w:u w:val="single"/>
        </w:rPr>
        <w:t xml:space="preserve"> 祝捷  </w:t>
      </w:r>
      <w:r>
        <w:rPr>
          <w:rFonts w:hint="eastAsia" w:ascii="宋体" w:hAnsi="宋体"/>
          <w:sz w:val="28"/>
          <w:szCs w:val="28"/>
        </w:rPr>
        <w:t>自评/评审组主要成员：</w:t>
      </w:r>
      <w:r>
        <w:rPr>
          <w:rFonts w:hint="eastAsia"/>
          <w:sz w:val="24"/>
          <w:u w:val="single"/>
        </w:rPr>
        <w:t>陈宏、刘付俊、张克、王明胜、</w:t>
      </w:r>
      <w:r>
        <w:rPr>
          <w:rFonts w:hint="eastAsia"/>
          <w:sz w:val="24"/>
          <w:u w:val="single"/>
          <w:lang w:eastAsia="zh-CN"/>
        </w:rPr>
        <w:t>余玉际</w:t>
      </w:r>
      <w:r>
        <w:rPr>
          <w:rFonts w:hint="eastAsia"/>
          <w:sz w:val="24"/>
          <w:u w:val="single"/>
        </w:rPr>
        <w:t>、</w:t>
      </w:r>
      <w:r>
        <w:rPr>
          <w:rFonts w:hint="eastAsia"/>
          <w:sz w:val="24"/>
          <w:u w:val="single"/>
          <w:lang w:eastAsia="zh-CN"/>
        </w:rPr>
        <w:t>陈建国</w:t>
      </w:r>
      <w:r>
        <w:rPr>
          <w:rFonts w:hint="eastAsia"/>
          <w:sz w:val="24"/>
          <w:u w:val="single"/>
        </w:rPr>
        <w:t>、</w:t>
      </w:r>
      <w:r>
        <w:rPr>
          <w:rFonts w:hint="eastAsia"/>
          <w:sz w:val="24"/>
          <w:u w:val="single"/>
          <w:lang w:eastAsia="zh-CN"/>
        </w:rPr>
        <w:t>钱小清</w:t>
      </w:r>
    </w:p>
    <w:p>
      <w:pPr>
        <w:spacing w:line="400" w:lineRule="exact"/>
        <w:rPr>
          <w:rFonts w:ascii="宋体" w:hAnsi="宋体"/>
          <w:sz w:val="28"/>
          <w:szCs w:val="28"/>
          <w:u w:val="single"/>
        </w:rPr>
      </w:pPr>
    </w:p>
    <w:tbl>
      <w:tblPr>
        <w:tblStyle w:val="24"/>
        <w:tblW w:w="135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1"/>
        <w:gridCol w:w="709"/>
        <w:gridCol w:w="2409"/>
        <w:gridCol w:w="2268"/>
        <w:gridCol w:w="2268"/>
        <w:gridCol w:w="1701"/>
        <w:gridCol w:w="2268"/>
        <w:gridCol w:w="11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blHeader/>
          <w:jc w:val="center"/>
        </w:trPr>
        <w:tc>
          <w:tcPr>
            <w:tcW w:w="771" w:type="dxa"/>
            <w:vMerge w:val="restart"/>
            <w:vAlign w:val="center"/>
          </w:tcPr>
          <w:p>
            <w:pPr>
              <w:spacing w:line="360" w:lineRule="exact"/>
              <w:jc w:val="center"/>
              <w:rPr>
                <w:rFonts w:ascii="宋体" w:hAnsi="宋体" w:cs="宋体"/>
                <w:b/>
                <w:szCs w:val="21"/>
              </w:rPr>
            </w:pPr>
            <w:r>
              <w:rPr>
                <w:rFonts w:hint="eastAsia" w:ascii="宋体" w:hAnsi="宋体" w:cs="宋体"/>
                <w:b/>
                <w:szCs w:val="21"/>
              </w:rPr>
              <w:t>A级要素</w:t>
            </w:r>
          </w:p>
        </w:tc>
        <w:tc>
          <w:tcPr>
            <w:tcW w:w="709" w:type="dxa"/>
            <w:vMerge w:val="restart"/>
            <w:vAlign w:val="center"/>
          </w:tcPr>
          <w:p>
            <w:pPr>
              <w:spacing w:line="360" w:lineRule="exact"/>
              <w:jc w:val="center"/>
              <w:rPr>
                <w:rFonts w:ascii="宋体" w:hAnsi="宋体" w:cs="宋体"/>
                <w:b/>
                <w:szCs w:val="21"/>
              </w:rPr>
            </w:pPr>
            <w:r>
              <w:rPr>
                <w:rFonts w:hint="eastAsia" w:ascii="宋体" w:hAnsi="宋体" w:cs="宋体"/>
                <w:b/>
                <w:szCs w:val="21"/>
              </w:rPr>
              <w:t>B级要素</w:t>
            </w:r>
          </w:p>
        </w:tc>
        <w:tc>
          <w:tcPr>
            <w:tcW w:w="2409" w:type="dxa"/>
            <w:vMerge w:val="restart"/>
            <w:vAlign w:val="center"/>
          </w:tcPr>
          <w:p>
            <w:pPr>
              <w:spacing w:line="360" w:lineRule="exact"/>
              <w:jc w:val="center"/>
              <w:rPr>
                <w:rFonts w:ascii="宋体" w:hAnsi="宋体" w:cs="宋体"/>
                <w:b/>
                <w:szCs w:val="21"/>
              </w:rPr>
            </w:pPr>
            <w:r>
              <w:rPr>
                <w:rFonts w:hint="eastAsia" w:ascii="宋体" w:hAnsi="宋体" w:cs="宋体"/>
                <w:b/>
                <w:szCs w:val="21"/>
              </w:rPr>
              <w:t>标准化要求</w:t>
            </w:r>
          </w:p>
        </w:tc>
        <w:tc>
          <w:tcPr>
            <w:tcW w:w="2268" w:type="dxa"/>
            <w:vMerge w:val="restart"/>
            <w:vAlign w:val="center"/>
          </w:tcPr>
          <w:p>
            <w:pPr>
              <w:spacing w:line="360" w:lineRule="exact"/>
              <w:jc w:val="center"/>
              <w:rPr>
                <w:rFonts w:ascii="宋体" w:hAnsi="宋体" w:cs="宋体"/>
                <w:b/>
                <w:szCs w:val="21"/>
              </w:rPr>
            </w:pPr>
            <w:r>
              <w:rPr>
                <w:rFonts w:hint="eastAsia" w:ascii="宋体" w:hAnsi="宋体" w:cs="宋体"/>
                <w:b/>
                <w:szCs w:val="21"/>
              </w:rPr>
              <w:t>企业达标标准</w:t>
            </w:r>
          </w:p>
        </w:tc>
        <w:tc>
          <w:tcPr>
            <w:tcW w:w="2268" w:type="dxa"/>
            <w:vMerge w:val="restart"/>
            <w:vAlign w:val="center"/>
          </w:tcPr>
          <w:p>
            <w:pPr>
              <w:spacing w:line="360" w:lineRule="exact"/>
              <w:jc w:val="center"/>
              <w:rPr>
                <w:rFonts w:ascii="宋体" w:hAnsi="宋体" w:cs="宋体"/>
                <w:b/>
                <w:szCs w:val="21"/>
              </w:rPr>
            </w:pPr>
            <w:r>
              <w:rPr>
                <w:rFonts w:hint="eastAsia" w:ascii="宋体" w:hAnsi="宋体" w:cs="宋体"/>
                <w:b/>
                <w:szCs w:val="21"/>
              </w:rPr>
              <w:t>评审方法</w:t>
            </w:r>
          </w:p>
        </w:tc>
        <w:tc>
          <w:tcPr>
            <w:tcW w:w="3969" w:type="dxa"/>
            <w:gridSpan w:val="2"/>
            <w:vAlign w:val="center"/>
          </w:tcPr>
          <w:p>
            <w:pPr>
              <w:spacing w:line="360" w:lineRule="exact"/>
              <w:jc w:val="center"/>
              <w:rPr>
                <w:rFonts w:ascii="宋体" w:hAnsi="宋体" w:cs="宋体"/>
                <w:b/>
                <w:szCs w:val="21"/>
              </w:rPr>
            </w:pPr>
            <w:r>
              <w:rPr>
                <w:rFonts w:hint="eastAsia" w:ascii="宋体" w:hAnsi="宋体" w:cs="宋体"/>
                <w:b/>
                <w:szCs w:val="21"/>
              </w:rPr>
              <w:t>评审标准</w:t>
            </w:r>
          </w:p>
        </w:tc>
        <w:tc>
          <w:tcPr>
            <w:tcW w:w="1165" w:type="dxa"/>
            <w:vMerge w:val="restart"/>
            <w:vAlign w:val="center"/>
          </w:tcPr>
          <w:p>
            <w:pPr>
              <w:spacing w:line="360" w:lineRule="exact"/>
              <w:jc w:val="center"/>
              <w:rPr>
                <w:rFonts w:ascii="宋体" w:hAnsi="宋体" w:cs="宋体"/>
                <w:b/>
                <w:szCs w:val="21"/>
              </w:rPr>
            </w:pPr>
            <w:r>
              <w:rPr>
                <w:rFonts w:hint="eastAsia" w:ascii="宋体" w:hAnsi="宋体" w:cs="宋体"/>
                <w:b/>
                <w:szCs w:val="21"/>
              </w:rPr>
              <w:t>评审描述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tblHeader/>
          <w:jc w:val="center"/>
        </w:trPr>
        <w:tc>
          <w:tcPr>
            <w:tcW w:w="771" w:type="dxa"/>
            <w:vMerge w:val="continue"/>
            <w:vAlign w:val="center"/>
          </w:tcPr>
          <w:p>
            <w:pPr>
              <w:spacing w:line="360" w:lineRule="exact"/>
              <w:ind w:firstLine="422"/>
              <w:jc w:val="center"/>
              <w:rPr>
                <w:rFonts w:ascii="宋体" w:hAnsi="宋体" w:cs="宋体"/>
                <w:b/>
                <w:szCs w:val="21"/>
              </w:rPr>
            </w:pPr>
          </w:p>
        </w:tc>
        <w:tc>
          <w:tcPr>
            <w:tcW w:w="709" w:type="dxa"/>
            <w:vMerge w:val="continue"/>
            <w:vAlign w:val="center"/>
          </w:tcPr>
          <w:p>
            <w:pPr>
              <w:spacing w:line="360" w:lineRule="exact"/>
              <w:ind w:firstLine="422"/>
              <w:jc w:val="center"/>
              <w:rPr>
                <w:rFonts w:ascii="宋体" w:hAnsi="宋体" w:cs="宋体"/>
                <w:b/>
                <w:szCs w:val="21"/>
              </w:rPr>
            </w:pPr>
          </w:p>
        </w:tc>
        <w:tc>
          <w:tcPr>
            <w:tcW w:w="2409" w:type="dxa"/>
            <w:vMerge w:val="continue"/>
            <w:vAlign w:val="center"/>
          </w:tcPr>
          <w:p>
            <w:pPr>
              <w:spacing w:line="360" w:lineRule="exact"/>
              <w:ind w:firstLine="422"/>
              <w:jc w:val="center"/>
              <w:rPr>
                <w:rFonts w:ascii="宋体" w:hAnsi="宋体" w:cs="宋体"/>
                <w:b/>
                <w:szCs w:val="21"/>
              </w:rPr>
            </w:pPr>
          </w:p>
        </w:tc>
        <w:tc>
          <w:tcPr>
            <w:tcW w:w="2268" w:type="dxa"/>
            <w:vMerge w:val="continue"/>
            <w:vAlign w:val="center"/>
          </w:tcPr>
          <w:p>
            <w:pPr>
              <w:spacing w:line="360" w:lineRule="exact"/>
              <w:ind w:firstLine="422"/>
              <w:jc w:val="center"/>
              <w:rPr>
                <w:rFonts w:ascii="宋体" w:hAnsi="宋体" w:cs="宋体"/>
                <w:b/>
                <w:szCs w:val="21"/>
              </w:rPr>
            </w:pPr>
          </w:p>
        </w:tc>
        <w:tc>
          <w:tcPr>
            <w:tcW w:w="2268" w:type="dxa"/>
            <w:vMerge w:val="continue"/>
            <w:vAlign w:val="center"/>
          </w:tcPr>
          <w:p>
            <w:pPr>
              <w:spacing w:line="360" w:lineRule="exact"/>
              <w:ind w:firstLine="422"/>
              <w:jc w:val="center"/>
              <w:rPr>
                <w:rFonts w:ascii="宋体" w:hAnsi="宋体" w:cs="宋体"/>
                <w:b/>
                <w:szCs w:val="21"/>
              </w:rPr>
            </w:pPr>
          </w:p>
        </w:tc>
        <w:tc>
          <w:tcPr>
            <w:tcW w:w="1701" w:type="dxa"/>
            <w:vAlign w:val="center"/>
          </w:tcPr>
          <w:p>
            <w:pPr>
              <w:spacing w:line="360" w:lineRule="exact"/>
              <w:jc w:val="center"/>
              <w:rPr>
                <w:rFonts w:ascii="宋体" w:hAnsi="宋体" w:cs="宋体"/>
                <w:b/>
                <w:szCs w:val="21"/>
              </w:rPr>
            </w:pPr>
            <w:r>
              <w:rPr>
                <w:rFonts w:hint="eastAsia" w:ascii="宋体" w:hAnsi="宋体" w:cs="宋体"/>
                <w:b/>
                <w:szCs w:val="21"/>
              </w:rPr>
              <w:t>否决项</w:t>
            </w:r>
          </w:p>
        </w:tc>
        <w:tc>
          <w:tcPr>
            <w:tcW w:w="2268" w:type="dxa"/>
            <w:vAlign w:val="center"/>
          </w:tcPr>
          <w:p>
            <w:pPr>
              <w:spacing w:line="360" w:lineRule="exact"/>
              <w:jc w:val="center"/>
              <w:rPr>
                <w:rFonts w:ascii="宋体" w:hAnsi="宋体" w:cs="宋体"/>
                <w:b/>
                <w:szCs w:val="21"/>
              </w:rPr>
            </w:pPr>
            <w:r>
              <w:rPr>
                <w:rFonts w:hint="eastAsia" w:ascii="宋体" w:hAnsi="宋体" w:cs="宋体"/>
                <w:b/>
                <w:szCs w:val="21"/>
              </w:rPr>
              <w:t>扣分项</w:t>
            </w:r>
          </w:p>
        </w:tc>
        <w:tc>
          <w:tcPr>
            <w:tcW w:w="1165" w:type="dxa"/>
            <w:vMerge w:val="continue"/>
            <w:vAlign w:val="center"/>
          </w:tcPr>
          <w:p>
            <w:pPr>
              <w:spacing w:line="360" w:lineRule="exact"/>
              <w:jc w:val="center"/>
              <w:rPr>
                <w:rFonts w:ascii="宋体" w:hAnsi="宋体" w:cs="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 w:hRule="atLeast"/>
          <w:jc w:val="center"/>
        </w:trPr>
        <w:tc>
          <w:tcPr>
            <w:tcW w:w="771" w:type="dxa"/>
            <w:vMerge w:val="restart"/>
          </w:tcPr>
          <w:p>
            <w:pPr>
              <w:spacing w:line="280" w:lineRule="exact"/>
              <w:rPr>
                <w:rFonts w:ascii="宋体" w:hAnsi="宋体" w:cs="宋体"/>
                <w:b/>
                <w:bCs/>
                <w:szCs w:val="21"/>
              </w:rPr>
            </w:pPr>
            <w:r>
              <w:rPr>
                <w:rFonts w:hint="eastAsia" w:ascii="宋体" w:hAnsi="宋体" w:cs="宋体"/>
                <w:b/>
                <w:bCs/>
                <w:szCs w:val="21"/>
              </w:rPr>
              <w:t>1 法律、法规和标准（100分）</w:t>
            </w:r>
          </w:p>
        </w:tc>
        <w:tc>
          <w:tcPr>
            <w:tcW w:w="709" w:type="dxa"/>
            <w:vMerge w:val="restart"/>
          </w:tcPr>
          <w:p>
            <w:pPr>
              <w:spacing w:line="280" w:lineRule="exact"/>
              <w:rPr>
                <w:rFonts w:ascii="宋体" w:hAnsi="宋体" w:cs="宋体"/>
                <w:b/>
                <w:bCs/>
                <w:szCs w:val="21"/>
              </w:rPr>
            </w:pPr>
            <w:r>
              <w:rPr>
                <w:rFonts w:hint="eastAsia" w:ascii="宋体" w:hAnsi="宋体" w:cs="宋体"/>
                <w:b/>
                <w:bCs/>
                <w:szCs w:val="21"/>
              </w:rPr>
              <w:t>1.1法律、法规和标准的识别和获取（50分）</w:t>
            </w:r>
          </w:p>
        </w:tc>
        <w:tc>
          <w:tcPr>
            <w:tcW w:w="2409" w:type="dxa"/>
          </w:tcPr>
          <w:p>
            <w:pPr>
              <w:spacing w:line="280" w:lineRule="exact"/>
              <w:rPr>
                <w:rFonts w:ascii="宋体" w:hAnsi="宋体" w:cs="宋体"/>
                <w:szCs w:val="21"/>
              </w:rPr>
            </w:pPr>
            <w:r>
              <w:rPr>
                <w:rFonts w:hint="eastAsia" w:ascii="宋体" w:hAnsi="宋体" w:cs="宋体"/>
                <w:spacing w:val="2"/>
                <w:szCs w:val="21"/>
              </w:rPr>
              <w:t>1.企业应建立识别和获取适用的安全生产法律、法规、标准及其他要求的管理制度，明确责任部门，确定获取渠道、方式和时机，及时识别和获取，定期更新。</w:t>
            </w:r>
          </w:p>
        </w:tc>
        <w:tc>
          <w:tcPr>
            <w:tcW w:w="2268" w:type="dxa"/>
          </w:tcPr>
          <w:p>
            <w:pPr>
              <w:spacing w:line="280" w:lineRule="exact"/>
              <w:rPr>
                <w:rFonts w:ascii="宋体" w:hAnsi="宋体" w:cs="宋体"/>
                <w:spacing w:val="2"/>
                <w:szCs w:val="21"/>
              </w:rPr>
            </w:pPr>
            <w:r>
              <w:rPr>
                <w:rFonts w:hint="eastAsia" w:ascii="宋体" w:hAnsi="宋体" w:cs="宋体"/>
                <w:szCs w:val="21"/>
              </w:rPr>
              <w:t>1.建立</w:t>
            </w:r>
            <w:r>
              <w:rPr>
                <w:rFonts w:hint="eastAsia" w:ascii="宋体" w:hAnsi="宋体" w:cs="宋体"/>
                <w:spacing w:val="2"/>
                <w:szCs w:val="21"/>
              </w:rPr>
              <w:t>识别和获取适用的安全生产法律法规、标准及政府其他有关要求的管理制度；</w:t>
            </w:r>
          </w:p>
          <w:p>
            <w:pPr>
              <w:spacing w:line="280" w:lineRule="exact"/>
              <w:rPr>
                <w:rFonts w:ascii="宋体" w:hAnsi="宋体" w:cs="宋体"/>
                <w:szCs w:val="21"/>
              </w:rPr>
            </w:pPr>
            <w:r>
              <w:rPr>
                <w:rFonts w:hint="eastAsia" w:ascii="宋体" w:hAnsi="宋体" w:cs="宋体"/>
                <w:szCs w:val="21"/>
              </w:rPr>
              <w:t>2.明确责任部门、获取渠道、方式；</w:t>
            </w:r>
          </w:p>
          <w:p>
            <w:pPr>
              <w:spacing w:line="280" w:lineRule="exact"/>
              <w:rPr>
                <w:rFonts w:ascii="宋体" w:hAnsi="宋体" w:cs="宋体"/>
                <w:spacing w:val="2"/>
                <w:szCs w:val="21"/>
              </w:rPr>
            </w:pPr>
            <w:r>
              <w:rPr>
                <w:rFonts w:hint="eastAsia" w:ascii="宋体" w:hAnsi="宋体" w:cs="宋体"/>
                <w:szCs w:val="21"/>
              </w:rPr>
              <w:t>3.及时识别和获取适用的</w:t>
            </w:r>
            <w:r>
              <w:rPr>
                <w:rFonts w:hint="eastAsia" w:ascii="宋体" w:hAnsi="宋体" w:cs="宋体"/>
                <w:spacing w:val="2"/>
                <w:szCs w:val="21"/>
              </w:rPr>
              <w:t>安全生产法律法规和标准及政府其他有关要求；</w:t>
            </w:r>
          </w:p>
          <w:p>
            <w:pPr>
              <w:spacing w:line="280" w:lineRule="exact"/>
              <w:rPr>
                <w:rFonts w:ascii="宋体" w:hAnsi="宋体" w:cs="宋体"/>
                <w:szCs w:val="21"/>
              </w:rPr>
            </w:pPr>
            <w:r>
              <w:rPr>
                <w:rFonts w:hint="eastAsia" w:ascii="宋体" w:hAnsi="宋体" w:cs="宋体"/>
                <w:spacing w:val="2"/>
                <w:szCs w:val="21"/>
              </w:rPr>
              <w:t>4.形成法律法规、标准及政府其他有关要求的清单和文本数据库，并</w:t>
            </w:r>
            <w:r>
              <w:rPr>
                <w:rFonts w:hint="eastAsia" w:ascii="宋体" w:hAnsi="宋体" w:cs="宋体"/>
                <w:szCs w:val="21"/>
              </w:rPr>
              <w:t>定期更新。</w:t>
            </w:r>
          </w:p>
        </w:tc>
        <w:tc>
          <w:tcPr>
            <w:tcW w:w="2268" w:type="dxa"/>
          </w:tcPr>
          <w:p>
            <w:pPr>
              <w:tabs>
                <w:tab w:val="left" w:pos="522"/>
                <w:tab w:val="left" w:pos="702"/>
              </w:tabs>
              <w:spacing w:line="280" w:lineRule="exact"/>
              <w:ind w:left="221" w:hanging="221" w:hangingChars="105"/>
              <w:rPr>
                <w:rFonts w:ascii="宋体" w:hAnsi="宋体" w:cs="宋体"/>
                <w:b/>
                <w:szCs w:val="21"/>
              </w:rPr>
            </w:pPr>
            <w:r>
              <w:rPr>
                <w:rFonts w:hint="eastAsia" w:ascii="宋体" w:hAnsi="宋体" w:cs="宋体"/>
                <w:b/>
                <w:szCs w:val="21"/>
              </w:rPr>
              <w:t>查文件：</w:t>
            </w:r>
          </w:p>
          <w:p>
            <w:pPr>
              <w:spacing w:line="280" w:lineRule="exact"/>
              <w:rPr>
                <w:rFonts w:ascii="宋体" w:hAnsi="宋体" w:cs="宋体"/>
                <w:spacing w:val="2"/>
                <w:szCs w:val="21"/>
              </w:rPr>
            </w:pPr>
            <w:r>
              <w:rPr>
                <w:rFonts w:hint="eastAsia" w:ascii="宋体" w:hAnsi="宋体" w:cs="宋体"/>
                <w:szCs w:val="21"/>
              </w:rPr>
              <w:t>1.</w:t>
            </w:r>
            <w:r>
              <w:rPr>
                <w:rFonts w:hint="eastAsia" w:ascii="宋体" w:hAnsi="宋体" w:cs="宋体"/>
                <w:spacing w:val="2"/>
                <w:szCs w:val="21"/>
              </w:rPr>
              <w:t>识别和获取适用的安全生产法律、法规、标准及政府其他要求的制度；</w:t>
            </w:r>
          </w:p>
          <w:p>
            <w:pPr>
              <w:spacing w:line="280" w:lineRule="exact"/>
              <w:rPr>
                <w:rFonts w:ascii="宋体" w:hAnsi="宋体" w:cs="宋体"/>
                <w:szCs w:val="21"/>
              </w:rPr>
            </w:pPr>
            <w:r>
              <w:rPr>
                <w:rFonts w:hint="eastAsia" w:ascii="宋体" w:hAnsi="宋体" w:cs="宋体"/>
                <w:szCs w:val="21"/>
              </w:rPr>
              <w:t>2.适用的法律法规、标准</w:t>
            </w:r>
            <w:r>
              <w:rPr>
                <w:rFonts w:hint="eastAsia" w:ascii="宋体" w:hAnsi="宋体" w:cs="宋体"/>
                <w:spacing w:val="2"/>
                <w:szCs w:val="21"/>
              </w:rPr>
              <w:t>及政府其他要求的</w:t>
            </w:r>
            <w:r>
              <w:rPr>
                <w:rFonts w:hint="eastAsia" w:ascii="宋体" w:hAnsi="宋体" w:cs="宋体"/>
                <w:szCs w:val="21"/>
              </w:rPr>
              <w:t>清单和</w:t>
            </w:r>
            <w:r>
              <w:rPr>
                <w:rFonts w:hint="eastAsia" w:ascii="宋体" w:hAnsi="宋体" w:cs="宋体"/>
                <w:spacing w:val="2"/>
                <w:szCs w:val="21"/>
              </w:rPr>
              <w:t>文本数据</w:t>
            </w:r>
            <w:r>
              <w:rPr>
                <w:rFonts w:hint="eastAsia" w:ascii="宋体" w:hAnsi="宋体" w:cs="宋体"/>
                <w:szCs w:val="21"/>
              </w:rPr>
              <w:t>库；</w:t>
            </w:r>
          </w:p>
          <w:p>
            <w:pPr>
              <w:spacing w:line="280" w:lineRule="exact"/>
              <w:rPr>
                <w:rFonts w:ascii="宋体" w:hAnsi="宋体" w:cs="宋体"/>
                <w:szCs w:val="21"/>
              </w:rPr>
            </w:pPr>
            <w:r>
              <w:rPr>
                <w:rFonts w:hint="eastAsia" w:ascii="宋体" w:hAnsi="宋体" w:cs="宋体"/>
                <w:szCs w:val="21"/>
              </w:rPr>
              <w:t>3.定期更新记录。</w:t>
            </w:r>
          </w:p>
        </w:tc>
        <w:tc>
          <w:tcPr>
            <w:tcW w:w="1701" w:type="dxa"/>
          </w:tcPr>
          <w:p>
            <w:pPr>
              <w:spacing w:line="280" w:lineRule="exact"/>
              <w:rPr>
                <w:rFonts w:ascii="宋体" w:hAnsi="宋体" w:cs="宋体"/>
                <w:b/>
                <w:szCs w:val="21"/>
              </w:rPr>
            </w:pPr>
            <w:r>
              <w:rPr>
                <w:rFonts w:hint="eastAsia" w:ascii="宋体" w:hAnsi="宋体" w:cs="宋体"/>
                <w:b/>
                <w:szCs w:val="21"/>
              </w:rPr>
              <w:t>未明确专门部门定期识别和获取，扣50分（B级要素否决项）。</w:t>
            </w:r>
          </w:p>
          <w:p>
            <w:pPr>
              <w:spacing w:line="280" w:lineRule="exact"/>
              <w:ind w:firstLine="422"/>
              <w:rPr>
                <w:rFonts w:ascii="宋体" w:hAnsi="宋体" w:cs="宋体"/>
                <w:b/>
                <w:szCs w:val="21"/>
              </w:rPr>
            </w:pPr>
          </w:p>
        </w:tc>
        <w:tc>
          <w:tcPr>
            <w:tcW w:w="2268" w:type="dxa"/>
          </w:tcPr>
          <w:p>
            <w:pPr>
              <w:spacing w:line="280" w:lineRule="exact"/>
              <w:rPr>
                <w:rFonts w:ascii="宋体" w:hAnsi="宋体" w:cs="宋体"/>
                <w:szCs w:val="21"/>
              </w:rPr>
            </w:pPr>
            <w:r>
              <w:rPr>
                <w:rFonts w:hint="eastAsia" w:ascii="宋体" w:hAnsi="宋体" w:cs="宋体"/>
                <w:szCs w:val="21"/>
              </w:rPr>
              <w:t>1.识别和获取的法律、法规、标准</w:t>
            </w:r>
            <w:r>
              <w:rPr>
                <w:rFonts w:hint="eastAsia" w:ascii="宋体" w:hAnsi="宋体" w:cs="宋体"/>
                <w:spacing w:val="2"/>
                <w:szCs w:val="21"/>
              </w:rPr>
              <w:t>及政府其他要求</w:t>
            </w:r>
            <w:r>
              <w:rPr>
                <w:rFonts w:hint="eastAsia" w:ascii="宋体" w:hAnsi="宋体" w:cs="宋体"/>
                <w:szCs w:val="21"/>
              </w:rPr>
              <w:t>，一项不符合扣1分；</w:t>
            </w:r>
          </w:p>
          <w:p>
            <w:pPr>
              <w:spacing w:line="280" w:lineRule="exact"/>
              <w:rPr>
                <w:rFonts w:ascii="宋体" w:hAnsi="宋体" w:cs="宋体"/>
                <w:szCs w:val="21"/>
              </w:rPr>
            </w:pPr>
            <w:r>
              <w:rPr>
                <w:rFonts w:hint="eastAsia" w:ascii="宋体" w:hAnsi="宋体" w:cs="宋体"/>
                <w:szCs w:val="21"/>
              </w:rPr>
              <w:t>2.法律法规、标准</w:t>
            </w:r>
            <w:r>
              <w:rPr>
                <w:rFonts w:hint="eastAsia" w:ascii="宋体" w:hAnsi="宋体" w:cs="宋体"/>
                <w:spacing w:val="2"/>
                <w:szCs w:val="21"/>
              </w:rPr>
              <w:t>及政府其他要求</w:t>
            </w:r>
            <w:r>
              <w:rPr>
                <w:rFonts w:hint="eastAsia" w:ascii="宋体" w:hAnsi="宋体" w:cs="宋体"/>
                <w:szCs w:val="21"/>
              </w:rPr>
              <w:t>未识别到条款，一项扣1分；</w:t>
            </w:r>
          </w:p>
          <w:p>
            <w:pPr>
              <w:spacing w:line="280" w:lineRule="exact"/>
              <w:rPr>
                <w:rFonts w:ascii="宋体" w:hAnsi="宋体" w:cs="宋体"/>
                <w:szCs w:val="21"/>
              </w:rPr>
            </w:pPr>
            <w:r>
              <w:rPr>
                <w:rFonts w:hint="eastAsia" w:ascii="宋体" w:hAnsi="宋体" w:cs="宋体"/>
                <w:szCs w:val="21"/>
              </w:rPr>
              <w:t>3.未形成清单或文本数据库，扣5分；</w:t>
            </w:r>
          </w:p>
          <w:p>
            <w:pPr>
              <w:rPr>
                <w:rFonts w:ascii="宋体" w:hAnsi="宋体" w:cs="宋体"/>
                <w:b/>
                <w:szCs w:val="21"/>
              </w:rPr>
            </w:pPr>
            <w:r>
              <w:rPr>
                <w:rFonts w:hint="eastAsia" w:ascii="宋体" w:hAnsi="宋体" w:cs="宋体"/>
                <w:szCs w:val="21"/>
              </w:rPr>
              <w:t>4.未及时更新清单或文本数据库，扣5分。</w:t>
            </w:r>
          </w:p>
        </w:tc>
        <w:tc>
          <w:tcPr>
            <w:tcW w:w="1165" w:type="dxa"/>
            <w:vAlign w:val="center"/>
          </w:tcPr>
          <w:p>
            <w:pPr>
              <w:jc w:val="center"/>
              <w:rPr>
                <w:rFonts w:ascii="宋体" w:hAnsi="宋体" w:cs="宋体"/>
                <w:szCs w:val="21"/>
              </w:rPr>
            </w:pPr>
            <w:r>
              <w:rPr>
                <w:rFonts w:hint="eastAsia" w:ascii="宋体" w:hAnsi="宋体" w:cs="宋体"/>
                <w:szCs w:val="21"/>
              </w:rPr>
              <w:t>法律法规文本数据库未及时更新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 w:hRule="atLeast"/>
          <w:jc w:val="center"/>
        </w:trPr>
        <w:tc>
          <w:tcPr>
            <w:tcW w:w="771" w:type="dxa"/>
            <w:vMerge w:val="continue"/>
          </w:tcPr>
          <w:p>
            <w:pPr>
              <w:spacing w:line="280" w:lineRule="exact"/>
              <w:ind w:firstLine="422"/>
              <w:rPr>
                <w:rFonts w:ascii="宋体" w:hAnsi="宋体" w:cs="宋体"/>
                <w:b/>
                <w:bCs/>
                <w:szCs w:val="21"/>
              </w:rPr>
            </w:pPr>
          </w:p>
        </w:tc>
        <w:tc>
          <w:tcPr>
            <w:tcW w:w="709" w:type="dxa"/>
            <w:vMerge w:val="continue"/>
          </w:tcPr>
          <w:p>
            <w:pPr>
              <w:spacing w:line="280" w:lineRule="exact"/>
              <w:ind w:firstLine="422"/>
              <w:rPr>
                <w:rFonts w:ascii="宋体" w:hAnsi="宋体" w:cs="宋体"/>
                <w:b/>
                <w:bCs/>
                <w:szCs w:val="21"/>
              </w:rPr>
            </w:pPr>
          </w:p>
        </w:tc>
        <w:tc>
          <w:tcPr>
            <w:tcW w:w="2409" w:type="dxa"/>
          </w:tcPr>
          <w:p>
            <w:pPr>
              <w:spacing w:line="280" w:lineRule="exact"/>
              <w:rPr>
                <w:rFonts w:ascii="宋体" w:hAnsi="宋体" w:cs="宋体"/>
                <w:spacing w:val="2"/>
                <w:szCs w:val="21"/>
              </w:rPr>
            </w:pPr>
            <w:r>
              <w:rPr>
                <w:rFonts w:hint="eastAsia" w:ascii="宋体" w:hAnsi="宋体" w:cs="宋体"/>
                <w:spacing w:val="2"/>
                <w:szCs w:val="21"/>
              </w:rPr>
              <w:t>2.企业应将适用的安全生产法律、法规、标准及其他要求及时传达给相关方。</w:t>
            </w:r>
          </w:p>
        </w:tc>
        <w:tc>
          <w:tcPr>
            <w:tcW w:w="2268" w:type="dxa"/>
          </w:tcPr>
          <w:p>
            <w:pPr>
              <w:spacing w:line="280" w:lineRule="exact"/>
              <w:rPr>
                <w:rFonts w:ascii="宋体" w:hAnsi="宋体" w:cs="宋体"/>
                <w:spacing w:val="2"/>
                <w:szCs w:val="21"/>
              </w:rPr>
            </w:pPr>
            <w:r>
              <w:rPr>
                <w:rFonts w:hint="eastAsia" w:ascii="宋体" w:hAnsi="宋体" w:cs="宋体"/>
                <w:spacing w:val="2"/>
                <w:szCs w:val="21"/>
              </w:rPr>
              <w:t>采用适当的方式、方法，将适用的安全生产法律、法规、标准及其他要求及时传达给相关方。</w:t>
            </w:r>
          </w:p>
        </w:tc>
        <w:tc>
          <w:tcPr>
            <w:tcW w:w="2268" w:type="dxa"/>
          </w:tcPr>
          <w:p>
            <w:pPr>
              <w:spacing w:line="280" w:lineRule="exact"/>
              <w:rPr>
                <w:rFonts w:ascii="宋体" w:hAnsi="宋体" w:cs="宋体"/>
                <w:spacing w:val="2"/>
                <w:szCs w:val="21"/>
              </w:rPr>
            </w:pPr>
            <w:r>
              <w:rPr>
                <w:rFonts w:hint="eastAsia" w:ascii="宋体" w:hAnsi="宋体" w:cs="宋体"/>
                <w:spacing w:val="2"/>
                <w:szCs w:val="21"/>
              </w:rPr>
              <w:t>查文件：</w:t>
            </w:r>
          </w:p>
          <w:p>
            <w:pPr>
              <w:spacing w:line="280" w:lineRule="exact"/>
              <w:rPr>
                <w:rFonts w:ascii="宋体" w:hAnsi="宋体" w:cs="宋体"/>
                <w:spacing w:val="2"/>
                <w:szCs w:val="21"/>
              </w:rPr>
            </w:pPr>
            <w:r>
              <w:rPr>
                <w:rFonts w:hint="eastAsia" w:ascii="宋体" w:hAnsi="宋体" w:cs="宋体"/>
                <w:spacing w:val="2"/>
                <w:szCs w:val="21"/>
              </w:rPr>
              <w:t>1.文件发放记录；</w:t>
            </w:r>
          </w:p>
          <w:p>
            <w:pPr>
              <w:spacing w:line="280" w:lineRule="exact"/>
              <w:rPr>
                <w:rFonts w:ascii="宋体" w:hAnsi="宋体" w:cs="宋体"/>
                <w:spacing w:val="2"/>
                <w:szCs w:val="21"/>
              </w:rPr>
            </w:pPr>
            <w:r>
              <w:rPr>
                <w:rFonts w:hint="eastAsia" w:ascii="宋体" w:hAnsi="宋体" w:cs="宋体"/>
                <w:spacing w:val="2"/>
                <w:szCs w:val="21"/>
              </w:rPr>
              <w:t>2.培训记录、告知书、宣传材料。</w:t>
            </w:r>
          </w:p>
          <w:p>
            <w:pPr>
              <w:spacing w:line="280" w:lineRule="exact"/>
              <w:rPr>
                <w:rFonts w:ascii="宋体" w:hAnsi="宋体" w:cs="宋体"/>
                <w:spacing w:val="2"/>
                <w:szCs w:val="21"/>
              </w:rPr>
            </w:pPr>
            <w:r>
              <w:rPr>
                <w:rFonts w:hint="eastAsia" w:ascii="宋体" w:hAnsi="宋体" w:cs="宋体"/>
                <w:spacing w:val="2"/>
                <w:szCs w:val="21"/>
              </w:rPr>
              <w:t>询问：</w:t>
            </w:r>
          </w:p>
          <w:p>
            <w:pPr>
              <w:spacing w:line="280" w:lineRule="exact"/>
              <w:rPr>
                <w:rFonts w:ascii="宋体" w:hAnsi="宋体" w:cs="宋体"/>
                <w:spacing w:val="2"/>
                <w:szCs w:val="21"/>
              </w:rPr>
            </w:pPr>
            <w:r>
              <w:rPr>
                <w:rFonts w:hint="eastAsia" w:ascii="宋体" w:hAnsi="宋体" w:cs="宋体"/>
                <w:spacing w:val="2"/>
                <w:szCs w:val="21"/>
              </w:rPr>
              <w:t>相关方是否接收到企业传达的相关信息。</w:t>
            </w:r>
          </w:p>
        </w:tc>
        <w:tc>
          <w:tcPr>
            <w:tcW w:w="1701" w:type="dxa"/>
          </w:tcPr>
          <w:p>
            <w:pPr>
              <w:spacing w:line="280" w:lineRule="exact"/>
              <w:rPr>
                <w:rFonts w:ascii="宋体" w:hAnsi="宋体" w:cs="宋体"/>
                <w:spacing w:val="2"/>
                <w:szCs w:val="21"/>
              </w:rPr>
            </w:pPr>
          </w:p>
        </w:tc>
        <w:tc>
          <w:tcPr>
            <w:tcW w:w="2268" w:type="dxa"/>
          </w:tcPr>
          <w:p>
            <w:pPr>
              <w:spacing w:line="280" w:lineRule="exact"/>
              <w:rPr>
                <w:rFonts w:ascii="宋体" w:hAnsi="宋体" w:cs="宋体"/>
                <w:spacing w:val="2"/>
                <w:szCs w:val="21"/>
              </w:rPr>
            </w:pPr>
            <w:r>
              <w:rPr>
                <w:rFonts w:hint="eastAsia" w:ascii="宋体" w:hAnsi="宋体" w:cs="宋体"/>
                <w:spacing w:val="2"/>
                <w:szCs w:val="21"/>
              </w:rPr>
              <w:t>未及时将适用的法律、法规、标准及其他要求向相关方进行传达，一项不符合扣1分。</w:t>
            </w:r>
          </w:p>
        </w:tc>
        <w:tc>
          <w:tcPr>
            <w:tcW w:w="1165" w:type="dxa"/>
            <w:vAlign w:val="center"/>
          </w:tcPr>
          <w:p>
            <w:pPr>
              <w:spacing w:line="280" w:lineRule="exact"/>
              <w:jc w:val="center"/>
              <w:rPr>
                <w:rFonts w:ascii="宋体" w:hAnsi="宋体" w:cs="宋体"/>
                <w:spacing w:val="2"/>
                <w:szCs w:val="21"/>
              </w:rPr>
            </w:pPr>
            <w:r>
              <w:rPr>
                <w:rFonts w:hint="eastAsia" w:ascii="宋体" w:hAnsi="宋体" w:cs="宋体"/>
                <w:szCs w:val="21"/>
              </w:rPr>
              <w:t>符合要求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771" w:type="dxa"/>
            <w:vMerge w:val="continue"/>
          </w:tcPr>
          <w:p>
            <w:pPr>
              <w:spacing w:line="280" w:lineRule="exact"/>
              <w:ind w:firstLine="422"/>
              <w:rPr>
                <w:rFonts w:ascii="宋体" w:hAnsi="宋体" w:cs="宋体"/>
                <w:b/>
                <w:bCs/>
                <w:szCs w:val="21"/>
              </w:rPr>
            </w:pPr>
          </w:p>
        </w:tc>
        <w:tc>
          <w:tcPr>
            <w:tcW w:w="709" w:type="dxa"/>
          </w:tcPr>
          <w:p>
            <w:pPr>
              <w:spacing w:line="280" w:lineRule="exact"/>
              <w:rPr>
                <w:rFonts w:ascii="宋体" w:hAnsi="宋体" w:cs="宋体"/>
                <w:b/>
                <w:bCs/>
                <w:szCs w:val="21"/>
              </w:rPr>
            </w:pPr>
            <w:r>
              <w:rPr>
                <w:rFonts w:hint="eastAsia" w:ascii="宋体" w:hAnsi="宋体" w:cs="宋体"/>
                <w:b/>
                <w:bCs/>
                <w:szCs w:val="21"/>
              </w:rPr>
              <w:t>1.2法律、法规和标准符合性评价</w:t>
            </w:r>
          </w:p>
          <w:p>
            <w:pPr>
              <w:spacing w:line="280" w:lineRule="exact"/>
              <w:rPr>
                <w:rFonts w:ascii="宋体" w:hAnsi="宋体" w:cs="宋体"/>
                <w:b/>
                <w:bCs/>
                <w:szCs w:val="21"/>
              </w:rPr>
            </w:pPr>
            <w:r>
              <w:rPr>
                <w:rFonts w:hint="eastAsia" w:ascii="宋体" w:hAnsi="宋体" w:cs="宋体"/>
                <w:b/>
                <w:bCs/>
                <w:szCs w:val="21"/>
              </w:rPr>
              <w:t>（50分）</w:t>
            </w:r>
          </w:p>
        </w:tc>
        <w:tc>
          <w:tcPr>
            <w:tcW w:w="2409" w:type="dxa"/>
          </w:tcPr>
          <w:p>
            <w:pPr>
              <w:spacing w:line="280" w:lineRule="exact"/>
              <w:rPr>
                <w:rFonts w:ascii="宋体" w:hAnsi="宋体" w:cs="宋体"/>
                <w:spacing w:val="2"/>
                <w:szCs w:val="21"/>
              </w:rPr>
            </w:pPr>
            <w:r>
              <w:rPr>
                <w:rFonts w:hint="eastAsia" w:ascii="宋体" w:hAnsi="宋体" w:cs="宋体"/>
                <w:spacing w:val="2"/>
                <w:szCs w:val="21"/>
              </w:rPr>
              <w:t>企业应每年至少1次对适用的安全生产法律、法规、标准及其他要求的执行情况进行符合性评价，消除违规现象和行为。</w:t>
            </w:r>
          </w:p>
        </w:tc>
        <w:tc>
          <w:tcPr>
            <w:tcW w:w="2268" w:type="dxa"/>
          </w:tcPr>
          <w:p>
            <w:pPr>
              <w:spacing w:line="280" w:lineRule="exact"/>
              <w:rPr>
                <w:rFonts w:ascii="宋体" w:hAnsi="宋体" w:cs="宋体"/>
                <w:spacing w:val="2"/>
                <w:szCs w:val="21"/>
              </w:rPr>
            </w:pPr>
            <w:r>
              <w:rPr>
                <w:rFonts w:hint="eastAsia" w:ascii="宋体" w:hAnsi="宋体" w:cs="宋体"/>
                <w:spacing w:val="2"/>
                <w:szCs w:val="21"/>
              </w:rPr>
              <w:t>1.每年至少1次对适用的安全生产法律、法规、标准及其他有关要求的执行情况进行符合性评价；</w:t>
            </w:r>
          </w:p>
          <w:p>
            <w:pPr>
              <w:spacing w:line="280" w:lineRule="exact"/>
              <w:rPr>
                <w:rFonts w:ascii="宋体" w:hAnsi="宋体" w:cs="宋体"/>
                <w:spacing w:val="2"/>
                <w:szCs w:val="21"/>
              </w:rPr>
            </w:pPr>
            <w:r>
              <w:rPr>
                <w:rFonts w:hint="eastAsia" w:ascii="宋体" w:hAnsi="宋体" w:cs="宋体"/>
                <w:spacing w:val="2"/>
                <w:szCs w:val="21"/>
              </w:rPr>
              <w:t>2.对评价出的不符合项进行原因分析，制定整改计划和措施；</w:t>
            </w:r>
          </w:p>
          <w:p>
            <w:pPr>
              <w:spacing w:line="280" w:lineRule="exact"/>
              <w:rPr>
                <w:rFonts w:ascii="宋体" w:hAnsi="宋体" w:cs="宋体"/>
                <w:spacing w:val="2"/>
                <w:szCs w:val="21"/>
              </w:rPr>
            </w:pPr>
            <w:r>
              <w:rPr>
                <w:rFonts w:hint="eastAsia" w:ascii="宋体" w:hAnsi="宋体" w:cs="宋体"/>
                <w:spacing w:val="2"/>
                <w:szCs w:val="21"/>
              </w:rPr>
              <w:t>3.编制符合性评价报告。</w:t>
            </w:r>
          </w:p>
        </w:tc>
        <w:tc>
          <w:tcPr>
            <w:tcW w:w="2268" w:type="dxa"/>
          </w:tcPr>
          <w:p>
            <w:pPr>
              <w:spacing w:line="280" w:lineRule="exact"/>
              <w:rPr>
                <w:rFonts w:ascii="宋体" w:hAnsi="宋体" w:cs="宋体"/>
                <w:spacing w:val="2"/>
                <w:szCs w:val="21"/>
              </w:rPr>
            </w:pPr>
            <w:r>
              <w:rPr>
                <w:rFonts w:hint="eastAsia" w:ascii="宋体" w:hAnsi="宋体" w:cs="宋体"/>
                <w:spacing w:val="2"/>
                <w:szCs w:val="21"/>
              </w:rPr>
              <w:t>查文件：</w:t>
            </w:r>
          </w:p>
          <w:p>
            <w:pPr>
              <w:spacing w:line="280" w:lineRule="exact"/>
              <w:rPr>
                <w:rFonts w:ascii="宋体" w:hAnsi="宋体" w:cs="宋体"/>
                <w:spacing w:val="2"/>
                <w:szCs w:val="21"/>
              </w:rPr>
            </w:pPr>
            <w:r>
              <w:rPr>
                <w:rFonts w:hint="eastAsia" w:ascii="宋体" w:hAnsi="宋体" w:cs="宋体"/>
                <w:spacing w:val="2"/>
                <w:szCs w:val="21"/>
              </w:rPr>
              <w:t>1.符合性评价报告、记录；</w:t>
            </w:r>
          </w:p>
          <w:p>
            <w:pPr>
              <w:spacing w:line="280" w:lineRule="exact"/>
              <w:rPr>
                <w:rFonts w:ascii="宋体" w:hAnsi="宋体" w:cs="宋体"/>
                <w:spacing w:val="2"/>
                <w:szCs w:val="21"/>
              </w:rPr>
            </w:pPr>
            <w:r>
              <w:rPr>
                <w:rFonts w:hint="eastAsia" w:ascii="宋体" w:hAnsi="宋体" w:cs="宋体"/>
                <w:spacing w:val="2"/>
                <w:szCs w:val="21"/>
              </w:rPr>
              <w:t>2.不符合项整改记录。</w:t>
            </w:r>
          </w:p>
        </w:tc>
        <w:tc>
          <w:tcPr>
            <w:tcW w:w="1701" w:type="dxa"/>
          </w:tcPr>
          <w:p>
            <w:pPr>
              <w:spacing w:line="280" w:lineRule="exact"/>
              <w:rPr>
                <w:rFonts w:ascii="宋体" w:hAnsi="宋体" w:cs="宋体"/>
                <w:spacing w:val="2"/>
                <w:szCs w:val="21"/>
              </w:rPr>
            </w:pPr>
            <w:r>
              <w:rPr>
                <w:rFonts w:hint="eastAsia" w:ascii="宋体" w:hAnsi="宋体" w:cs="宋体"/>
                <w:b/>
                <w:bCs/>
                <w:spacing w:val="2"/>
                <w:szCs w:val="21"/>
              </w:rPr>
              <w:t>未进行符合性评价，扣50分（B级要素否决项）。</w:t>
            </w:r>
          </w:p>
        </w:tc>
        <w:tc>
          <w:tcPr>
            <w:tcW w:w="2268" w:type="dxa"/>
          </w:tcPr>
          <w:p>
            <w:pPr>
              <w:spacing w:line="280" w:lineRule="exact"/>
              <w:rPr>
                <w:rFonts w:ascii="宋体" w:hAnsi="宋体" w:cs="宋体"/>
                <w:spacing w:val="2"/>
                <w:szCs w:val="21"/>
              </w:rPr>
            </w:pPr>
            <w:r>
              <w:rPr>
                <w:rFonts w:hint="eastAsia" w:ascii="宋体" w:hAnsi="宋体" w:cs="宋体"/>
                <w:spacing w:val="2"/>
                <w:szCs w:val="21"/>
              </w:rPr>
              <w:t>1.未编制符合性评价报告，扣5分；</w:t>
            </w:r>
          </w:p>
          <w:p>
            <w:pPr>
              <w:spacing w:line="280" w:lineRule="exact"/>
              <w:rPr>
                <w:rFonts w:ascii="宋体" w:hAnsi="宋体" w:cs="宋体"/>
                <w:spacing w:val="2"/>
                <w:szCs w:val="21"/>
              </w:rPr>
            </w:pPr>
            <w:r>
              <w:rPr>
                <w:rFonts w:hint="eastAsia" w:ascii="宋体" w:hAnsi="宋体" w:cs="宋体"/>
                <w:spacing w:val="2"/>
                <w:szCs w:val="21"/>
              </w:rPr>
              <w:t>2.未对所有适用的法律、法规、标准及其他有关要求进行评价，一项扣2分；</w:t>
            </w:r>
          </w:p>
          <w:p>
            <w:pPr>
              <w:spacing w:line="280" w:lineRule="exact"/>
              <w:rPr>
                <w:rFonts w:ascii="宋体" w:hAnsi="宋体" w:cs="宋体"/>
                <w:spacing w:val="2"/>
                <w:szCs w:val="21"/>
              </w:rPr>
            </w:pPr>
            <w:r>
              <w:rPr>
                <w:rFonts w:hint="eastAsia" w:ascii="宋体" w:hAnsi="宋体" w:cs="宋体"/>
                <w:spacing w:val="2"/>
                <w:szCs w:val="21"/>
              </w:rPr>
              <w:t>3.对评价出的不符合项未进行原因分析的，一项扣2分；未制定整改计划或整改措施，或整改措施不落实，一项扣2分。</w:t>
            </w:r>
          </w:p>
        </w:tc>
        <w:tc>
          <w:tcPr>
            <w:tcW w:w="1165" w:type="dxa"/>
            <w:vAlign w:val="center"/>
          </w:tcPr>
          <w:p>
            <w:pPr>
              <w:jc w:val="center"/>
              <w:rPr>
                <w:rFonts w:ascii="宋体" w:hAnsi="宋体" w:cs="宋体"/>
                <w:spacing w:val="2"/>
                <w:szCs w:val="21"/>
              </w:rPr>
            </w:pPr>
            <w:r>
              <w:rPr>
                <w:rFonts w:hint="eastAsia" w:ascii="宋体" w:hAnsi="宋体" w:cs="宋体"/>
                <w:spacing w:val="2"/>
                <w:szCs w:val="21"/>
              </w:rPr>
              <w:t>对评价出的不符合项未进行整改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771" w:type="dxa"/>
            <w:vMerge w:val="restart"/>
          </w:tcPr>
          <w:p>
            <w:pPr>
              <w:spacing w:line="280" w:lineRule="exact"/>
              <w:rPr>
                <w:rFonts w:ascii="宋体" w:hAnsi="宋体" w:cs="宋体"/>
                <w:b/>
                <w:bCs/>
                <w:szCs w:val="21"/>
              </w:rPr>
            </w:pPr>
            <w:r>
              <w:rPr>
                <w:rFonts w:hint="eastAsia" w:ascii="宋体" w:hAnsi="宋体" w:cs="宋体"/>
                <w:b/>
                <w:bCs/>
                <w:szCs w:val="21"/>
              </w:rPr>
              <w:t>2 机构和职责</w:t>
            </w:r>
          </w:p>
          <w:p>
            <w:pPr>
              <w:spacing w:line="280" w:lineRule="exact"/>
              <w:rPr>
                <w:rFonts w:ascii="宋体" w:hAnsi="宋体" w:cs="宋体"/>
                <w:b/>
                <w:bCs/>
                <w:szCs w:val="21"/>
              </w:rPr>
            </w:pPr>
            <w:r>
              <w:rPr>
                <w:rFonts w:hint="eastAsia" w:ascii="宋体" w:hAnsi="宋体" w:cs="宋体"/>
                <w:b/>
                <w:bCs/>
                <w:szCs w:val="21"/>
              </w:rPr>
              <w:t>（100分）</w:t>
            </w:r>
          </w:p>
          <w:p>
            <w:pPr>
              <w:spacing w:line="280" w:lineRule="exact"/>
              <w:rPr>
                <w:rFonts w:ascii="宋体" w:hAnsi="宋体" w:cs="宋体"/>
                <w:b/>
                <w:bCs/>
                <w:szCs w:val="21"/>
              </w:rPr>
            </w:pPr>
          </w:p>
        </w:tc>
        <w:tc>
          <w:tcPr>
            <w:tcW w:w="709" w:type="dxa"/>
            <w:vMerge w:val="restart"/>
          </w:tcPr>
          <w:p>
            <w:pPr>
              <w:spacing w:line="280" w:lineRule="exact"/>
              <w:rPr>
                <w:rFonts w:ascii="宋体" w:hAnsi="宋体" w:cs="宋体"/>
                <w:b/>
                <w:bCs/>
                <w:szCs w:val="21"/>
              </w:rPr>
            </w:pPr>
            <w:r>
              <w:rPr>
                <w:rFonts w:hint="eastAsia" w:ascii="宋体" w:hAnsi="宋体" w:cs="宋体"/>
                <w:b/>
                <w:bCs/>
                <w:szCs w:val="21"/>
              </w:rPr>
              <w:t>2.1 方针目标</w:t>
            </w:r>
          </w:p>
          <w:p>
            <w:pPr>
              <w:spacing w:line="280" w:lineRule="exact"/>
              <w:rPr>
                <w:rFonts w:ascii="宋体" w:hAnsi="宋体" w:cs="宋体"/>
                <w:b/>
                <w:bCs/>
                <w:szCs w:val="21"/>
              </w:rPr>
            </w:pPr>
            <w:r>
              <w:rPr>
                <w:rFonts w:hint="eastAsia" w:ascii="宋体" w:hAnsi="宋体" w:cs="宋体"/>
                <w:b/>
                <w:bCs/>
                <w:szCs w:val="21"/>
              </w:rPr>
              <w:t>（20分）</w:t>
            </w:r>
          </w:p>
        </w:tc>
        <w:tc>
          <w:tcPr>
            <w:tcW w:w="2409" w:type="dxa"/>
          </w:tcPr>
          <w:p>
            <w:pPr>
              <w:spacing w:line="280" w:lineRule="exact"/>
              <w:rPr>
                <w:rFonts w:ascii="宋体" w:hAnsi="宋体" w:cs="宋体"/>
                <w:spacing w:val="2"/>
                <w:szCs w:val="21"/>
              </w:rPr>
            </w:pPr>
            <w:r>
              <w:rPr>
                <w:rFonts w:hint="eastAsia" w:ascii="宋体" w:hAnsi="宋体" w:cs="宋体"/>
                <w:spacing w:val="2"/>
                <w:szCs w:val="21"/>
              </w:rPr>
              <w:t>1.企业应坚持“安全第一，预防为主，综合治理”的安全生产方针。主要负责人应依据国家法律法规，结合企业实际，组织制定文件化的安全生产方针和目标。安全生产方针和目标应满足：</w:t>
            </w:r>
          </w:p>
          <w:p>
            <w:pPr>
              <w:spacing w:line="280" w:lineRule="exact"/>
              <w:rPr>
                <w:rFonts w:ascii="宋体" w:hAnsi="宋体" w:cs="宋体"/>
                <w:spacing w:val="2"/>
                <w:szCs w:val="21"/>
              </w:rPr>
            </w:pPr>
            <w:r>
              <w:rPr>
                <w:rFonts w:hint="eastAsia" w:ascii="宋体" w:hAnsi="宋体" w:cs="宋体"/>
                <w:spacing w:val="2"/>
                <w:szCs w:val="21"/>
              </w:rPr>
              <w:t>（1）形成文件，并得到所有从业人员的贯彻和实施；</w:t>
            </w:r>
          </w:p>
          <w:p>
            <w:pPr>
              <w:spacing w:line="280" w:lineRule="exact"/>
              <w:rPr>
                <w:rFonts w:ascii="宋体" w:hAnsi="宋体" w:cs="宋体"/>
                <w:spacing w:val="2"/>
                <w:szCs w:val="21"/>
              </w:rPr>
            </w:pPr>
            <w:r>
              <w:rPr>
                <w:rFonts w:hint="eastAsia" w:ascii="宋体" w:hAnsi="宋体" w:cs="宋体"/>
                <w:spacing w:val="2"/>
                <w:szCs w:val="21"/>
              </w:rPr>
              <w:t>（2）符合或严于相关法律法规的要求；</w:t>
            </w:r>
          </w:p>
          <w:p>
            <w:pPr>
              <w:spacing w:line="280" w:lineRule="exact"/>
              <w:rPr>
                <w:rFonts w:ascii="宋体" w:hAnsi="宋体" w:cs="宋体"/>
                <w:spacing w:val="2"/>
                <w:szCs w:val="21"/>
              </w:rPr>
            </w:pPr>
            <w:r>
              <w:rPr>
                <w:rFonts w:hint="eastAsia" w:ascii="宋体" w:hAnsi="宋体" w:cs="宋体"/>
                <w:spacing w:val="2"/>
                <w:szCs w:val="21"/>
              </w:rPr>
              <w:t>（3）与企业的职业安全健康风险相适应；</w:t>
            </w:r>
          </w:p>
          <w:p>
            <w:pPr>
              <w:spacing w:line="280" w:lineRule="exact"/>
              <w:rPr>
                <w:rFonts w:ascii="宋体" w:hAnsi="宋体" w:cs="宋体"/>
                <w:spacing w:val="2"/>
                <w:szCs w:val="21"/>
              </w:rPr>
            </w:pPr>
            <w:r>
              <w:rPr>
                <w:rFonts w:hint="eastAsia" w:ascii="宋体" w:hAnsi="宋体" w:cs="宋体"/>
                <w:spacing w:val="2"/>
                <w:szCs w:val="21"/>
              </w:rPr>
              <w:t>（4）目标予以量化；</w:t>
            </w:r>
          </w:p>
          <w:p>
            <w:pPr>
              <w:spacing w:line="280" w:lineRule="exact"/>
              <w:rPr>
                <w:rFonts w:ascii="宋体" w:hAnsi="宋体" w:cs="宋体"/>
                <w:spacing w:val="2"/>
                <w:szCs w:val="21"/>
              </w:rPr>
            </w:pPr>
            <w:r>
              <w:rPr>
                <w:rFonts w:hint="eastAsia" w:ascii="宋体" w:hAnsi="宋体" w:cs="宋体"/>
                <w:spacing w:val="2"/>
                <w:szCs w:val="21"/>
              </w:rPr>
              <w:t>（5）公众易于获得。</w:t>
            </w:r>
          </w:p>
        </w:tc>
        <w:tc>
          <w:tcPr>
            <w:tcW w:w="2268" w:type="dxa"/>
          </w:tcPr>
          <w:p>
            <w:pPr>
              <w:spacing w:line="280" w:lineRule="exact"/>
              <w:rPr>
                <w:rFonts w:ascii="宋体" w:hAnsi="宋体" w:cs="宋体"/>
                <w:spacing w:val="2"/>
                <w:szCs w:val="21"/>
              </w:rPr>
            </w:pPr>
            <w:r>
              <w:rPr>
                <w:rFonts w:hint="eastAsia" w:ascii="宋体" w:hAnsi="宋体" w:cs="宋体"/>
                <w:spacing w:val="2"/>
                <w:szCs w:val="21"/>
              </w:rPr>
              <w:t>1.主要负责人组织制定符合本企业实际的、文件化的安全生产方针；</w:t>
            </w:r>
          </w:p>
          <w:p>
            <w:pPr>
              <w:spacing w:line="280" w:lineRule="exact"/>
              <w:rPr>
                <w:rFonts w:ascii="宋体" w:hAnsi="宋体" w:cs="宋体"/>
                <w:spacing w:val="2"/>
                <w:szCs w:val="21"/>
              </w:rPr>
            </w:pPr>
            <w:r>
              <w:rPr>
                <w:rFonts w:hint="eastAsia" w:ascii="宋体" w:hAnsi="宋体" w:cs="宋体"/>
                <w:spacing w:val="2"/>
                <w:szCs w:val="21"/>
              </w:rPr>
              <w:t>2.主要负责人组织制定符合企业实际的、文件化的年度安全生产目标；</w:t>
            </w:r>
          </w:p>
          <w:p>
            <w:pPr>
              <w:spacing w:line="280" w:lineRule="exact"/>
              <w:rPr>
                <w:rFonts w:ascii="宋体" w:hAnsi="宋体" w:cs="宋体"/>
                <w:spacing w:val="2"/>
                <w:szCs w:val="21"/>
              </w:rPr>
            </w:pPr>
            <w:r>
              <w:rPr>
                <w:rFonts w:hint="eastAsia" w:ascii="宋体" w:hAnsi="宋体" w:cs="宋体"/>
                <w:spacing w:val="2"/>
                <w:szCs w:val="21"/>
              </w:rPr>
              <w:t>3.安全生产目标应满足：</w:t>
            </w:r>
          </w:p>
          <w:p>
            <w:pPr>
              <w:spacing w:line="280" w:lineRule="exact"/>
              <w:rPr>
                <w:rFonts w:ascii="宋体" w:hAnsi="宋体" w:cs="宋体"/>
                <w:spacing w:val="2"/>
                <w:szCs w:val="21"/>
              </w:rPr>
            </w:pPr>
            <w:r>
              <w:rPr>
                <w:rFonts w:hint="eastAsia" w:ascii="宋体" w:hAnsi="宋体" w:cs="宋体"/>
                <w:spacing w:val="2"/>
                <w:szCs w:val="21"/>
              </w:rPr>
              <w:t>（1）形成文件，并得到所有从业人员的贯彻和实施；</w:t>
            </w:r>
          </w:p>
          <w:p>
            <w:pPr>
              <w:spacing w:line="280" w:lineRule="exact"/>
              <w:rPr>
                <w:rFonts w:ascii="宋体" w:hAnsi="宋体" w:cs="宋体"/>
                <w:spacing w:val="2"/>
                <w:szCs w:val="21"/>
              </w:rPr>
            </w:pPr>
            <w:r>
              <w:rPr>
                <w:rFonts w:hint="eastAsia" w:ascii="宋体" w:hAnsi="宋体" w:cs="宋体"/>
                <w:spacing w:val="2"/>
                <w:szCs w:val="21"/>
              </w:rPr>
              <w:t>（2）符合或严于相关法律法规的要求；</w:t>
            </w:r>
          </w:p>
          <w:p>
            <w:pPr>
              <w:spacing w:line="280" w:lineRule="exact"/>
              <w:rPr>
                <w:rFonts w:ascii="宋体" w:hAnsi="宋体" w:cs="宋体"/>
                <w:spacing w:val="2"/>
                <w:szCs w:val="21"/>
              </w:rPr>
            </w:pPr>
            <w:r>
              <w:rPr>
                <w:rFonts w:hint="eastAsia" w:ascii="宋体" w:hAnsi="宋体" w:cs="宋体"/>
                <w:spacing w:val="2"/>
                <w:szCs w:val="21"/>
              </w:rPr>
              <w:t>（3）与企业的职业安全健康风险相适应；</w:t>
            </w:r>
          </w:p>
          <w:p>
            <w:pPr>
              <w:spacing w:line="280" w:lineRule="exact"/>
              <w:rPr>
                <w:rFonts w:ascii="宋体" w:hAnsi="宋体" w:cs="宋体"/>
                <w:spacing w:val="2"/>
                <w:szCs w:val="21"/>
              </w:rPr>
            </w:pPr>
            <w:r>
              <w:rPr>
                <w:rFonts w:hint="eastAsia" w:ascii="宋体" w:hAnsi="宋体" w:cs="宋体"/>
                <w:spacing w:val="2"/>
                <w:szCs w:val="21"/>
              </w:rPr>
              <w:t>（4）根据安全生产目标制定量化的安全生产工作指标；</w:t>
            </w:r>
          </w:p>
          <w:p>
            <w:pPr>
              <w:spacing w:line="280" w:lineRule="exact"/>
              <w:rPr>
                <w:rFonts w:ascii="宋体" w:hAnsi="宋体" w:cs="宋体"/>
                <w:spacing w:val="2"/>
                <w:szCs w:val="21"/>
              </w:rPr>
            </w:pPr>
            <w:r>
              <w:rPr>
                <w:rFonts w:hint="eastAsia" w:ascii="宋体" w:hAnsi="宋体" w:cs="宋体"/>
                <w:spacing w:val="2"/>
                <w:szCs w:val="21"/>
              </w:rPr>
              <w:t>（5）应以公众易于获得的方式发布安全生产目标。</w:t>
            </w:r>
          </w:p>
        </w:tc>
        <w:tc>
          <w:tcPr>
            <w:tcW w:w="2268" w:type="dxa"/>
          </w:tcPr>
          <w:p>
            <w:pPr>
              <w:spacing w:line="280" w:lineRule="exact"/>
              <w:rPr>
                <w:rFonts w:ascii="宋体" w:hAnsi="宋体" w:cs="宋体"/>
                <w:spacing w:val="2"/>
                <w:szCs w:val="21"/>
              </w:rPr>
            </w:pPr>
            <w:r>
              <w:rPr>
                <w:rFonts w:hint="eastAsia" w:ascii="宋体" w:hAnsi="宋体" w:cs="宋体"/>
                <w:spacing w:val="2"/>
                <w:szCs w:val="21"/>
              </w:rPr>
              <w:t>查文件：</w:t>
            </w:r>
          </w:p>
          <w:p>
            <w:pPr>
              <w:spacing w:line="280" w:lineRule="exact"/>
              <w:rPr>
                <w:rFonts w:ascii="宋体" w:hAnsi="宋体" w:cs="宋体"/>
                <w:spacing w:val="2"/>
                <w:szCs w:val="21"/>
              </w:rPr>
            </w:pPr>
            <w:r>
              <w:rPr>
                <w:rFonts w:hint="eastAsia" w:ascii="宋体" w:hAnsi="宋体" w:cs="宋体"/>
                <w:spacing w:val="2"/>
                <w:szCs w:val="21"/>
              </w:rPr>
              <w:t>安全生产方针，年度安全生产目标。</w:t>
            </w:r>
          </w:p>
          <w:p>
            <w:pPr>
              <w:spacing w:line="280" w:lineRule="exact"/>
              <w:rPr>
                <w:rFonts w:ascii="宋体" w:hAnsi="宋体" w:cs="宋体"/>
                <w:spacing w:val="2"/>
                <w:szCs w:val="21"/>
              </w:rPr>
            </w:pPr>
            <w:r>
              <w:rPr>
                <w:rFonts w:hint="eastAsia" w:ascii="宋体" w:hAnsi="宋体" w:cs="宋体"/>
                <w:spacing w:val="2"/>
                <w:szCs w:val="21"/>
              </w:rPr>
              <w:t>询问：</w:t>
            </w:r>
          </w:p>
          <w:p>
            <w:pPr>
              <w:spacing w:line="280" w:lineRule="exact"/>
              <w:rPr>
                <w:rFonts w:ascii="宋体" w:hAnsi="宋体" w:cs="宋体"/>
                <w:spacing w:val="2"/>
                <w:szCs w:val="21"/>
              </w:rPr>
            </w:pPr>
            <w:r>
              <w:rPr>
                <w:rFonts w:hint="eastAsia" w:ascii="宋体" w:hAnsi="宋体" w:cs="宋体"/>
                <w:spacing w:val="2"/>
                <w:szCs w:val="21"/>
              </w:rPr>
              <w:t>抽查从业人员是否知道本企业安全生产方针和安全生产目标。</w:t>
            </w:r>
          </w:p>
          <w:p>
            <w:pPr>
              <w:spacing w:line="280" w:lineRule="exact"/>
              <w:rPr>
                <w:rFonts w:ascii="宋体" w:hAnsi="宋体" w:cs="宋体"/>
                <w:spacing w:val="2"/>
                <w:szCs w:val="21"/>
              </w:rPr>
            </w:pPr>
            <w:r>
              <w:rPr>
                <w:rFonts w:hint="eastAsia" w:ascii="宋体" w:hAnsi="宋体" w:cs="宋体"/>
                <w:spacing w:val="2"/>
                <w:szCs w:val="21"/>
              </w:rPr>
              <w:t>现场检查：</w:t>
            </w:r>
          </w:p>
          <w:p>
            <w:pPr>
              <w:spacing w:line="280" w:lineRule="exact"/>
              <w:rPr>
                <w:rFonts w:ascii="宋体" w:hAnsi="宋体" w:cs="宋体"/>
                <w:spacing w:val="2"/>
                <w:szCs w:val="21"/>
              </w:rPr>
            </w:pPr>
            <w:r>
              <w:rPr>
                <w:rFonts w:hint="eastAsia" w:ascii="宋体" w:hAnsi="宋体" w:cs="宋体"/>
                <w:spacing w:val="2"/>
                <w:szCs w:val="21"/>
              </w:rPr>
              <w:t>安全生产方针和安全生产目标告知情况。</w:t>
            </w:r>
          </w:p>
        </w:tc>
        <w:tc>
          <w:tcPr>
            <w:tcW w:w="1701" w:type="dxa"/>
          </w:tcPr>
          <w:p>
            <w:pPr>
              <w:spacing w:line="280" w:lineRule="exact"/>
              <w:rPr>
                <w:rFonts w:ascii="宋体" w:hAnsi="宋体" w:cs="宋体"/>
                <w:b/>
                <w:bCs/>
                <w:spacing w:val="2"/>
                <w:szCs w:val="21"/>
              </w:rPr>
            </w:pPr>
            <w:r>
              <w:rPr>
                <w:rFonts w:hint="eastAsia" w:ascii="宋体" w:hAnsi="宋体" w:cs="宋体"/>
                <w:b/>
                <w:bCs/>
                <w:spacing w:val="2"/>
                <w:szCs w:val="21"/>
              </w:rPr>
              <w:t>未制定安全生产方针或年度安全生产目标，扣20分（B级要素否决项）。</w:t>
            </w:r>
          </w:p>
        </w:tc>
        <w:tc>
          <w:tcPr>
            <w:tcW w:w="2268" w:type="dxa"/>
          </w:tcPr>
          <w:p>
            <w:pPr>
              <w:spacing w:line="280" w:lineRule="exact"/>
              <w:rPr>
                <w:rFonts w:ascii="宋体" w:hAnsi="宋体" w:cs="宋体"/>
                <w:spacing w:val="2"/>
                <w:szCs w:val="21"/>
              </w:rPr>
            </w:pPr>
            <w:r>
              <w:rPr>
                <w:rFonts w:hint="eastAsia" w:ascii="宋体" w:hAnsi="宋体" w:cs="宋体"/>
                <w:spacing w:val="2"/>
                <w:szCs w:val="21"/>
              </w:rPr>
              <w:t>1.缺一项扣2分；</w:t>
            </w:r>
          </w:p>
          <w:p>
            <w:pPr>
              <w:spacing w:line="280" w:lineRule="exact"/>
              <w:rPr>
                <w:rFonts w:ascii="宋体" w:hAnsi="宋体" w:cs="宋体"/>
                <w:spacing w:val="2"/>
                <w:szCs w:val="21"/>
              </w:rPr>
            </w:pPr>
            <w:r>
              <w:rPr>
                <w:rFonts w:hint="eastAsia" w:ascii="宋体" w:hAnsi="宋体" w:cs="宋体"/>
                <w:spacing w:val="2"/>
                <w:szCs w:val="21"/>
              </w:rPr>
              <w:t>2.安全生产目标不满足标准要求，一项不符合扣1分；</w:t>
            </w:r>
          </w:p>
          <w:p>
            <w:pPr>
              <w:spacing w:line="280" w:lineRule="exact"/>
              <w:rPr>
                <w:rFonts w:ascii="宋体" w:hAnsi="宋体" w:cs="宋体"/>
                <w:spacing w:val="2"/>
                <w:szCs w:val="21"/>
              </w:rPr>
            </w:pPr>
            <w:r>
              <w:rPr>
                <w:rFonts w:hint="eastAsia" w:ascii="宋体" w:hAnsi="宋体" w:cs="宋体"/>
                <w:spacing w:val="2"/>
                <w:szCs w:val="21"/>
              </w:rPr>
              <w:t>3.从业人员不了解安全生产方针或安全生产目标，1人次扣1分；</w:t>
            </w:r>
          </w:p>
          <w:p>
            <w:pPr>
              <w:spacing w:line="280" w:lineRule="exact"/>
              <w:rPr>
                <w:rFonts w:ascii="宋体" w:hAnsi="宋体" w:cs="宋体"/>
                <w:spacing w:val="2"/>
                <w:szCs w:val="21"/>
              </w:rPr>
            </w:pPr>
            <w:r>
              <w:rPr>
                <w:rFonts w:hint="eastAsia" w:ascii="宋体" w:hAnsi="宋体" w:cs="宋体"/>
                <w:spacing w:val="2"/>
                <w:szCs w:val="21"/>
              </w:rPr>
              <w:t>4．没有制定安全生产工作指标或指标未进行量化，扣2分；</w:t>
            </w:r>
          </w:p>
          <w:p>
            <w:pPr>
              <w:spacing w:line="280" w:lineRule="exact"/>
              <w:rPr>
                <w:rFonts w:ascii="宋体" w:hAnsi="宋体" w:cs="宋体"/>
                <w:spacing w:val="2"/>
                <w:szCs w:val="21"/>
              </w:rPr>
            </w:pPr>
            <w:r>
              <w:rPr>
                <w:rFonts w:hint="eastAsia" w:ascii="宋体" w:hAnsi="宋体" w:cs="宋体"/>
                <w:spacing w:val="2"/>
                <w:szCs w:val="21"/>
              </w:rPr>
              <w:t>5.发布安全生产目标的方式不符合公众易于获得的要求，扣2分。</w:t>
            </w:r>
          </w:p>
        </w:tc>
        <w:tc>
          <w:tcPr>
            <w:tcW w:w="1165" w:type="dxa"/>
            <w:vAlign w:val="center"/>
          </w:tcPr>
          <w:p>
            <w:pPr>
              <w:jc w:val="center"/>
              <w:rPr>
                <w:rFonts w:ascii="宋体" w:hAnsi="宋体" w:cs="宋体"/>
                <w:szCs w:val="21"/>
              </w:rPr>
            </w:pPr>
            <w:r>
              <w:rPr>
                <w:rFonts w:hint="eastAsia" w:ascii="宋体" w:hAnsi="宋体" w:cs="宋体"/>
                <w:szCs w:val="21"/>
              </w:rPr>
              <w:t>现场询问岗位人员不了解安全生产方针或安全生产目标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771" w:type="dxa"/>
            <w:vMerge w:val="continue"/>
          </w:tcPr>
          <w:p>
            <w:pPr>
              <w:spacing w:line="280" w:lineRule="exact"/>
              <w:rPr>
                <w:rFonts w:ascii="宋体" w:hAnsi="宋体" w:cs="宋体"/>
                <w:b/>
                <w:bCs/>
                <w:szCs w:val="21"/>
              </w:rPr>
            </w:pPr>
          </w:p>
        </w:tc>
        <w:tc>
          <w:tcPr>
            <w:tcW w:w="709" w:type="dxa"/>
            <w:vMerge w:val="continue"/>
          </w:tcPr>
          <w:p>
            <w:pPr>
              <w:spacing w:line="280" w:lineRule="exact"/>
              <w:rPr>
                <w:rFonts w:ascii="宋体" w:hAnsi="宋体" w:cs="宋体"/>
                <w:b/>
                <w:bCs/>
                <w:szCs w:val="21"/>
              </w:rPr>
            </w:pPr>
          </w:p>
        </w:tc>
        <w:tc>
          <w:tcPr>
            <w:tcW w:w="2409" w:type="dxa"/>
          </w:tcPr>
          <w:p>
            <w:pPr>
              <w:spacing w:line="280" w:lineRule="exact"/>
              <w:rPr>
                <w:rFonts w:ascii="宋体" w:hAnsi="宋体" w:cs="宋体"/>
                <w:spacing w:val="2"/>
                <w:szCs w:val="21"/>
              </w:rPr>
            </w:pPr>
            <w:r>
              <w:rPr>
                <w:rFonts w:hint="eastAsia" w:ascii="宋体" w:hAnsi="宋体" w:cs="宋体"/>
                <w:spacing w:val="2"/>
                <w:szCs w:val="21"/>
              </w:rPr>
              <w:t>2.企业应签订各级组织的安全目标责任书，确定量化的年度安全工作目标，并予以考核。企业各级组织应制定年度安全工作计划，以保证年度安全工作目标的有效完成。</w:t>
            </w:r>
          </w:p>
        </w:tc>
        <w:tc>
          <w:tcPr>
            <w:tcW w:w="2268" w:type="dxa"/>
          </w:tcPr>
          <w:p>
            <w:pPr>
              <w:spacing w:line="280" w:lineRule="exact"/>
              <w:rPr>
                <w:rFonts w:ascii="宋体" w:hAnsi="宋体" w:cs="宋体"/>
                <w:spacing w:val="2"/>
                <w:szCs w:val="21"/>
              </w:rPr>
            </w:pPr>
            <w:r>
              <w:rPr>
                <w:rFonts w:hint="eastAsia" w:ascii="宋体" w:hAnsi="宋体" w:cs="宋体"/>
                <w:spacing w:val="2"/>
                <w:szCs w:val="21"/>
              </w:rPr>
              <w:t>1.将企业年度安全目标分解到各级组织（包括各个管理部门、车间、班组），签订安全生产目标责任书；</w:t>
            </w:r>
          </w:p>
          <w:p>
            <w:pPr>
              <w:spacing w:line="280" w:lineRule="exact"/>
              <w:rPr>
                <w:rFonts w:ascii="宋体" w:hAnsi="宋体" w:cs="宋体"/>
                <w:spacing w:val="2"/>
                <w:szCs w:val="21"/>
              </w:rPr>
            </w:pPr>
            <w:r>
              <w:rPr>
                <w:rFonts w:hint="eastAsia" w:ascii="宋体" w:hAnsi="宋体" w:cs="宋体"/>
                <w:spacing w:val="2"/>
                <w:szCs w:val="21"/>
              </w:rPr>
              <w:t>2.定期考核安全生产目标完成情况；</w:t>
            </w:r>
          </w:p>
          <w:p>
            <w:pPr>
              <w:spacing w:line="280" w:lineRule="exact"/>
              <w:rPr>
                <w:rFonts w:ascii="宋体" w:hAnsi="宋体" w:cs="宋体"/>
                <w:spacing w:val="2"/>
                <w:szCs w:val="21"/>
              </w:rPr>
            </w:pPr>
            <w:r>
              <w:rPr>
                <w:rFonts w:hint="eastAsia" w:ascii="宋体" w:hAnsi="宋体" w:cs="宋体"/>
                <w:spacing w:val="2"/>
                <w:szCs w:val="21"/>
              </w:rPr>
              <w:t>3.企业及各级组织应制定切实可行的年度安全生产工作计划。</w:t>
            </w:r>
          </w:p>
        </w:tc>
        <w:tc>
          <w:tcPr>
            <w:tcW w:w="2268" w:type="dxa"/>
          </w:tcPr>
          <w:p>
            <w:pPr>
              <w:spacing w:line="280" w:lineRule="exact"/>
              <w:rPr>
                <w:rFonts w:ascii="宋体" w:hAnsi="宋体" w:cs="宋体"/>
                <w:spacing w:val="2"/>
                <w:szCs w:val="21"/>
              </w:rPr>
            </w:pPr>
            <w:r>
              <w:rPr>
                <w:rFonts w:hint="eastAsia" w:ascii="宋体" w:hAnsi="宋体" w:cs="宋体"/>
                <w:spacing w:val="2"/>
                <w:szCs w:val="21"/>
              </w:rPr>
              <w:t>查文件：</w:t>
            </w:r>
          </w:p>
          <w:p>
            <w:pPr>
              <w:spacing w:line="280" w:lineRule="exact"/>
              <w:rPr>
                <w:rFonts w:ascii="宋体" w:hAnsi="宋体" w:cs="宋体"/>
                <w:spacing w:val="2"/>
                <w:szCs w:val="21"/>
              </w:rPr>
            </w:pPr>
            <w:r>
              <w:rPr>
                <w:rFonts w:hint="eastAsia" w:ascii="宋体" w:hAnsi="宋体" w:cs="宋体"/>
                <w:spacing w:val="2"/>
                <w:szCs w:val="21"/>
              </w:rPr>
              <w:t>1.企业的年度安全生产目标和安全生产工作计划；</w:t>
            </w:r>
          </w:p>
          <w:p>
            <w:pPr>
              <w:spacing w:line="280" w:lineRule="exact"/>
              <w:rPr>
                <w:rFonts w:ascii="宋体" w:hAnsi="宋体" w:cs="宋体"/>
                <w:spacing w:val="2"/>
                <w:szCs w:val="21"/>
              </w:rPr>
            </w:pPr>
            <w:r>
              <w:rPr>
                <w:rFonts w:hint="eastAsia" w:ascii="宋体" w:hAnsi="宋体" w:cs="宋体"/>
                <w:spacing w:val="2"/>
                <w:szCs w:val="21"/>
              </w:rPr>
              <w:t>2.各级组织的安全生产目标责任书；</w:t>
            </w:r>
          </w:p>
          <w:p>
            <w:pPr>
              <w:spacing w:line="280" w:lineRule="exact"/>
              <w:rPr>
                <w:rFonts w:ascii="宋体" w:hAnsi="宋体" w:cs="宋体"/>
                <w:spacing w:val="2"/>
                <w:szCs w:val="21"/>
              </w:rPr>
            </w:pPr>
            <w:r>
              <w:rPr>
                <w:rFonts w:hint="eastAsia" w:ascii="宋体" w:hAnsi="宋体" w:cs="宋体"/>
                <w:spacing w:val="2"/>
                <w:szCs w:val="21"/>
              </w:rPr>
              <w:t>3.各级组织年度安全生产工作计划；</w:t>
            </w:r>
          </w:p>
          <w:p>
            <w:pPr>
              <w:spacing w:line="280" w:lineRule="exact"/>
              <w:rPr>
                <w:rFonts w:ascii="宋体" w:hAnsi="宋体" w:cs="宋体"/>
                <w:spacing w:val="2"/>
                <w:szCs w:val="21"/>
              </w:rPr>
            </w:pPr>
            <w:r>
              <w:rPr>
                <w:rFonts w:hint="eastAsia" w:ascii="宋体" w:hAnsi="宋体" w:cs="宋体"/>
                <w:spacing w:val="2"/>
                <w:szCs w:val="21"/>
              </w:rPr>
              <w:t>4.安全生产目标责任书的考核与奖惩记录。</w:t>
            </w:r>
          </w:p>
          <w:p>
            <w:pPr>
              <w:spacing w:line="280" w:lineRule="exact"/>
              <w:rPr>
                <w:rFonts w:ascii="宋体" w:hAnsi="宋体" w:cs="宋体"/>
                <w:spacing w:val="2"/>
                <w:szCs w:val="21"/>
              </w:rPr>
            </w:pPr>
            <w:r>
              <w:rPr>
                <w:rFonts w:hint="eastAsia" w:ascii="宋体" w:hAnsi="宋体" w:cs="宋体"/>
                <w:spacing w:val="2"/>
                <w:szCs w:val="21"/>
              </w:rPr>
              <w:t>询问：</w:t>
            </w:r>
          </w:p>
          <w:p>
            <w:pPr>
              <w:spacing w:line="280" w:lineRule="exact"/>
              <w:rPr>
                <w:rFonts w:ascii="宋体" w:hAnsi="宋体" w:cs="宋体"/>
                <w:spacing w:val="2"/>
                <w:szCs w:val="21"/>
              </w:rPr>
            </w:pPr>
            <w:r>
              <w:rPr>
                <w:rFonts w:hint="eastAsia" w:ascii="宋体" w:hAnsi="宋体" w:cs="宋体"/>
                <w:spacing w:val="2"/>
                <w:szCs w:val="21"/>
              </w:rPr>
              <w:t>1.主要负责人及各级组织负责人是否了解各自安全生产目标；</w:t>
            </w:r>
          </w:p>
          <w:p>
            <w:pPr>
              <w:spacing w:line="280" w:lineRule="exact"/>
              <w:rPr>
                <w:rFonts w:ascii="宋体" w:hAnsi="宋体" w:cs="宋体"/>
                <w:spacing w:val="2"/>
                <w:szCs w:val="21"/>
              </w:rPr>
            </w:pPr>
            <w:r>
              <w:rPr>
                <w:rFonts w:hint="eastAsia" w:ascii="宋体" w:hAnsi="宋体" w:cs="宋体"/>
                <w:spacing w:val="2"/>
                <w:szCs w:val="21"/>
              </w:rPr>
              <w:t>2.抽查从业人员是否了解本组织的安全生产目标。</w:t>
            </w:r>
          </w:p>
        </w:tc>
        <w:tc>
          <w:tcPr>
            <w:tcW w:w="1701" w:type="dxa"/>
          </w:tcPr>
          <w:p>
            <w:pPr>
              <w:spacing w:line="280" w:lineRule="exact"/>
              <w:rPr>
                <w:rFonts w:ascii="宋体" w:hAnsi="宋体" w:cs="宋体"/>
                <w:spacing w:val="2"/>
                <w:szCs w:val="21"/>
              </w:rPr>
            </w:pPr>
            <w:r>
              <w:rPr>
                <w:rFonts w:hint="eastAsia" w:ascii="宋体" w:hAnsi="宋体" w:cs="宋体"/>
                <w:b/>
                <w:bCs/>
                <w:spacing w:val="2"/>
                <w:szCs w:val="21"/>
              </w:rPr>
              <w:t>未签订各级组织的安全目标责任书，扣20分（B级要素否决项）。</w:t>
            </w:r>
          </w:p>
        </w:tc>
        <w:tc>
          <w:tcPr>
            <w:tcW w:w="2268" w:type="dxa"/>
          </w:tcPr>
          <w:p>
            <w:pPr>
              <w:spacing w:line="280" w:lineRule="exact"/>
              <w:rPr>
                <w:rFonts w:ascii="宋体" w:hAnsi="宋体" w:cs="宋体"/>
                <w:spacing w:val="2"/>
                <w:szCs w:val="21"/>
              </w:rPr>
            </w:pPr>
            <w:r>
              <w:rPr>
                <w:rFonts w:hint="eastAsia" w:ascii="宋体" w:hAnsi="宋体" w:cs="宋体"/>
                <w:spacing w:val="2"/>
                <w:szCs w:val="21"/>
              </w:rPr>
              <w:t>1.每缺一个组织的安全生产目标责任书，扣2分；</w:t>
            </w:r>
          </w:p>
          <w:p>
            <w:pPr>
              <w:spacing w:line="280" w:lineRule="exact"/>
              <w:rPr>
                <w:rFonts w:ascii="宋体" w:hAnsi="宋体" w:cs="宋体"/>
                <w:spacing w:val="2"/>
                <w:szCs w:val="21"/>
              </w:rPr>
            </w:pPr>
            <w:r>
              <w:rPr>
                <w:rFonts w:hint="eastAsia" w:ascii="宋体" w:hAnsi="宋体" w:cs="宋体"/>
                <w:spacing w:val="2"/>
                <w:szCs w:val="21"/>
              </w:rPr>
              <w:t>2.安全生产目标责任书内容与本组织的安全生产职责不符，扣1分；</w:t>
            </w:r>
          </w:p>
          <w:p>
            <w:pPr>
              <w:spacing w:line="280" w:lineRule="exact"/>
              <w:rPr>
                <w:rFonts w:ascii="宋体" w:hAnsi="宋体" w:cs="宋体"/>
                <w:spacing w:val="2"/>
                <w:szCs w:val="21"/>
              </w:rPr>
            </w:pPr>
            <w:r>
              <w:rPr>
                <w:rFonts w:hint="eastAsia" w:ascii="宋体" w:hAnsi="宋体" w:cs="宋体"/>
                <w:spacing w:val="2"/>
                <w:szCs w:val="21"/>
              </w:rPr>
              <w:t>3.企业未制定年度安全生产工作计划，扣4分；各级组织未制定年度安全生产工作计划，缺一个组织扣2分；</w:t>
            </w:r>
          </w:p>
          <w:p>
            <w:pPr>
              <w:spacing w:line="280" w:lineRule="exact"/>
              <w:rPr>
                <w:rFonts w:ascii="宋体" w:hAnsi="宋体" w:cs="宋体"/>
                <w:spacing w:val="2"/>
                <w:szCs w:val="21"/>
              </w:rPr>
            </w:pPr>
            <w:r>
              <w:rPr>
                <w:rFonts w:hint="eastAsia" w:ascii="宋体" w:hAnsi="宋体" w:cs="宋体"/>
                <w:spacing w:val="2"/>
                <w:szCs w:val="21"/>
              </w:rPr>
              <w:t>4.未定期考核，扣4分；考核与安全生产目标责任书内容不符，扣2分；</w:t>
            </w:r>
          </w:p>
          <w:p>
            <w:pPr>
              <w:spacing w:line="280" w:lineRule="exact"/>
              <w:rPr>
                <w:rFonts w:ascii="宋体" w:hAnsi="宋体" w:cs="宋体"/>
                <w:spacing w:val="2"/>
                <w:szCs w:val="21"/>
              </w:rPr>
            </w:pPr>
            <w:r>
              <w:rPr>
                <w:rFonts w:hint="eastAsia" w:ascii="宋体" w:hAnsi="宋体" w:cs="宋体"/>
                <w:spacing w:val="2"/>
                <w:szCs w:val="21"/>
              </w:rPr>
              <w:t>5.未落实安全生产目标考核奖惩，扣2分；</w:t>
            </w:r>
          </w:p>
          <w:p>
            <w:pPr>
              <w:spacing w:line="280" w:lineRule="exact"/>
              <w:rPr>
                <w:rFonts w:ascii="宋体" w:hAnsi="宋体" w:cs="宋体"/>
                <w:spacing w:val="2"/>
                <w:szCs w:val="21"/>
              </w:rPr>
            </w:pPr>
            <w:r>
              <w:rPr>
                <w:rFonts w:hint="eastAsia" w:ascii="宋体" w:hAnsi="宋体" w:cs="宋体"/>
                <w:spacing w:val="2"/>
                <w:szCs w:val="21"/>
              </w:rPr>
              <w:t>6.有关人员不了解本组织的安全生产目标，1人次扣1分。</w:t>
            </w:r>
          </w:p>
        </w:tc>
        <w:tc>
          <w:tcPr>
            <w:tcW w:w="1165" w:type="dxa"/>
            <w:vAlign w:val="center"/>
          </w:tcPr>
          <w:p>
            <w:pPr>
              <w:tabs>
                <w:tab w:val="left" w:pos="531"/>
              </w:tabs>
              <w:jc w:val="center"/>
              <w:rPr>
                <w:rFonts w:ascii="宋体" w:hAnsi="宋体" w:cs="宋体"/>
                <w:szCs w:val="21"/>
              </w:rPr>
            </w:pPr>
            <w:r>
              <w:rPr>
                <w:rFonts w:hint="eastAsia" w:ascii="宋体" w:hAnsi="宋体" w:cs="宋体"/>
                <w:spacing w:val="2"/>
                <w:szCs w:val="21"/>
              </w:rPr>
              <w:t>企业安全生产目标未见考核记录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771" w:type="dxa"/>
            <w:vMerge w:val="continue"/>
          </w:tcPr>
          <w:p>
            <w:pPr>
              <w:spacing w:line="280" w:lineRule="exact"/>
              <w:rPr>
                <w:rFonts w:ascii="宋体" w:hAnsi="宋体" w:cs="宋体"/>
                <w:b/>
                <w:bCs/>
                <w:szCs w:val="21"/>
              </w:rPr>
            </w:pPr>
          </w:p>
        </w:tc>
        <w:tc>
          <w:tcPr>
            <w:tcW w:w="709" w:type="dxa"/>
            <w:vMerge w:val="restart"/>
          </w:tcPr>
          <w:p>
            <w:pPr>
              <w:spacing w:line="280" w:lineRule="exact"/>
              <w:rPr>
                <w:rFonts w:ascii="宋体" w:hAnsi="宋体" w:cs="宋体"/>
                <w:b/>
                <w:bCs/>
                <w:szCs w:val="21"/>
              </w:rPr>
            </w:pPr>
            <w:r>
              <w:rPr>
                <w:rFonts w:hint="eastAsia" w:ascii="宋体" w:hAnsi="宋体" w:cs="宋体"/>
                <w:b/>
                <w:bCs/>
                <w:szCs w:val="21"/>
              </w:rPr>
              <w:t>2.2 负责人</w:t>
            </w:r>
          </w:p>
          <w:p>
            <w:pPr>
              <w:spacing w:line="280" w:lineRule="exact"/>
              <w:rPr>
                <w:rFonts w:ascii="宋体" w:hAnsi="宋体" w:cs="宋体"/>
                <w:b/>
                <w:bCs/>
                <w:szCs w:val="21"/>
              </w:rPr>
            </w:pPr>
            <w:r>
              <w:rPr>
                <w:rFonts w:hint="eastAsia" w:ascii="宋体" w:hAnsi="宋体" w:cs="宋体"/>
                <w:b/>
                <w:bCs/>
                <w:szCs w:val="21"/>
              </w:rPr>
              <w:t>（20分）</w:t>
            </w:r>
          </w:p>
        </w:tc>
        <w:tc>
          <w:tcPr>
            <w:tcW w:w="2409" w:type="dxa"/>
          </w:tcPr>
          <w:p>
            <w:pPr>
              <w:spacing w:line="280" w:lineRule="exact"/>
              <w:rPr>
                <w:rFonts w:ascii="宋体" w:hAnsi="宋体" w:cs="宋体"/>
                <w:spacing w:val="2"/>
                <w:szCs w:val="21"/>
              </w:rPr>
            </w:pPr>
            <w:r>
              <w:rPr>
                <w:rFonts w:hint="eastAsia" w:ascii="宋体" w:hAnsi="宋体" w:cs="宋体"/>
                <w:spacing w:val="2"/>
                <w:szCs w:val="21"/>
              </w:rPr>
              <w:t>1.企业主要负责人是本单位安全生产的第一责任人,应全面负责安全生产工作,落实安全生产基础和基层工作。</w:t>
            </w:r>
          </w:p>
        </w:tc>
        <w:tc>
          <w:tcPr>
            <w:tcW w:w="2268" w:type="dxa"/>
          </w:tcPr>
          <w:p>
            <w:pPr>
              <w:spacing w:line="280" w:lineRule="exact"/>
              <w:rPr>
                <w:rFonts w:ascii="宋体" w:hAnsi="宋体" w:cs="宋体"/>
                <w:spacing w:val="2"/>
                <w:szCs w:val="21"/>
              </w:rPr>
            </w:pPr>
            <w:r>
              <w:rPr>
                <w:rFonts w:hint="eastAsia" w:ascii="宋体" w:hAnsi="宋体" w:cs="宋体"/>
                <w:spacing w:val="2"/>
                <w:szCs w:val="21"/>
              </w:rPr>
              <w:t>1.明确企业主要负责人是安全生产第一责任人；</w:t>
            </w:r>
          </w:p>
          <w:p>
            <w:pPr>
              <w:spacing w:line="280" w:lineRule="exact"/>
              <w:rPr>
                <w:rFonts w:ascii="宋体" w:hAnsi="宋体" w:cs="宋体"/>
                <w:spacing w:val="2"/>
                <w:szCs w:val="21"/>
              </w:rPr>
            </w:pPr>
            <w:r>
              <w:rPr>
                <w:rFonts w:hint="eastAsia" w:ascii="宋体" w:hAnsi="宋体" w:cs="宋体"/>
                <w:spacing w:val="2"/>
                <w:szCs w:val="21"/>
              </w:rPr>
              <w:t>2.主要负责人对本单位的危险化学品安全管理工作全面负责，落实安全生产基础与基层工作。</w:t>
            </w:r>
          </w:p>
        </w:tc>
        <w:tc>
          <w:tcPr>
            <w:tcW w:w="2268" w:type="dxa"/>
          </w:tcPr>
          <w:p>
            <w:pPr>
              <w:spacing w:line="280" w:lineRule="exact"/>
              <w:rPr>
                <w:rFonts w:ascii="宋体" w:hAnsi="宋体" w:cs="宋体"/>
                <w:spacing w:val="2"/>
                <w:szCs w:val="21"/>
              </w:rPr>
            </w:pPr>
            <w:r>
              <w:rPr>
                <w:rFonts w:hint="eastAsia" w:ascii="宋体" w:hAnsi="宋体" w:cs="宋体"/>
                <w:spacing w:val="2"/>
                <w:szCs w:val="21"/>
              </w:rPr>
              <w:t>查文件：</w:t>
            </w:r>
          </w:p>
          <w:p>
            <w:pPr>
              <w:spacing w:line="280" w:lineRule="exact"/>
              <w:rPr>
                <w:rFonts w:ascii="宋体" w:hAnsi="宋体" w:cs="宋体"/>
                <w:spacing w:val="2"/>
                <w:szCs w:val="21"/>
              </w:rPr>
            </w:pPr>
            <w:r>
              <w:rPr>
                <w:rFonts w:hint="eastAsia" w:ascii="宋体" w:hAnsi="宋体" w:cs="宋体"/>
                <w:spacing w:val="2"/>
                <w:szCs w:val="21"/>
              </w:rPr>
              <w:t>安全生产责任制。</w:t>
            </w:r>
          </w:p>
          <w:p>
            <w:pPr>
              <w:spacing w:line="280" w:lineRule="exact"/>
              <w:rPr>
                <w:rFonts w:ascii="宋体" w:hAnsi="宋体" w:cs="宋体"/>
                <w:spacing w:val="2"/>
                <w:szCs w:val="21"/>
              </w:rPr>
            </w:pPr>
            <w:r>
              <w:rPr>
                <w:rFonts w:hint="eastAsia" w:ascii="宋体" w:hAnsi="宋体" w:cs="宋体"/>
                <w:spacing w:val="2"/>
                <w:szCs w:val="21"/>
              </w:rPr>
              <w:t>询问：</w:t>
            </w:r>
          </w:p>
          <w:p>
            <w:pPr>
              <w:spacing w:line="280" w:lineRule="exact"/>
              <w:rPr>
                <w:rFonts w:ascii="宋体" w:hAnsi="宋体" w:cs="宋体"/>
                <w:spacing w:val="2"/>
                <w:szCs w:val="21"/>
              </w:rPr>
            </w:pPr>
            <w:r>
              <w:rPr>
                <w:rFonts w:hint="eastAsia" w:ascii="宋体" w:hAnsi="宋体" w:cs="宋体"/>
                <w:spacing w:val="2"/>
                <w:szCs w:val="21"/>
              </w:rPr>
              <w:t>1.主要负责人的安全生产职责；</w:t>
            </w:r>
          </w:p>
          <w:p>
            <w:pPr>
              <w:spacing w:line="280" w:lineRule="exact"/>
              <w:rPr>
                <w:rFonts w:ascii="宋体" w:hAnsi="宋体" w:cs="宋体"/>
                <w:spacing w:val="2"/>
                <w:szCs w:val="21"/>
              </w:rPr>
            </w:pPr>
            <w:r>
              <w:rPr>
                <w:rFonts w:hint="eastAsia" w:ascii="宋体" w:hAnsi="宋体" w:cs="宋体"/>
                <w:spacing w:val="2"/>
                <w:szCs w:val="21"/>
              </w:rPr>
              <w:t>2.对本单位的危险化学品安全管理工作情况；</w:t>
            </w:r>
          </w:p>
          <w:p>
            <w:pPr>
              <w:spacing w:line="280" w:lineRule="exact"/>
              <w:rPr>
                <w:rFonts w:ascii="宋体" w:hAnsi="宋体" w:cs="宋体"/>
                <w:spacing w:val="2"/>
                <w:szCs w:val="21"/>
              </w:rPr>
            </w:pPr>
            <w:r>
              <w:rPr>
                <w:rFonts w:hint="eastAsia" w:ascii="宋体" w:hAnsi="宋体" w:cs="宋体"/>
                <w:spacing w:val="2"/>
                <w:szCs w:val="21"/>
              </w:rPr>
              <w:t>3.本单位安全生产基础和基层工作情况和做法。</w:t>
            </w:r>
          </w:p>
        </w:tc>
        <w:tc>
          <w:tcPr>
            <w:tcW w:w="1701" w:type="dxa"/>
          </w:tcPr>
          <w:p>
            <w:pPr>
              <w:spacing w:line="280" w:lineRule="exact"/>
              <w:rPr>
                <w:rFonts w:ascii="宋体" w:hAnsi="宋体" w:cs="宋体"/>
                <w:spacing w:val="2"/>
                <w:szCs w:val="21"/>
              </w:rPr>
            </w:pPr>
            <w:r>
              <w:rPr>
                <w:rFonts w:hint="eastAsia" w:ascii="宋体" w:hAnsi="宋体" w:cs="宋体"/>
                <w:b/>
                <w:bCs/>
                <w:spacing w:val="2"/>
                <w:szCs w:val="21"/>
              </w:rPr>
              <w:t>未明确第一责任人，或不符合规定，扣20分（B级要素否决项）。</w:t>
            </w:r>
          </w:p>
        </w:tc>
        <w:tc>
          <w:tcPr>
            <w:tcW w:w="2268" w:type="dxa"/>
          </w:tcPr>
          <w:p>
            <w:pPr>
              <w:spacing w:line="280" w:lineRule="exact"/>
              <w:rPr>
                <w:rFonts w:ascii="宋体" w:hAnsi="宋体" w:cs="宋体"/>
                <w:spacing w:val="2"/>
                <w:szCs w:val="21"/>
              </w:rPr>
            </w:pPr>
            <w:r>
              <w:rPr>
                <w:rFonts w:hint="eastAsia" w:ascii="宋体" w:hAnsi="宋体" w:cs="宋体"/>
                <w:spacing w:val="2"/>
                <w:szCs w:val="21"/>
              </w:rPr>
              <w:t>主要负责人对本单位的危险化学品安全管理工作情况、对安全生产基础管理工作情况不清楚，扣5分。</w:t>
            </w:r>
          </w:p>
        </w:tc>
        <w:tc>
          <w:tcPr>
            <w:tcW w:w="1165" w:type="dxa"/>
            <w:vAlign w:val="center"/>
          </w:tcPr>
          <w:p>
            <w:pPr>
              <w:tabs>
                <w:tab w:val="left" w:pos="531"/>
              </w:tabs>
              <w:jc w:val="center"/>
              <w:rPr>
                <w:rFonts w:ascii="宋体" w:hAnsi="宋体" w:cs="宋体"/>
                <w:szCs w:val="21"/>
              </w:rPr>
            </w:pPr>
            <w:r>
              <w:rPr>
                <w:rFonts w:hint="eastAsia" w:ascii="宋体" w:hAnsi="宋体" w:cs="宋体"/>
                <w:szCs w:val="21"/>
              </w:rPr>
              <w:t>符合要求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2" w:hRule="atLeast"/>
          <w:jc w:val="center"/>
        </w:trPr>
        <w:tc>
          <w:tcPr>
            <w:tcW w:w="771" w:type="dxa"/>
            <w:vMerge w:val="continue"/>
          </w:tcPr>
          <w:p>
            <w:pPr>
              <w:spacing w:line="280" w:lineRule="exact"/>
              <w:rPr>
                <w:rFonts w:ascii="宋体" w:hAnsi="宋体" w:cs="宋体"/>
                <w:b/>
                <w:bCs/>
                <w:szCs w:val="21"/>
              </w:rPr>
            </w:pPr>
          </w:p>
        </w:tc>
        <w:tc>
          <w:tcPr>
            <w:tcW w:w="709" w:type="dxa"/>
            <w:vMerge w:val="continue"/>
          </w:tcPr>
          <w:p>
            <w:pPr>
              <w:spacing w:line="280" w:lineRule="exact"/>
              <w:rPr>
                <w:rFonts w:ascii="宋体" w:hAnsi="宋体" w:cs="宋体"/>
                <w:b/>
                <w:bCs/>
                <w:szCs w:val="21"/>
              </w:rPr>
            </w:pPr>
          </w:p>
        </w:tc>
        <w:tc>
          <w:tcPr>
            <w:tcW w:w="2409" w:type="dxa"/>
            <w:vMerge w:val="restart"/>
          </w:tcPr>
          <w:p>
            <w:pPr>
              <w:spacing w:line="280" w:lineRule="exact"/>
              <w:rPr>
                <w:rFonts w:ascii="宋体" w:hAnsi="宋体" w:cs="宋体"/>
                <w:spacing w:val="2"/>
                <w:szCs w:val="21"/>
              </w:rPr>
            </w:pPr>
            <w:r>
              <w:rPr>
                <w:rFonts w:hint="eastAsia" w:ascii="宋体" w:hAnsi="宋体" w:cs="宋体"/>
                <w:spacing w:val="2"/>
                <w:szCs w:val="21"/>
              </w:rPr>
              <w:t>2.企业主要负责人应组织实施安全标准化，建设企业安全文化。</w:t>
            </w:r>
          </w:p>
        </w:tc>
        <w:tc>
          <w:tcPr>
            <w:tcW w:w="2268" w:type="dxa"/>
          </w:tcPr>
          <w:p>
            <w:pPr>
              <w:spacing w:line="280" w:lineRule="exact"/>
              <w:rPr>
                <w:rFonts w:ascii="宋体" w:hAnsi="宋体" w:cs="宋体"/>
                <w:spacing w:val="2"/>
                <w:szCs w:val="21"/>
              </w:rPr>
            </w:pPr>
            <w:r>
              <w:rPr>
                <w:rFonts w:hint="eastAsia" w:ascii="宋体" w:hAnsi="宋体" w:cs="宋体"/>
                <w:spacing w:val="2"/>
                <w:szCs w:val="21"/>
              </w:rPr>
              <w:t>1.主要负责人组织开展安全生产标准化建设；</w:t>
            </w:r>
          </w:p>
          <w:p>
            <w:pPr>
              <w:spacing w:line="280" w:lineRule="exact"/>
              <w:rPr>
                <w:rFonts w:ascii="宋体" w:hAnsi="宋体" w:cs="宋体"/>
                <w:spacing w:val="2"/>
                <w:szCs w:val="21"/>
              </w:rPr>
            </w:pPr>
            <w:r>
              <w:rPr>
                <w:rFonts w:hint="eastAsia" w:ascii="宋体" w:hAnsi="宋体" w:cs="宋体"/>
                <w:spacing w:val="2"/>
                <w:szCs w:val="21"/>
              </w:rPr>
              <w:t>2.制定安全生产标准化实施方案，明确实施时间、计划、责任部门和责任人；</w:t>
            </w:r>
          </w:p>
          <w:p>
            <w:pPr>
              <w:spacing w:line="280" w:lineRule="exact"/>
              <w:rPr>
                <w:rFonts w:ascii="宋体" w:hAnsi="宋体" w:cs="宋体"/>
                <w:spacing w:val="2"/>
                <w:szCs w:val="21"/>
              </w:rPr>
            </w:pPr>
            <w:r>
              <w:rPr>
                <w:rFonts w:hint="eastAsia" w:ascii="宋体" w:hAnsi="宋体" w:cs="宋体"/>
                <w:spacing w:val="2"/>
                <w:szCs w:val="21"/>
              </w:rPr>
              <w:t xml:space="preserve">3.制定安全文化建设计划或方案； </w:t>
            </w:r>
          </w:p>
        </w:tc>
        <w:tc>
          <w:tcPr>
            <w:tcW w:w="2268" w:type="dxa"/>
          </w:tcPr>
          <w:p>
            <w:pPr>
              <w:spacing w:line="280" w:lineRule="exact"/>
              <w:rPr>
                <w:rFonts w:ascii="宋体" w:hAnsi="宋体" w:cs="宋体"/>
                <w:spacing w:val="2"/>
                <w:szCs w:val="21"/>
              </w:rPr>
            </w:pPr>
            <w:r>
              <w:rPr>
                <w:rFonts w:hint="eastAsia" w:ascii="宋体" w:hAnsi="宋体" w:cs="宋体"/>
                <w:spacing w:val="2"/>
                <w:szCs w:val="21"/>
              </w:rPr>
              <w:t>查文件：</w:t>
            </w:r>
          </w:p>
          <w:p>
            <w:pPr>
              <w:spacing w:line="280" w:lineRule="exact"/>
              <w:rPr>
                <w:rFonts w:ascii="宋体" w:hAnsi="宋体" w:cs="宋体"/>
                <w:spacing w:val="2"/>
                <w:szCs w:val="21"/>
              </w:rPr>
            </w:pPr>
            <w:r>
              <w:rPr>
                <w:rFonts w:hint="eastAsia" w:ascii="宋体" w:hAnsi="宋体" w:cs="宋体"/>
                <w:spacing w:val="2"/>
                <w:szCs w:val="21"/>
              </w:rPr>
              <w:t>1.查企业安全生产标准化实施方案；</w:t>
            </w:r>
          </w:p>
          <w:p>
            <w:pPr>
              <w:spacing w:line="280" w:lineRule="exact"/>
              <w:rPr>
                <w:rFonts w:ascii="宋体" w:hAnsi="宋体" w:cs="宋体"/>
                <w:spacing w:val="2"/>
                <w:szCs w:val="21"/>
              </w:rPr>
            </w:pPr>
            <w:r>
              <w:rPr>
                <w:rFonts w:hint="eastAsia" w:ascii="宋体" w:hAnsi="宋体" w:cs="宋体"/>
                <w:spacing w:val="2"/>
                <w:szCs w:val="21"/>
              </w:rPr>
              <w:t>2.主要负责人组织和参与安全生产标准化建设的记录；</w:t>
            </w:r>
          </w:p>
          <w:p>
            <w:pPr>
              <w:spacing w:line="280" w:lineRule="exact"/>
              <w:rPr>
                <w:rFonts w:ascii="宋体" w:hAnsi="宋体" w:cs="宋体"/>
                <w:spacing w:val="2"/>
                <w:szCs w:val="21"/>
              </w:rPr>
            </w:pPr>
            <w:r>
              <w:rPr>
                <w:rFonts w:hint="eastAsia" w:ascii="宋体" w:hAnsi="宋体" w:cs="宋体"/>
                <w:spacing w:val="2"/>
                <w:szCs w:val="21"/>
              </w:rPr>
              <w:t>3.安全文化建设计划或方案。</w:t>
            </w:r>
          </w:p>
        </w:tc>
        <w:tc>
          <w:tcPr>
            <w:tcW w:w="1701" w:type="dxa"/>
          </w:tcPr>
          <w:p>
            <w:pPr>
              <w:spacing w:line="280" w:lineRule="exact"/>
              <w:rPr>
                <w:rFonts w:ascii="宋体" w:hAnsi="宋体" w:cs="宋体"/>
                <w:spacing w:val="2"/>
                <w:szCs w:val="21"/>
              </w:rPr>
            </w:pPr>
          </w:p>
        </w:tc>
        <w:tc>
          <w:tcPr>
            <w:tcW w:w="2268" w:type="dxa"/>
          </w:tcPr>
          <w:p>
            <w:pPr>
              <w:spacing w:line="280" w:lineRule="exact"/>
              <w:rPr>
                <w:rFonts w:ascii="宋体" w:hAnsi="宋体" w:cs="宋体"/>
                <w:spacing w:val="2"/>
                <w:szCs w:val="21"/>
              </w:rPr>
            </w:pPr>
            <w:r>
              <w:rPr>
                <w:rFonts w:hint="eastAsia" w:ascii="宋体" w:hAnsi="宋体" w:cs="宋体"/>
                <w:spacing w:val="2"/>
                <w:szCs w:val="21"/>
              </w:rPr>
              <w:t>1.安全生产标准化实施方案内容，一项不符合扣2分；</w:t>
            </w:r>
          </w:p>
          <w:p>
            <w:pPr>
              <w:spacing w:line="280" w:lineRule="exact"/>
              <w:rPr>
                <w:rFonts w:ascii="宋体" w:hAnsi="宋体" w:cs="宋体"/>
                <w:spacing w:val="2"/>
                <w:szCs w:val="21"/>
              </w:rPr>
            </w:pPr>
            <w:r>
              <w:rPr>
                <w:rFonts w:hint="eastAsia" w:ascii="宋体" w:hAnsi="宋体" w:cs="宋体"/>
                <w:spacing w:val="2"/>
                <w:szCs w:val="21"/>
              </w:rPr>
              <w:t>2.无主要负责人组织或参与安全生产标准化记录，扣3分；</w:t>
            </w:r>
          </w:p>
          <w:p>
            <w:pPr>
              <w:spacing w:line="280" w:lineRule="exact"/>
              <w:rPr>
                <w:rFonts w:ascii="宋体" w:hAnsi="宋体" w:cs="宋体"/>
                <w:spacing w:val="2"/>
                <w:szCs w:val="21"/>
              </w:rPr>
            </w:pPr>
            <w:r>
              <w:rPr>
                <w:rFonts w:hint="eastAsia" w:ascii="宋体" w:hAnsi="宋体" w:cs="宋体"/>
                <w:spacing w:val="2"/>
                <w:szCs w:val="21"/>
              </w:rPr>
              <w:t>3.未制定安全文化建设计划或方案，扣2分。</w:t>
            </w:r>
          </w:p>
        </w:tc>
        <w:tc>
          <w:tcPr>
            <w:tcW w:w="1165" w:type="dxa"/>
            <w:vAlign w:val="center"/>
          </w:tcPr>
          <w:p>
            <w:pPr>
              <w:jc w:val="center"/>
              <w:rPr>
                <w:rFonts w:ascii="宋体" w:hAnsi="宋体" w:cs="宋体"/>
                <w:szCs w:val="21"/>
              </w:rPr>
            </w:pPr>
            <w:r>
              <w:rPr>
                <w:rFonts w:hint="eastAsia" w:ascii="宋体" w:hAnsi="宋体" w:cs="宋体"/>
                <w:szCs w:val="21"/>
              </w:rPr>
              <w:t>符合要求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78" w:hRule="atLeast"/>
          <w:jc w:val="center"/>
        </w:trPr>
        <w:tc>
          <w:tcPr>
            <w:tcW w:w="771" w:type="dxa"/>
            <w:vMerge w:val="continue"/>
          </w:tcPr>
          <w:p>
            <w:pPr>
              <w:spacing w:line="280" w:lineRule="exact"/>
              <w:rPr>
                <w:rFonts w:ascii="宋体" w:hAnsi="宋体" w:cs="宋体"/>
                <w:b/>
                <w:bCs/>
                <w:szCs w:val="21"/>
              </w:rPr>
            </w:pPr>
          </w:p>
        </w:tc>
        <w:tc>
          <w:tcPr>
            <w:tcW w:w="709" w:type="dxa"/>
            <w:vMerge w:val="continue"/>
          </w:tcPr>
          <w:p>
            <w:pPr>
              <w:spacing w:line="280" w:lineRule="exact"/>
              <w:rPr>
                <w:rFonts w:ascii="宋体" w:hAnsi="宋体" w:cs="宋体"/>
                <w:b/>
                <w:bCs/>
                <w:szCs w:val="21"/>
              </w:rPr>
            </w:pPr>
          </w:p>
        </w:tc>
        <w:tc>
          <w:tcPr>
            <w:tcW w:w="2409" w:type="dxa"/>
            <w:vMerge w:val="continue"/>
          </w:tcPr>
          <w:p>
            <w:pPr>
              <w:spacing w:line="280" w:lineRule="exact"/>
              <w:rPr>
                <w:rFonts w:ascii="宋体" w:hAnsi="宋体" w:cs="宋体"/>
                <w:spacing w:val="2"/>
                <w:szCs w:val="21"/>
              </w:rPr>
            </w:pPr>
          </w:p>
        </w:tc>
        <w:tc>
          <w:tcPr>
            <w:tcW w:w="2268" w:type="dxa"/>
          </w:tcPr>
          <w:p>
            <w:pPr>
              <w:spacing w:line="280" w:lineRule="exact"/>
              <w:rPr>
                <w:rFonts w:ascii="宋体" w:hAnsi="宋体" w:cs="宋体"/>
                <w:spacing w:val="2"/>
                <w:szCs w:val="21"/>
              </w:rPr>
            </w:pPr>
            <w:r>
              <w:rPr>
                <w:rFonts w:hint="eastAsia" w:ascii="宋体" w:hAnsi="宋体" w:cs="宋体"/>
                <w:spacing w:val="2"/>
                <w:szCs w:val="21"/>
              </w:rPr>
              <w:t>二级企业应初步形成安全文化体系。</w:t>
            </w:r>
          </w:p>
        </w:tc>
        <w:tc>
          <w:tcPr>
            <w:tcW w:w="2268" w:type="dxa"/>
          </w:tcPr>
          <w:p>
            <w:pPr>
              <w:spacing w:line="280" w:lineRule="exact"/>
              <w:rPr>
                <w:rFonts w:ascii="宋体" w:hAnsi="宋体" w:cs="宋体"/>
                <w:spacing w:val="2"/>
                <w:szCs w:val="21"/>
              </w:rPr>
            </w:pPr>
            <w:r>
              <w:rPr>
                <w:rFonts w:hint="eastAsia" w:ascii="宋体" w:hAnsi="宋体" w:cs="宋体"/>
                <w:spacing w:val="2"/>
                <w:szCs w:val="21"/>
              </w:rPr>
              <w:t>查文件：</w:t>
            </w:r>
          </w:p>
          <w:p>
            <w:pPr>
              <w:spacing w:line="280" w:lineRule="exact"/>
              <w:rPr>
                <w:rFonts w:ascii="宋体" w:hAnsi="宋体" w:cs="宋体"/>
                <w:spacing w:val="2"/>
                <w:szCs w:val="21"/>
              </w:rPr>
            </w:pPr>
            <w:r>
              <w:rPr>
                <w:rFonts w:hint="eastAsia" w:ascii="宋体" w:hAnsi="宋体" w:cs="宋体"/>
                <w:spacing w:val="2"/>
                <w:szCs w:val="21"/>
              </w:rPr>
              <w:t>安全文化体系有关文件。</w:t>
            </w:r>
          </w:p>
          <w:p>
            <w:pPr>
              <w:spacing w:line="280" w:lineRule="exact"/>
              <w:rPr>
                <w:rFonts w:ascii="宋体" w:hAnsi="宋体" w:cs="宋体"/>
                <w:spacing w:val="2"/>
                <w:szCs w:val="21"/>
              </w:rPr>
            </w:pPr>
            <w:r>
              <w:rPr>
                <w:rFonts w:hint="eastAsia" w:ascii="宋体" w:hAnsi="宋体" w:cs="宋体"/>
                <w:spacing w:val="2"/>
                <w:szCs w:val="21"/>
              </w:rPr>
              <w:t>询问：</w:t>
            </w:r>
          </w:p>
          <w:p>
            <w:pPr>
              <w:spacing w:line="280" w:lineRule="exact"/>
              <w:rPr>
                <w:rFonts w:ascii="宋体" w:hAnsi="宋体" w:cs="宋体"/>
                <w:spacing w:val="2"/>
                <w:szCs w:val="21"/>
              </w:rPr>
            </w:pPr>
            <w:r>
              <w:rPr>
                <w:rFonts w:hint="eastAsia" w:ascii="宋体" w:hAnsi="宋体" w:cs="宋体"/>
                <w:spacing w:val="2"/>
                <w:szCs w:val="21"/>
              </w:rPr>
              <w:t>主要负责人及有关人员对安全文化内容掌握情况。</w:t>
            </w:r>
          </w:p>
        </w:tc>
        <w:tc>
          <w:tcPr>
            <w:tcW w:w="1701" w:type="dxa"/>
          </w:tcPr>
          <w:p>
            <w:pPr>
              <w:spacing w:line="280" w:lineRule="exact"/>
              <w:rPr>
                <w:rFonts w:ascii="宋体" w:hAnsi="宋体" w:cs="宋体"/>
                <w:b/>
                <w:bCs/>
                <w:spacing w:val="2"/>
                <w:szCs w:val="21"/>
              </w:rPr>
            </w:pPr>
            <w:r>
              <w:rPr>
                <w:rFonts w:hint="eastAsia" w:ascii="宋体" w:hAnsi="宋体" w:cs="宋体"/>
                <w:b/>
                <w:bCs/>
                <w:spacing w:val="2"/>
                <w:szCs w:val="21"/>
              </w:rPr>
              <w:t>二级企业</w:t>
            </w:r>
          </w:p>
          <w:p>
            <w:pPr>
              <w:spacing w:line="280" w:lineRule="exact"/>
              <w:rPr>
                <w:rFonts w:ascii="宋体" w:hAnsi="宋体" w:cs="宋体"/>
                <w:spacing w:val="2"/>
                <w:szCs w:val="21"/>
              </w:rPr>
            </w:pPr>
            <w:r>
              <w:rPr>
                <w:rFonts w:hint="eastAsia" w:ascii="宋体" w:hAnsi="宋体" w:cs="宋体"/>
                <w:b/>
                <w:bCs/>
                <w:spacing w:val="2"/>
                <w:szCs w:val="21"/>
              </w:rPr>
              <w:t>未初步形成安全文化体系，扣100分（A级要素否决项）。</w:t>
            </w:r>
          </w:p>
        </w:tc>
        <w:tc>
          <w:tcPr>
            <w:tcW w:w="2268" w:type="dxa"/>
          </w:tcPr>
          <w:p>
            <w:pPr>
              <w:spacing w:line="280" w:lineRule="exact"/>
              <w:rPr>
                <w:rFonts w:ascii="宋体" w:hAnsi="宋体" w:cs="宋体"/>
                <w:spacing w:val="2"/>
                <w:szCs w:val="21"/>
              </w:rPr>
            </w:pPr>
          </w:p>
        </w:tc>
        <w:tc>
          <w:tcPr>
            <w:tcW w:w="1165" w:type="dxa"/>
            <w:vAlign w:val="center"/>
          </w:tcPr>
          <w:p>
            <w:pPr>
              <w:tabs>
                <w:tab w:val="left" w:pos="531"/>
              </w:tabs>
              <w:ind w:firstLine="210" w:firstLineChars="100"/>
              <w:jc w:val="both"/>
              <w:rPr>
                <w:rFonts w:ascii="宋体" w:hAnsi="宋体" w:cs="宋体"/>
                <w:szCs w:val="21"/>
              </w:rPr>
            </w:pPr>
            <w:r>
              <w:rPr>
                <w:rFonts w:hint="eastAsia" w:ascii="宋体" w:hAnsi="宋体" w:cs="宋体"/>
                <w:szCs w:val="21"/>
              </w:rPr>
              <w:t>不涉及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2" w:hRule="atLeast"/>
          <w:jc w:val="center"/>
        </w:trPr>
        <w:tc>
          <w:tcPr>
            <w:tcW w:w="771" w:type="dxa"/>
            <w:vMerge w:val="continue"/>
          </w:tcPr>
          <w:p>
            <w:pPr>
              <w:spacing w:line="280" w:lineRule="exact"/>
              <w:rPr>
                <w:rFonts w:ascii="宋体" w:hAnsi="宋体" w:cs="宋体"/>
                <w:b/>
                <w:bCs/>
                <w:szCs w:val="21"/>
              </w:rPr>
            </w:pPr>
          </w:p>
        </w:tc>
        <w:tc>
          <w:tcPr>
            <w:tcW w:w="709" w:type="dxa"/>
            <w:vMerge w:val="continue"/>
          </w:tcPr>
          <w:p>
            <w:pPr>
              <w:spacing w:line="280" w:lineRule="exact"/>
              <w:rPr>
                <w:rFonts w:ascii="宋体" w:hAnsi="宋体" w:cs="宋体"/>
                <w:b/>
                <w:bCs/>
                <w:szCs w:val="21"/>
              </w:rPr>
            </w:pPr>
          </w:p>
        </w:tc>
        <w:tc>
          <w:tcPr>
            <w:tcW w:w="2409" w:type="dxa"/>
            <w:vMerge w:val="continue"/>
          </w:tcPr>
          <w:p>
            <w:pPr>
              <w:spacing w:line="280" w:lineRule="exact"/>
              <w:rPr>
                <w:rFonts w:ascii="宋体" w:hAnsi="宋体" w:cs="宋体"/>
                <w:spacing w:val="2"/>
                <w:szCs w:val="21"/>
              </w:rPr>
            </w:pPr>
          </w:p>
        </w:tc>
        <w:tc>
          <w:tcPr>
            <w:tcW w:w="2268" w:type="dxa"/>
          </w:tcPr>
          <w:p>
            <w:pPr>
              <w:spacing w:line="280" w:lineRule="exact"/>
              <w:rPr>
                <w:rFonts w:ascii="宋体" w:hAnsi="宋体" w:cs="宋体"/>
                <w:spacing w:val="2"/>
                <w:szCs w:val="21"/>
              </w:rPr>
            </w:pPr>
            <w:r>
              <w:rPr>
                <w:rFonts w:hint="eastAsia" w:ascii="宋体" w:hAnsi="宋体" w:cs="宋体"/>
                <w:spacing w:val="2"/>
                <w:szCs w:val="21"/>
              </w:rPr>
              <w:t>一级企业有效运行安全文化体系。</w:t>
            </w:r>
          </w:p>
        </w:tc>
        <w:tc>
          <w:tcPr>
            <w:tcW w:w="2268" w:type="dxa"/>
          </w:tcPr>
          <w:p>
            <w:pPr>
              <w:spacing w:line="280" w:lineRule="exact"/>
              <w:rPr>
                <w:rFonts w:ascii="宋体" w:hAnsi="宋体" w:cs="宋体"/>
                <w:spacing w:val="2"/>
                <w:szCs w:val="21"/>
              </w:rPr>
            </w:pPr>
            <w:r>
              <w:rPr>
                <w:rFonts w:hint="eastAsia" w:ascii="宋体" w:hAnsi="宋体" w:cs="宋体"/>
                <w:spacing w:val="2"/>
                <w:szCs w:val="21"/>
              </w:rPr>
              <w:t>查文件：</w:t>
            </w:r>
          </w:p>
          <w:p>
            <w:pPr>
              <w:spacing w:line="280" w:lineRule="exact"/>
              <w:rPr>
                <w:rFonts w:ascii="宋体" w:hAnsi="宋体" w:cs="宋体"/>
                <w:spacing w:val="2"/>
                <w:szCs w:val="21"/>
              </w:rPr>
            </w:pPr>
            <w:r>
              <w:rPr>
                <w:rFonts w:hint="eastAsia" w:ascii="宋体" w:hAnsi="宋体" w:cs="宋体"/>
                <w:spacing w:val="2"/>
                <w:szCs w:val="21"/>
              </w:rPr>
              <w:t>安全文化体系有关文件；</w:t>
            </w:r>
          </w:p>
          <w:p>
            <w:pPr>
              <w:spacing w:line="280" w:lineRule="exact"/>
              <w:rPr>
                <w:rFonts w:ascii="宋体" w:hAnsi="宋体" w:cs="宋体"/>
                <w:spacing w:val="2"/>
                <w:szCs w:val="21"/>
              </w:rPr>
            </w:pPr>
            <w:r>
              <w:rPr>
                <w:rFonts w:hint="eastAsia" w:ascii="宋体" w:hAnsi="宋体" w:cs="宋体"/>
                <w:spacing w:val="2"/>
                <w:szCs w:val="21"/>
              </w:rPr>
              <w:t>询问：</w:t>
            </w:r>
          </w:p>
          <w:p>
            <w:pPr>
              <w:spacing w:line="280" w:lineRule="exact"/>
              <w:rPr>
                <w:rFonts w:ascii="宋体" w:hAnsi="宋体" w:cs="宋体"/>
                <w:spacing w:val="2"/>
                <w:szCs w:val="21"/>
              </w:rPr>
            </w:pPr>
            <w:r>
              <w:rPr>
                <w:rFonts w:hint="eastAsia" w:ascii="宋体" w:hAnsi="宋体" w:cs="宋体"/>
                <w:spacing w:val="2"/>
                <w:szCs w:val="21"/>
              </w:rPr>
              <w:t>主要负责人及有关人员对安全文化内容掌握情况。</w:t>
            </w:r>
          </w:p>
          <w:p>
            <w:pPr>
              <w:spacing w:line="280" w:lineRule="exact"/>
              <w:rPr>
                <w:rFonts w:ascii="宋体" w:hAnsi="宋体" w:cs="宋体"/>
                <w:spacing w:val="2"/>
                <w:szCs w:val="21"/>
              </w:rPr>
            </w:pPr>
            <w:r>
              <w:rPr>
                <w:rFonts w:hint="eastAsia" w:ascii="宋体" w:hAnsi="宋体" w:cs="宋体"/>
                <w:spacing w:val="2"/>
                <w:szCs w:val="21"/>
              </w:rPr>
              <w:t>现场检查:</w:t>
            </w:r>
          </w:p>
          <w:p>
            <w:pPr>
              <w:spacing w:line="280" w:lineRule="exact"/>
              <w:rPr>
                <w:rFonts w:ascii="宋体" w:hAnsi="宋体" w:cs="宋体"/>
                <w:spacing w:val="2"/>
                <w:szCs w:val="21"/>
              </w:rPr>
            </w:pPr>
            <w:r>
              <w:rPr>
                <w:rFonts w:hint="eastAsia" w:ascii="宋体" w:hAnsi="宋体" w:cs="宋体"/>
                <w:spacing w:val="2"/>
                <w:szCs w:val="21"/>
              </w:rPr>
              <w:t>现场检查安全文化运行效果。</w:t>
            </w:r>
          </w:p>
        </w:tc>
        <w:tc>
          <w:tcPr>
            <w:tcW w:w="1701" w:type="dxa"/>
          </w:tcPr>
          <w:p>
            <w:pPr>
              <w:spacing w:line="280" w:lineRule="exact"/>
              <w:rPr>
                <w:rFonts w:ascii="宋体" w:hAnsi="宋体" w:cs="宋体"/>
                <w:spacing w:val="2"/>
                <w:szCs w:val="21"/>
              </w:rPr>
            </w:pPr>
            <w:r>
              <w:rPr>
                <w:rFonts w:hint="eastAsia" w:ascii="宋体" w:hAnsi="宋体" w:cs="宋体"/>
                <w:b/>
                <w:bCs/>
                <w:spacing w:val="2"/>
                <w:szCs w:val="21"/>
              </w:rPr>
              <w:t>一级企业未有效运行安全文化体系，扣100分（A级要素否决项）。</w:t>
            </w:r>
          </w:p>
        </w:tc>
        <w:tc>
          <w:tcPr>
            <w:tcW w:w="2268" w:type="dxa"/>
          </w:tcPr>
          <w:p>
            <w:pPr>
              <w:spacing w:line="280" w:lineRule="exact"/>
              <w:rPr>
                <w:rFonts w:ascii="宋体" w:hAnsi="宋体" w:cs="宋体"/>
                <w:spacing w:val="2"/>
                <w:szCs w:val="21"/>
              </w:rPr>
            </w:pPr>
          </w:p>
        </w:tc>
        <w:tc>
          <w:tcPr>
            <w:tcW w:w="1165" w:type="dxa"/>
            <w:vAlign w:val="center"/>
          </w:tcPr>
          <w:p>
            <w:pPr>
              <w:spacing w:line="280" w:lineRule="exact"/>
              <w:ind w:firstLine="210" w:firstLineChars="100"/>
              <w:jc w:val="both"/>
              <w:rPr>
                <w:rFonts w:ascii="宋体" w:hAnsi="宋体" w:cs="宋体"/>
                <w:szCs w:val="21"/>
              </w:rPr>
            </w:pPr>
            <w:r>
              <w:rPr>
                <w:rFonts w:hint="eastAsia" w:ascii="宋体" w:hAnsi="宋体" w:cs="宋体"/>
                <w:szCs w:val="21"/>
              </w:rPr>
              <w:t>不涉及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771" w:type="dxa"/>
            <w:vMerge w:val="continue"/>
          </w:tcPr>
          <w:p>
            <w:pPr>
              <w:spacing w:line="280" w:lineRule="exact"/>
              <w:rPr>
                <w:rFonts w:ascii="宋体" w:hAnsi="宋体" w:cs="宋体"/>
                <w:b/>
                <w:bCs/>
                <w:szCs w:val="21"/>
              </w:rPr>
            </w:pPr>
          </w:p>
        </w:tc>
        <w:tc>
          <w:tcPr>
            <w:tcW w:w="709" w:type="dxa"/>
            <w:vMerge w:val="continue"/>
          </w:tcPr>
          <w:p>
            <w:pPr>
              <w:spacing w:line="280" w:lineRule="exact"/>
              <w:rPr>
                <w:rFonts w:ascii="宋体" w:hAnsi="宋体" w:cs="宋体"/>
                <w:b/>
                <w:bCs/>
                <w:szCs w:val="21"/>
              </w:rPr>
            </w:pPr>
          </w:p>
        </w:tc>
        <w:tc>
          <w:tcPr>
            <w:tcW w:w="2409" w:type="dxa"/>
          </w:tcPr>
          <w:p>
            <w:pPr>
              <w:spacing w:line="280" w:lineRule="exact"/>
              <w:rPr>
                <w:rFonts w:ascii="宋体" w:hAnsi="宋体" w:cs="宋体"/>
                <w:spacing w:val="2"/>
                <w:szCs w:val="21"/>
              </w:rPr>
            </w:pPr>
            <w:r>
              <w:rPr>
                <w:rFonts w:hint="eastAsia" w:ascii="宋体" w:hAnsi="宋体" w:cs="宋体"/>
                <w:spacing w:val="2"/>
                <w:szCs w:val="21"/>
              </w:rPr>
              <w:t>3.企业主要负责人应作出明确的、公开的、文件化的安全承诺，并确保安全承诺转变为必需的资源支持。</w:t>
            </w:r>
          </w:p>
        </w:tc>
        <w:tc>
          <w:tcPr>
            <w:tcW w:w="2268" w:type="dxa"/>
          </w:tcPr>
          <w:p>
            <w:pPr>
              <w:spacing w:line="280" w:lineRule="exact"/>
              <w:rPr>
                <w:rFonts w:ascii="宋体" w:hAnsi="宋体" w:cs="宋体"/>
                <w:spacing w:val="2"/>
                <w:szCs w:val="21"/>
              </w:rPr>
            </w:pPr>
            <w:r>
              <w:rPr>
                <w:rFonts w:hint="eastAsia" w:ascii="宋体" w:hAnsi="宋体" w:cs="宋体"/>
                <w:spacing w:val="2"/>
                <w:szCs w:val="21"/>
              </w:rPr>
              <w:t>1.安全承诺的内容应明确、公开、文件化；</w:t>
            </w:r>
          </w:p>
          <w:p>
            <w:pPr>
              <w:spacing w:line="280" w:lineRule="exact"/>
              <w:rPr>
                <w:rFonts w:ascii="宋体" w:hAnsi="宋体" w:cs="宋体"/>
                <w:spacing w:val="2"/>
                <w:szCs w:val="21"/>
              </w:rPr>
            </w:pPr>
            <w:r>
              <w:rPr>
                <w:rFonts w:hint="eastAsia" w:ascii="宋体" w:hAnsi="宋体" w:cs="宋体"/>
                <w:spacing w:val="2"/>
                <w:szCs w:val="21"/>
              </w:rPr>
              <w:t>2.主要负责人应确保安全生产标准化所需的资金、人员、时间、设备设施等资源。</w:t>
            </w:r>
          </w:p>
        </w:tc>
        <w:tc>
          <w:tcPr>
            <w:tcW w:w="2268" w:type="dxa"/>
          </w:tcPr>
          <w:p>
            <w:pPr>
              <w:spacing w:line="280" w:lineRule="exact"/>
              <w:rPr>
                <w:rFonts w:ascii="宋体" w:hAnsi="宋体" w:cs="宋体"/>
                <w:spacing w:val="2"/>
                <w:szCs w:val="21"/>
              </w:rPr>
            </w:pPr>
            <w:r>
              <w:rPr>
                <w:rFonts w:hint="eastAsia" w:ascii="宋体" w:hAnsi="宋体" w:cs="宋体"/>
                <w:spacing w:val="2"/>
                <w:szCs w:val="21"/>
              </w:rPr>
              <w:t>查文件：</w:t>
            </w:r>
          </w:p>
          <w:p>
            <w:pPr>
              <w:spacing w:line="280" w:lineRule="exact"/>
              <w:rPr>
                <w:rFonts w:ascii="宋体" w:hAnsi="宋体" w:cs="宋体"/>
                <w:spacing w:val="2"/>
                <w:szCs w:val="21"/>
              </w:rPr>
            </w:pPr>
            <w:r>
              <w:rPr>
                <w:rFonts w:hint="eastAsia" w:ascii="宋体" w:hAnsi="宋体" w:cs="宋体"/>
                <w:spacing w:val="2"/>
                <w:szCs w:val="21"/>
              </w:rPr>
              <w:t>1.主要负责人安全承诺书；</w:t>
            </w:r>
          </w:p>
          <w:p>
            <w:pPr>
              <w:spacing w:line="280" w:lineRule="exact"/>
              <w:rPr>
                <w:rFonts w:ascii="宋体" w:hAnsi="宋体" w:cs="宋体"/>
                <w:spacing w:val="2"/>
                <w:szCs w:val="21"/>
              </w:rPr>
            </w:pPr>
            <w:r>
              <w:rPr>
                <w:rFonts w:hint="eastAsia" w:ascii="宋体" w:hAnsi="宋体" w:cs="宋体"/>
                <w:spacing w:val="2"/>
                <w:szCs w:val="21"/>
              </w:rPr>
              <w:t>2.资源配备文件及使用记录。</w:t>
            </w:r>
          </w:p>
          <w:p>
            <w:pPr>
              <w:spacing w:line="280" w:lineRule="exact"/>
              <w:rPr>
                <w:rFonts w:ascii="宋体" w:hAnsi="宋体" w:cs="宋体"/>
                <w:spacing w:val="2"/>
                <w:szCs w:val="21"/>
              </w:rPr>
            </w:pPr>
            <w:r>
              <w:rPr>
                <w:rFonts w:hint="eastAsia" w:ascii="宋体" w:hAnsi="宋体" w:cs="宋体"/>
                <w:spacing w:val="2"/>
                <w:szCs w:val="21"/>
              </w:rPr>
              <w:t>询问：</w:t>
            </w:r>
          </w:p>
          <w:p>
            <w:pPr>
              <w:spacing w:line="280" w:lineRule="exact"/>
              <w:rPr>
                <w:rFonts w:ascii="宋体" w:hAnsi="宋体" w:cs="宋体"/>
                <w:spacing w:val="2"/>
                <w:szCs w:val="21"/>
              </w:rPr>
            </w:pPr>
            <w:r>
              <w:rPr>
                <w:rFonts w:hint="eastAsia" w:ascii="宋体" w:hAnsi="宋体" w:cs="宋体"/>
                <w:spacing w:val="2"/>
                <w:szCs w:val="21"/>
              </w:rPr>
              <w:t>1.主要负责人如何提供资源支持；</w:t>
            </w:r>
          </w:p>
          <w:p>
            <w:pPr>
              <w:spacing w:line="280" w:lineRule="exact"/>
              <w:rPr>
                <w:rFonts w:ascii="宋体" w:hAnsi="宋体" w:cs="宋体"/>
                <w:spacing w:val="2"/>
                <w:szCs w:val="21"/>
              </w:rPr>
            </w:pPr>
            <w:r>
              <w:rPr>
                <w:rFonts w:hint="eastAsia" w:ascii="宋体" w:hAnsi="宋体" w:cs="宋体"/>
                <w:spacing w:val="2"/>
                <w:szCs w:val="21"/>
              </w:rPr>
              <w:t>2.从业人员是否知道主要负责人的安全承诺。</w:t>
            </w:r>
          </w:p>
          <w:p>
            <w:pPr>
              <w:spacing w:line="280" w:lineRule="exact"/>
              <w:rPr>
                <w:rFonts w:ascii="宋体" w:hAnsi="宋体" w:cs="宋体"/>
                <w:spacing w:val="2"/>
                <w:szCs w:val="21"/>
              </w:rPr>
            </w:pPr>
            <w:r>
              <w:rPr>
                <w:rFonts w:hint="eastAsia" w:ascii="宋体" w:hAnsi="宋体" w:cs="宋体"/>
                <w:spacing w:val="2"/>
                <w:szCs w:val="21"/>
              </w:rPr>
              <w:t>现场检查:</w:t>
            </w:r>
          </w:p>
          <w:p>
            <w:pPr>
              <w:spacing w:line="280" w:lineRule="exact"/>
              <w:rPr>
                <w:rFonts w:ascii="宋体" w:hAnsi="宋体" w:cs="宋体"/>
                <w:spacing w:val="2"/>
                <w:szCs w:val="21"/>
              </w:rPr>
            </w:pPr>
            <w:r>
              <w:rPr>
                <w:rFonts w:hint="eastAsia" w:ascii="宋体" w:hAnsi="宋体" w:cs="宋体"/>
                <w:spacing w:val="2"/>
                <w:szCs w:val="21"/>
              </w:rPr>
              <w:t>安全承诺告知情况。</w:t>
            </w:r>
          </w:p>
        </w:tc>
        <w:tc>
          <w:tcPr>
            <w:tcW w:w="1701" w:type="dxa"/>
          </w:tcPr>
          <w:p>
            <w:pPr>
              <w:spacing w:line="280" w:lineRule="exact"/>
              <w:rPr>
                <w:rFonts w:ascii="宋体" w:hAnsi="宋体" w:cs="宋体"/>
                <w:spacing w:val="2"/>
                <w:szCs w:val="21"/>
              </w:rPr>
            </w:pPr>
          </w:p>
        </w:tc>
        <w:tc>
          <w:tcPr>
            <w:tcW w:w="2268" w:type="dxa"/>
          </w:tcPr>
          <w:p>
            <w:pPr>
              <w:spacing w:line="280" w:lineRule="exact"/>
              <w:rPr>
                <w:rFonts w:ascii="宋体" w:hAnsi="宋体" w:cs="宋体"/>
                <w:spacing w:val="2"/>
                <w:szCs w:val="21"/>
              </w:rPr>
            </w:pPr>
            <w:r>
              <w:rPr>
                <w:rFonts w:hint="eastAsia" w:ascii="宋体" w:hAnsi="宋体" w:cs="宋体"/>
                <w:spacing w:val="2"/>
                <w:szCs w:val="21"/>
              </w:rPr>
              <w:t>1.主要负责人未作出安全承诺，扣10分；</w:t>
            </w:r>
          </w:p>
          <w:p>
            <w:pPr>
              <w:spacing w:line="280" w:lineRule="exact"/>
              <w:rPr>
                <w:rFonts w:ascii="宋体" w:hAnsi="宋体" w:cs="宋体"/>
                <w:spacing w:val="2"/>
                <w:szCs w:val="21"/>
              </w:rPr>
            </w:pPr>
            <w:r>
              <w:rPr>
                <w:rFonts w:hint="eastAsia" w:ascii="宋体" w:hAnsi="宋体" w:cs="宋体"/>
                <w:spacing w:val="2"/>
                <w:szCs w:val="21"/>
              </w:rPr>
              <w:t>2.安全承诺未明确、公开、文件化，一项不符合扣2分；</w:t>
            </w:r>
          </w:p>
          <w:p>
            <w:pPr>
              <w:spacing w:line="280" w:lineRule="exact"/>
              <w:rPr>
                <w:rFonts w:ascii="宋体" w:hAnsi="宋体" w:cs="宋体"/>
                <w:spacing w:val="2"/>
                <w:szCs w:val="21"/>
              </w:rPr>
            </w:pPr>
            <w:r>
              <w:rPr>
                <w:rFonts w:hint="eastAsia" w:ascii="宋体" w:hAnsi="宋体" w:cs="宋体"/>
                <w:spacing w:val="2"/>
                <w:szCs w:val="21"/>
              </w:rPr>
              <w:t>3.资源支持、配备不充分，一项不符合扣2分；</w:t>
            </w:r>
          </w:p>
          <w:p>
            <w:pPr>
              <w:spacing w:line="280" w:lineRule="exact"/>
              <w:rPr>
                <w:rFonts w:ascii="宋体" w:hAnsi="宋体" w:cs="宋体"/>
                <w:spacing w:val="2"/>
                <w:szCs w:val="21"/>
              </w:rPr>
            </w:pPr>
            <w:r>
              <w:rPr>
                <w:rFonts w:hint="eastAsia" w:ascii="宋体" w:hAnsi="宋体" w:cs="宋体"/>
                <w:spacing w:val="2"/>
                <w:szCs w:val="21"/>
              </w:rPr>
              <w:t>4.从业人员不清楚主要负责人的安全承诺，1人次扣1分。</w:t>
            </w:r>
          </w:p>
        </w:tc>
        <w:tc>
          <w:tcPr>
            <w:tcW w:w="1165" w:type="dxa"/>
            <w:vAlign w:val="center"/>
          </w:tcPr>
          <w:p>
            <w:pPr>
              <w:tabs>
                <w:tab w:val="left" w:pos="531"/>
              </w:tabs>
              <w:jc w:val="center"/>
              <w:rPr>
                <w:rFonts w:ascii="宋体" w:hAnsi="宋体" w:cs="宋体"/>
                <w:szCs w:val="21"/>
              </w:rPr>
            </w:pPr>
            <w:r>
              <w:rPr>
                <w:rFonts w:hint="eastAsia" w:ascii="宋体" w:hAnsi="宋体" w:cs="宋体"/>
                <w:szCs w:val="21"/>
              </w:rPr>
              <w:t>符合要求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771" w:type="dxa"/>
            <w:vMerge w:val="continue"/>
          </w:tcPr>
          <w:p>
            <w:pPr>
              <w:spacing w:line="280" w:lineRule="exact"/>
              <w:rPr>
                <w:rFonts w:ascii="宋体" w:hAnsi="宋体" w:cs="宋体"/>
                <w:b/>
                <w:bCs/>
                <w:szCs w:val="21"/>
              </w:rPr>
            </w:pPr>
          </w:p>
        </w:tc>
        <w:tc>
          <w:tcPr>
            <w:tcW w:w="709" w:type="dxa"/>
            <w:vMerge w:val="continue"/>
          </w:tcPr>
          <w:p>
            <w:pPr>
              <w:spacing w:line="280" w:lineRule="exact"/>
              <w:rPr>
                <w:rFonts w:ascii="宋体" w:hAnsi="宋体" w:cs="宋体"/>
                <w:b/>
                <w:bCs/>
                <w:szCs w:val="21"/>
              </w:rPr>
            </w:pPr>
          </w:p>
        </w:tc>
        <w:tc>
          <w:tcPr>
            <w:tcW w:w="2409" w:type="dxa"/>
          </w:tcPr>
          <w:p>
            <w:pPr>
              <w:spacing w:line="280" w:lineRule="exact"/>
              <w:rPr>
                <w:rFonts w:ascii="宋体" w:hAnsi="宋体" w:cs="宋体"/>
                <w:spacing w:val="2"/>
                <w:szCs w:val="21"/>
              </w:rPr>
            </w:pPr>
            <w:r>
              <w:rPr>
                <w:rFonts w:hint="eastAsia" w:ascii="宋体" w:hAnsi="宋体" w:cs="宋体"/>
                <w:spacing w:val="2"/>
                <w:szCs w:val="21"/>
              </w:rPr>
              <w:t>4.企业主要负责人应定期组织召开安全生产委员会或领导小组会议（以下简称安委会）。</w:t>
            </w:r>
          </w:p>
        </w:tc>
        <w:tc>
          <w:tcPr>
            <w:tcW w:w="2268" w:type="dxa"/>
          </w:tcPr>
          <w:p>
            <w:pPr>
              <w:spacing w:line="280" w:lineRule="exact"/>
              <w:rPr>
                <w:rFonts w:ascii="宋体" w:hAnsi="宋体" w:cs="宋体"/>
                <w:spacing w:val="2"/>
                <w:szCs w:val="21"/>
              </w:rPr>
            </w:pPr>
            <w:r>
              <w:rPr>
                <w:rFonts w:hint="eastAsia" w:ascii="宋体" w:hAnsi="宋体" w:cs="宋体"/>
                <w:spacing w:val="2"/>
                <w:szCs w:val="21"/>
              </w:rPr>
              <w:t>主要负责人定期组织召开安委会会议，或定期听取安全生产工作情况汇报，了解安全生产状况，解决安全生产问题。</w:t>
            </w:r>
          </w:p>
        </w:tc>
        <w:tc>
          <w:tcPr>
            <w:tcW w:w="2268" w:type="dxa"/>
          </w:tcPr>
          <w:p>
            <w:pPr>
              <w:spacing w:line="280" w:lineRule="exact"/>
              <w:rPr>
                <w:rFonts w:ascii="宋体" w:hAnsi="宋体" w:cs="宋体"/>
                <w:spacing w:val="2"/>
                <w:szCs w:val="21"/>
              </w:rPr>
            </w:pPr>
            <w:r>
              <w:rPr>
                <w:rFonts w:hint="eastAsia" w:ascii="宋体" w:hAnsi="宋体" w:cs="宋体"/>
                <w:spacing w:val="2"/>
                <w:szCs w:val="21"/>
              </w:rPr>
              <w:t>查文件：</w:t>
            </w:r>
          </w:p>
          <w:p>
            <w:pPr>
              <w:spacing w:line="280" w:lineRule="exact"/>
              <w:rPr>
                <w:rFonts w:ascii="宋体" w:hAnsi="宋体" w:cs="宋体"/>
                <w:spacing w:val="2"/>
                <w:szCs w:val="21"/>
              </w:rPr>
            </w:pPr>
            <w:r>
              <w:rPr>
                <w:rFonts w:hint="eastAsia" w:ascii="宋体" w:hAnsi="宋体" w:cs="宋体"/>
                <w:spacing w:val="2"/>
                <w:szCs w:val="21"/>
              </w:rPr>
              <w:t>1.查安委会会议记录或纪要；</w:t>
            </w:r>
          </w:p>
          <w:p>
            <w:pPr>
              <w:spacing w:line="280" w:lineRule="exact"/>
              <w:rPr>
                <w:rFonts w:ascii="宋体" w:hAnsi="宋体" w:cs="宋体"/>
                <w:spacing w:val="2"/>
                <w:szCs w:val="21"/>
              </w:rPr>
            </w:pPr>
            <w:r>
              <w:rPr>
                <w:rFonts w:hint="eastAsia" w:ascii="宋体" w:hAnsi="宋体" w:cs="宋体"/>
                <w:spacing w:val="2"/>
                <w:szCs w:val="21"/>
              </w:rPr>
              <w:t>2.安全生产工作汇报资料。</w:t>
            </w:r>
          </w:p>
          <w:p>
            <w:pPr>
              <w:spacing w:line="280" w:lineRule="exact"/>
              <w:rPr>
                <w:rFonts w:ascii="宋体" w:hAnsi="宋体" w:cs="宋体"/>
                <w:spacing w:val="2"/>
                <w:szCs w:val="21"/>
              </w:rPr>
            </w:pPr>
            <w:r>
              <w:rPr>
                <w:rFonts w:hint="eastAsia" w:ascii="宋体" w:hAnsi="宋体" w:cs="宋体"/>
                <w:spacing w:val="2"/>
                <w:szCs w:val="21"/>
              </w:rPr>
              <w:t>询问：</w:t>
            </w:r>
          </w:p>
          <w:p>
            <w:pPr>
              <w:spacing w:line="280" w:lineRule="exact"/>
              <w:rPr>
                <w:rFonts w:ascii="宋体" w:hAnsi="宋体" w:cs="宋体"/>
                <w:spacing w:val="2"/>
                <w:szCs w:val="21"/>
              </w:rPr>
            </w:pPr>
            <w:r>
              <w:rPr>
                <w:rFonts w:hint="eastAsia" w:ascii="宋体" w:hAnsi="宋体" w:cs="宋体"/>
                <w:spacing w:val="2"/>
                <w:szCs w:val="21"/>
              </w:rPr>
              <w:t>主要负责人听取安全生产工作汇报的情况。</w:t>
            </w:r>
          </w:p>
        </w:tc>
        <w:tc>
          <w:tcPr>
            <w:tcW w:w="1701" w:type="dxa"/>
          </w:tcPr>
          <w:p>
            <w:pPr>
              <w:spacing w:line="280" w:lineRule="exact"/>
              <w:rPr>
                <w:rFonts w:ascii="宋体" w:hAnsi="宋体" w:cs="宋体"/>
                <w:spacing w:val="2"/>
                <w:szCs w:val="21"/>
              </w:rPr>
            </w:pPr>
          </w:p>
        </w:tc>
        <w:tc>
          <w:tcPr>
            <w:tcW w:w="2268" w:type="dxa"/>
          </w:tcPr>
          <w:p>
            <w:pPr>
              <w:spacing w:line="280" w:lineRule="exact"/>
              <w:rPr>
                <w:rFonts w:ascii="宋体" w:hAnsi="宋体" w:cs="宋体"/>
                <w:spacing w:val="2"/>
                <w:szCs w:val="21"/>
              </w:rPr>
            </w:pPr>
            <w:r>
              <w:rPr>
                <w:rFonts w:hint="eastAsia" w:ascii="宋体" w:hAnsi="宋体" w:cs="宋体"/>
                <w:spacing w:val="2"/>
                <w:szCs w:val="21"/>
              </w:rPr>
              <w:t>1.主要负责人未定期召开安委会会议或听取汇报，扣10分；</w:t>
            </w:r>
          </w:p>
          <w:p>
            <w:pPr>
              <w:spacing w:line="280" w:lineRule="exact"/>
              <w:rPr>
                <w:rFonts w:ascii="宋体" w:hAnsi="宋体" w:cs="宋体"/>
                <w:spacing w:val="2"/>
                <w:szCs w:val="21"/>
              </w:rPr>
            </w:pPr>
            <w:r>
              <w:rPr>
                <w:rFonts w:hint="eastAsia" w:ascii="宋体" w:hAnsi="宋体" w:cs="宋体"/>
                <w:spacing w:val="2"/>
                <w:szCs w:val="21"/>
              </w:rPr>
              <w:t>2.未形成会议记录或纪要，扣2分；</w:t>
            </w:r>
          </w:p>
          <w:p>
            <w:pPr>
              <w:spacing w:line="280" w:lineRule="exact"/>
              <w:rPr>
                <w:rFonts w:ascii="宋体" w:hAnsi="宋体" w:cs="宋体"/>
                <w:spacing w:val="2"/>
                <w:szCs w:val="21"/>
              </w:rPr>
            </w:pPr>
            <w:r>
              <w:rPr>
                <w:rFonts w:hint="eastAsia" w:ascii="宋体" w:hAnsi="宋体" w:cs="宋体"/>
                <w:spacing w:val="2"/>
                <w:szCs w:val="21"/>
              </w:rPr>
              <w:t>3.安全生产问题未及时解决，一项不符合扣2分。</w:t>
            </w:r>
          </w:p>
        </w:tc>
        <w:tc>
          <w:tcPr>
            <w:tcW w:w="1165" w:type="dxa"/>
            <w:vAlign w:val="center"/>
          </w:tcPr>
          <w:p>
            <w:pPr>
              <w:tabs>
                <w:tab w:val="left" w:pos="531"/>
              </w:tabs>
              <w:jc w:val="center"/>
              <w:rPr>
                <w:rFonts w:ascii="宋体" w:hAnsi="宋体" w:cs="宋体"/>
                <w:szCs w:val="21"/>
              </w:rPr>
            </w:pPr>
            <w:r>
              <w:rPr>
                <w:rFonts w:hint="eastAsia" w:ascii="宋体" w:hAnsi="宋体" w:cs="宋体"/>
                <w:szCs w:val="21"/>
              </w:rPr>
              <w:t>符合要求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771" w:type="dxa"/>
            <w:vMerge w:val="continue"/>
          </w:tcPr>
          <w:p>
            <w:pPr>
              <w:spacing w:line="280" w:lineRule="exact"/>
              <w:rPr>
                <w:rFonts w:ascii="宋体" w:hAnsi="宋体" w:cs="宋体"/>
                <w:b/>
                <w:bCs/>
                <w:szCs w:val="21"/>
              </w:rPr>
            </w:pPr>
          </w:p>
        </w:tc>
        <w:tc>
          <w:tcPr>
            <w:tcW w:w="709" w:type="dxa"/>
            <w:vMerge w:val="continue"/>
          </w:tcPr>
          <w:p>
            <w:pPr>
              <w:spacing w:line="280" w:lineRule="exact"/>
              <w:rPr>
                <w:rFonts w:ascii="宋体" w:hAnsi="宋体" w:cs="宋体"/>
                <w:b/>
                <w:bCs/>
                <w:szCs w:val="21"/>
              </w:rPr>
            </w:pPr>
          </w:p>
        </w:tc>
        <w:tc>
          <w:tcPr>
            <w:tcW w:w="2409" w:type="dxa"/>
          </w:tcPr>
          <w:p>
            <w:pPr>
              <w:spacing w:line="280" w:lineRule="exact"/>
              <w:rPr>
                <w:rFonts w:ascii="宋体" w:hAnsi="宋体" w:cs="宋体"/>
                <w:spacing w:val="2"/>
                <w:szCs w:val="21"/>
              </w:rPr>
            </w:pPr>
            <w:r>
              <w:rPr>
                <w:rFonts w:hint="eastAsia" w:ascii="宋体" w:hAnsi="宋体" w:cs="宋体"/>
                <w:spacing w:val="2"/>
                <w:szCs w:val="21"/>
              </w:rPr>
              <w:t>5.</w:t>
            </w:r>
          </w:p>
        </w:tc>
        <w:tc>
          <w:tcPr>
            <w:tcW w:w="2268" w:type="dxa"/>
          </w:tcPr>
          <w:p>
            <w:pPr>
              <w:spacing w:line="280" w:lineRule="exact"/>
              <w:rPr>
                <w:rFonts w:ascii="宋体" w:hAnsi="宋体" w:cs="宋体"/>
                <w:spacing w:val="2"/>
                <w:szCs w:val="21"/>
              </w:rPr>
            </w:pPr>
            <w:r>
              <w:rPr>
                <w:rFonts w:hint="eastAsia" w:ascii="宋体" w:hAnsi="宋体" w:cs="宋体"/>
                <w:spacing w:val="2"/>
                <w:szCs w:val="21"/>
              </w:rPr>
              <w:t>1.落实领导干部带班制度；</w:t>
            </w:r>
          </w:p>
          <w:p>
            <w:pPr>
              <w:spacing w:line="280" w:lineRule="exact"/>
              <w:rPr>
                <w:rFonts w:ascii="宋体" w:hAnsi="宋体" w:cs="宋体"/>
                <w:spacing w:val="2"/>
                <w:szCs w:val="21"/>
              </w:rPr>
            </w:pPr>
            <w:r>
              <w:rPr>
                <w:rFonts w:hint="eastAsia" w:ascii="宋体" w:hAnsi="宋体" w:cs="宋体"/>
                <w:spacing w:val="2"/>
                <w:szCs w:val="21"/>
              </w:rPr>
              <w:t>2．主要负责人要对领导干部带班负全责。</w:t>
            </w:r>
          </w:p>
        </w:tc>
        <w:tc>
          <w:tcPr>
            <w:tcW w:w="2268" w:type="dxa"/>
          </w:tcPr>
          <w:p>
            <w:pPr>
              <w:spacing w:line="280" w:lineRule="exact"/>
              <w:rPr>
                <w:rFonts w:ascii="宋体" w:hAnsi="宋体" w:cs="宋体"/>
                <w:spacing w:val="2"/>
                <w:szCs w:val="21"/>
              </w:rPr>
            </w:pPr>
            <w:r>
              <w:rPr>
                <w:rFonts w:hint="eastAsia" w:ascii="宋体" w:hAnsi="宋体" w:cs="宋体"/>
                <w:spacing w:val="2"/>
                <w:szCs w:val="21"/>
              </w:rPr>
              <w:t>查文件：</w:t>
            </w:r>
          </w:p>
          <w:p>
            <w:pPr>
              <w:spacing w:line="280" w:lineRule="exact"/>
              <w:rPr>
                <w:rFonts w:ascii="宋体" w:hAnsi="宋体" w:cs="宋体"/>
                <w:spacing w:val="2"/>
                <w:szCs w:val="21"/>
              </w:rPr>
            </w:pPr>
            <w:r>
              <w:rPr>
                <w:rFonts w:hint="eastAsia" w:ascii="宋体" w:hAnsi="宋体" w:cs="宋体"/>
                <w:spacing w:val="2"/>
                <w:szCs w:val="21"/>
              </w:rPr>
              <w:t>1.领导干部带班制度；</w:t>
            </w:r>
          </w:p>
          <w:p>
            <w:pPr>
              <w:spacing w:line="280" w:lineRule="exact"/>
              <w:rPr>
                <w:rFonts w:ascii="宋体" w:hAnsi="宋体" w:cs="宋体"/>
                <w:spacing w:val="2"/>
                <w:szCs w:val="21"/>
              </w:rPr>
            </w:pPr>
            <w:r>
              <w:rPr>
                <w:rFonts w:hint="eastAsia" w:ascii="宋体" w:hAnsi="宋体" w:cs="宋体"/>
                <w:spacing w:val="2"/>
                <w:szCs w:val="21"/>
              </w:rPr>
              <w:t>2.领导干部带班记录及考核记录。</w:t>
            </w:r>
          </w:p>
          <w:p>
            <w:pPr>
              <w:spacing w:line="280" w:lineRule="exact"/>
              <w:rPr>
                <w:rFonts w:ascii="宋体" w:hAnsi="宋体" w:cs="宋体"/>
                <w:spacing w:val="2"/>
                <w:szCs w:val="21"/>
              </w:rPr>
            </w:pPr>
            <w:r>
              <w:rPr>
                <w:rFonts w:hint="eastAsia" w:ascii="宋体" w:hAnsi="宋体" w:cs="宋体"/>
                <w:spacing w:val="2"/>
                <w:szCs w:val="21"/>
              </w:rPr>
              <w:t>询问：</w:t>
            </w:r>
          </w:p>
          <w:p>
            <w:pPr>
              <w:spacing w:line="280" w:lineRule="exact"/>
              <w:rPr>
                <w:rFonts w:ascii="宋体" w:hAnsi="宋体" w:cs="宋体"/>
                <w:spacing w:val="2"/>
                <w:szCs w:val="21"/>
              </w:rPr>
            </w:pPr>
            <w:r>
              <w:rPr>
                <w:rFonts w:hint="eastAsia" w:ascii="宋体" w:hAnsi="宋体" w:cs="宋体"/>
                <w:spacing w:val="2"/>
                <w:szCs w:val="21"/>
              </w:rPr>
              <w:t>主要负责人等有关负责人了解和执行带班制度的情况。</w:t>
            </w:r>
          </w:p>
        </w:tc>
        <w:tc>
          <w:tcPr>
            <w:tcW w:w="1701" w:type="dxa"/>
          </w:tcPr>
          <w:p>
            <w:pPr>
              <w:spacing w:line="280" w:lineRule="exact"/>
              <w:rPr>
                <w:rFonts w:ascii="宋体" w:hAnsi="宋体" w:cs="宋体"/>
                <w:b/>
                <w:bCs/>
                <w:spacing w:val="2"/>
                <w:szCs w:val="21"/>
              </w:rPr>
            </w:pPr>
            <w:r>
              <w:rPr>
                <w:rFonts w:hint="eastAsia" w:ascii="宋体" w:hAnsi="宋体" w:cs="宋体"/>
                <w:b/>
                <w:bCs/>
                <w:spacing w:val="2"/>
                <w:szCs w:val="21"/>
              </w:rPr>
              <w:t>未实施领导干部带班，扣20分（B级要素否决项）。</w:t>
            </w:r>
          </w:p>
          <w:p>
            <w:pPr>
              <w:spacing w:line="280" w:lineRule="exact"/>
              <w:rPr>
                <w:rFonts w:ascii="宋体" w:hAnsi="宋体" w:cs="宋体"/>
                <w:spacing w:val="2"/>
                <w:szCs w:val="21"/>
              </w:rPr>
            </w:pPr>
          </w:p>
        </w:tc>
        <w:tc>
          <w:tcPr>
            <w:tcW w:w="2268" w:type="dxa"/>
          </w:tcPr>
          <w:p>
            <w:pPr>
              <w:spacing w:line="280" w:lineRule="exact"/>
              <w:rPr>
                <w:rFonts w:ascii="宋体" w:hAnsi="宋体" w:cs="宋体"/>
                <w:spacing w:val="2"/>
                <w:szCs w:val="21"/>
              </w:rPr>
            </w:pPr>
            <w:r>
              <w:rPr>
                <w:rFonts w:hint="eastAsia" w:ascii="宋体" w:hAnsi="宋体" w:cs="宋体"/>
                <w:spacing w:val="2"/>
                <w:szCs w:val="21"/>
              </w:rPr>
              <w:t>1.领导干部无故不参加带班，1人次扣2分；</w:t>
            </w:r>
          </w:p>
          <w:p>
            <w:pPr>
              <w:spacing w:line="280" w:lineRule="exact"/>
              <w:rPr>
                <w:rFonts w:ascii="宋体" w:hAnsi="宋体" w:cs="宋体"/>
                <w:spacing w:val="2"/>
                <w:szCs w:val="21"/>
              </w:rPr>
            </w:pPr>
            <w:r>
              <w:rPr>
                <w:rFonts w:hint="eastAsia" w:ascii="宋体" w:hAnsi="宋体" w:cs="宋体"/>
                <w:spacing w:val="2"/>
                <w:szCs w:val="21"/>
              </w:rPr>
              <w:t>2.带班记录一项不符合扣1分；</w:t>
            </w:r>
          </w:p>
          <w:p>
            <w:pPr>
              <w:spacing w:line="280" w:lineRule="exact"/>
              <w:rPr>
                <w:rFonts w:ascii="宋体" w:hAnsi="宋体" w:cs="宋体"/>
                <w:spacing w:val="2"/>
                <w:szCs w:val="21"/>
              </w:rPr>
            </w:pPr>
            <w:r>
              <w:rPr>
                <w:rFonts w:hint="eastAsia" w:ascii="宋体" w:hAnsi="宋体" w:cs="宋体"/>
                <w:spacing w:val="2"/>
                <w:szCs w:val="21"/>
              </w:rPr>
              <w:t>3.未按规定进行领导带班制度执行情况考核，扣2分；</w:t>
            </w:r>
          </w:p>
          <w:p>
            <w:pPr>
              <w:spacing w:line="280" w:lineRule="exact"/>
              <w:rPr>
                <w:rFonts w:ascii="宋体" w:hAnsi="宋体" w:cs="宋体"/>
                <w:spacing w:val="2"/>
                <w:szCs w:val="21"/>
              </w:rPr>
            </w:pPr>
            <w:r>
              <w:rPr>
                <w:rFonts w:hint="eastAsia" w:ascii="宋体" w:hAnsi="宋体" w:cs="宋体"/>
                <w:spacing w:val="2"/>
                <w:szCs w:val="21"/>
              </w:rPr>
              <w:t>4.主要负责人不清楚领导干部带班情况，扣2分。</w:t>
            </w:r>
          </w:p>
        </w:tc>
        <w:tc>
          <w:tcPr>
            <w:tcW w:w="1165" w:type="dxa"/>
            <w:vAlign w:val="center"/>
          </w:tcPr>
          <w:p>
            <w:pPr>
              <w:tabs>
                <w:tab w:val="left" w:pos="531"/>
              </w:tabs>
              <w:jc w:val="center"/>
              <w:rPr>
                <w:rFonts w:ascii="宋体" w:hAnsi="宋体" w:cs="宋体"/>
                <w:szCs w:val="21"/>
              </w:rPr>
            </w:pPr>
            <w:r>
              <w:rPr>
                <w:rFonts w:hint="eastAsia" w:ascii="宋体" w:hAnsi="宋体" w:cs="宋体"/>
                <w:szCs w:val="21"/>
              </w:rPr>
              <w:t>符合要求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771" w:type="dxa"/>
            <w:vMerge w:val="continue"/>
          </w:tcPr>
          <w:p>
            <w:pPr>
              <w:spacing w:line="280" w:lineRule="exact"/>
              <w:rPr>
                <w:rFonts w:ascii="宋体" w:hAnsi="宋体" w:cs="宋体"/>
                <w:b/>
                <w:bCs/>
                <w:szCs w:val="21"/>
              </w:rPr>
            </w:pPr>
          </w:p>
        </w:tc>
        <w:tc>
          <w:tcPr>
            <w:tcW w:w="709" w:type="dxa"/>
            <w:vMerge w:val="restart"/>
          </w:tcPr>
          <w:p>
            <w:pPr>
              <w:spacing w:line="280" w:lineRule="exact"/>
              <w:rPr>
                <w:rFonts w:ascii="宋体" w:hAnsi="宋体" w:cs="宋体"/>
                <w:b/>
                <w:bCs/>
                <w:szCs w:val="21"/>
              </w:rPr>
            </w:pPr>
            <w:r>
              <w:rPr>
                <w:rFonts w:hint="eastAsia" w:ascii="宋体" w:hAnsi="宋体" w:cs="宋体"/>
                <w:b/>
                <w:bCs/>
                <w:szCs w:val="21"/>
              </w:rPr>
              <w:t>2.3 职责</w:t>
            </w:r>
          </w:p>
          <w:p>
            <w:pPr>
              <w:spacing w:line="280" w:lineRule="exact"/>
              <w:rPr>
                <w:rFonts w:ascii="宋体" w:hAnsi="宋体" w:cs="宋体"/>
                <w:b/>
                <w:bCs/>
                <w:szCs w:val="21"/>
              </w:rPr>
            </w:pPr>
            <w:r>
              <w:rPr>
                <w:rFonts w:hint="eastAsia" w:ascii="宋体" w:hAnsi="宋体" w:cs="宋体"/>
                <w:b/>
                <w:bCs/>
                <w:szCs w:val="21"/>
              </w:rPr>
              <w:t>（30分）</w:t>
            </w:r>
          </w:p>
        </w:tc>
        <w:tc>
          <w:tcPr>
            <w:tcW w:w="2409" w:type="dxa"/>
          </w:tcPr>
          <w:p>
            <w:pPr>
              <w:spacing w:line="280" w:lineRule="exact"/>
              <w:rPr>
                <w:rFonts w:ascii="宋体" w:hAnsi="宋体" w:cs="宋体"/>
                <w:spacing w:val="2"/>
                <w:szCs w:val="21"/>
              </w:rPr>
            </w:pPr>
            <w:r>
              <w:rPr>
                <w:rFonts w:hint="eastAsia" w:ascii="宋体" w:hAnsi="宋体" w:cs="宋体"/>
                <w:spacing w:val="2"/>
                <w:szCs w:val="21"/>
              </w:rPr>
              <w:t>1.企业应制定安委会和管理部门的安全职责。</w:t>
            </w:r>
          </w:p>
        </w:tc>
        <w:tc>
          <w:tcPr>
            <w:tcW w:w="2268" w:type="dxa"/>
          </w:tcPr>
          <w:p>
            <w:pPr>
              <w:spacing w:line="280" w:lineRule="exact"/>
              <w:rPr>
                <w:rFonts w:ascii="宋体" w:hAnsi="宋体" w:cs="宋体"/>
                <w:spacing w:val="2"/>
                <w:szCs w:val="21"/>
              </w:rPr>
            </w:pPr>
            <w:r>
              <w:rPr>
                <w:rFonts w:hint="eastAsia" w:ascii="宋体" w:hAnsi="宋体" w:cs="宋体"/>
                <w:spacing w:val="2"/>
                <w:szCs w:val="21"/>
              </w:rPr>
              <w:t>制定安委会和各管理部门及基层单位的安全职责。</w:t>
            </w:r>
          </w:p>
        </w:tc>
        <w:tc>
          <w:tcPr>
            <w:tcW w:w="2268" w:type="dxa"/>
          </w:tcPr>
          <w:p>
            <w:pPr>
              <w:spacing w:line="280" w:lineRule="exact"/>
              <w:rPr>
                <w:rFonts w:ascii="宋体" w:hAnsi="宋体" w:cs="宋体"/>
                <w:spacing w:val="2"/>
                <w:szCs w:val="21"/>
              </w:rPr>
            </w:pPr>
            <w:r>
              <w:rPr>
                <w:rFonts w:hint="eastAsia" w:ascii="宋体" w:hAnsi="宋体" w:cs="宋体"/>
                <w:spacing w:val="2"/>
                <w:szCs w:val="21"/>
              </w:rPr>
              <w:t>查文件：</w:t>
            </w:r>
          </w:p>
          <w:p>
            <w:pPr>
              <w:spacing w:line="280" w:lineRule="exact"/>
              <w:rPr>
                <w:rFonts w:ascii="宋体" w:hAnsi="宋体" w:cs="宋体"/>
                <w:spacing w:val="2"/>
                <w:szCs w:val="21"/>
              </w:rPr>
            </w:pPr>
            <w:r>
              <w:rPr>
                <w:rFonts w:hint="eastAsia" w:ascii="宋体" w:hAnsi="宋体" w:cs="宋体"/>
                <w:spacing w:val="2"/>
                <w:szCs w:val="21"/>
              </w:rPr>
              <w:t>安全生产责任制文件及内容。</w:t>
            </w:r>
          </w:p>
          <w:p>
            <w:pPr>
              <w:spacing w:line="280" w:lineRule="exact"/>
              <w:rPr>
                <w:rFonts w:ascii="宋体" w:hAnsi="宋体" w:cs="宋体"/>
                <w:spacing w:val="2"/>
                <w:szCs w:val="21"/>
              </w:rPr>
            </w:pPr>
            <w:r>
              <w:rPr>
                <w:rFonts w:hint="eastAsia" w:ascii="宋体" w:hAnsi="宋体" w:cs="宋体"/>
                <w:spacing w:val="2"/>
                <w:szCs w:val="21"/>
              </w:rPr>
              <w:t>询问：</w:t>
            </w:r>
          </w:p>
          <w:p>
            <w:pPr>
              <w:spacing w:line="280" w:lineRule="exact"/>
              <w:rPr>
                <w:rFonts w:ascii="宋体" w:hAnsi="宋体" w:cs="宋体"/>
                <w:spacing w:val="2"/>
                <w:szCs w:val="21"/>
              </w:rPr>
            </w:pPr>
            <w:r>
              <w:rPr>
                <w:rFonts w:hint="eastAsia" w:ascii="宋体" w:hAnsi="宋体" w:cs="宋体"/>
                <w:spacing w:val="2"/>
                <w:szCs w:val="21"/>
              </w:rPr>
              <w:t>各管理部门及基层单位负责人是否清楚本部门安全职责。</w:t>
            </w:r>
          </w:p>
        </w:tc>
        <w:tc>
          <w:tcPr>
            <w:tcW w:w="1701" w:type="dxa"/>
          </w:tcPr>
          <w:p>
            <w:pPr>
              <w:spacing w:line="280" w:lineRule="exact"/>
              <w:rPr>
                <w:rFonts w:ascii="宋体" w:hAnsi="宋体" w:cs="宋体"/>
                <w:spacing w:val="2"/>
                <w:szCs w:val="21"/>
              </w:rPr>
            </w:pPr>
          </w:p>
        </w:tc>
        <w:tc>
          <w:tcPr>
            <w:tcW w:w="2268" w:type="dxa"/>
          </w:tcPr>
          <w:p>
            <w:pPr>
              <w:spacing w:line="280" w:lineRule="exact"/>
              <w:rPr>
                <w:rFonts w:ascii="宋体" w:hAnsi="宋体" w:cs="宋体"/>
                <w:spacing w:val="2"/>
                <w:szCs w:val="21"/>
              </w:rPr>
            </w:pPr>
            <w:r>
              <w:rPr>
                <w:rFonts w:hint="eastAsia" w:ascii="宋体" w:hAnsi="宋体" w:cs="宋体"/>
                <w:spacing w:val="2"/>
                <w:szCs w:val="21"/>
              </w:rPr>
              <w:t>1.缺少一个管理部门或基层单位的安全职责，扣2分；</w:t>
            </w:r>
          </w:p>
          <w:p>
            <w:pPr>
              <w:spacing w:line="280" w:lineRule="exact"/>
              <w:rPr>
                <w:rFonts w:ascii="宋体" w:hAnsi="宋体" w:cs="宋体"/>
                <w:spacing w:val="2"/>
                <w:szCs w:val="21"/>
              </w:rPr>
            </w:pPr>
            <w:r>
              <w:rPr>
                <w:rFonts w:hint="eastAsia" w:ascii="宋体" w:hAnsi="宋体" w:cs="宋体"/>
                <w:spacing w:val="2"/>
                <w:szCs w:val="21"/>
              </w:rPr>
              <w:t>2.安全生产责任制内容与部门安全职责不符合，一项扣2分；</w:t>
            </w:r>
          </w:p>
          <w:p>
            <w:pPr>
              <w:spacing w:line="280" w:lineRule="exact"/>
              <w:rPr>
                <w:rFonts w:ascii="宋体" w:hAnsi="宋体" w:cs="宋体"/>
                <w:spacing w:val="2"/>
                <w:szCs w:val="21"/>
              </w:rPr>
            </w:pPr>
            <w:r>
              <w:rPr>
                <w:rFonts w:hint="eastAsia" w:ascii="宋体" w:hAnsi="宋体" w:cs="宋体"/>
                <w:spacing w:val="2"/>
                <w:szCs w:val="21"/>
              </w:rPr>
              <w:t>3.主要负责人不清楚安委会安全职责，扣10分；</w:t>
            </w:r>
          </w:p>
          <w:p>
            <w:pPr>
              <w:spacing w:line="280" w:lineRule="exact"/>
              <w:rPr>
                <w:rFonts w:ascii="宋体" w:hAnsi="宋体" w:cs="宋体"/>
                <w:spacing w:val="2"/>
                <w:szCs w:val="21"/>
              </w:rPr>
            </w:pPr>
            <w:r>
              <w:rPr>
                <w:rFonts w:hint="eastAsia" w:ascii="宋体" w:hAnsi="宋体" w:cs="宋体"/>
                <w:spacing w:val="2"/>
                <w:szCs w:val="21"/>
              </w:rPr>
              <w:t>4.有关人员不了解本部门安全职责，1人次扣2分。</w:t>
            </w:r>
          </w:p>
          <w:p>
            <w:pPr>
              <w:spacing w:line="280" w:lineRule="exact"/>
              <w:rPr>
                <w:rFonts w:ascii="宋体" w:hAnsi="宋体" w:cs="宋体"/>
                <w:spacing w:val="2"/>
                <w:szCs w:val="21"/>
              </w:rPr>
            </w:pPr>
            <w:r>
              <w:rPr>
                <w:rFonts w:hint="eastAsia" w:ascii="宋体" w:hAnsi="宋体" w:cs="宋体"/>
                <w:spacing w:val="2"/>
                <w:szCs w:val="21"/>
              </w:rPr>
              <w:t>5.缺少安委会的安全职责,扣10分。</w:t>
            </w:r>
          </w:p>
        </w:tc>
        <w:tc>
          <w:tcPr>
            <w:tcW w:w="1165" w:type="dxa"/>
            <w:vAlign w:val="center"/>
          </w:tcPr>
          <w:p>
            <w:pPr>
              <w:tabs>
                <w:tab w:val="left" w:pos="531"/>
              </w:tabs>
              <w:jc w:val="center"/>
              <w:rPr>
                <w:rFonts w:ascii="宋体" w:hAnsi="宋体" w:cs="宋体"/>
                <w:szCs w:val="21"/>
              </w:rPr>
            </w:pPr>
            <w:r>
              <w:rPr>
                <w:rFonts w:hint="eastAsia" w:ascii="宋体" w:hAnsi="宋体" w:cs="宋体"/>
                <w:spacing w:val="2"/>
                <w:szCs w:val="21"/>
              </w:rPr>
              <w:t>符合要求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771" w:type="dxa"/>
            <w:vMerge w:val="continue"/>
          </w:tcPr>
          <w:p>
            <w:pPr>
              <w:spacing w:line="280" w:lineRule="exact"/>
              <w:ind w:firstLine="422"/>
              <w:rPr>
                <w:rFonts w:ascii="宋体" w:hAnsi="宋体" w:cs="宋体"/>
                <w:b/>
                <w:szCs w:val="21"/>
              </w:rPr>
            </w:pPr>
          </w:p>
        </w:tc>
        <w:tc>
          <w:tcPr>
            <w:tcW w:w="709" w:type="dxa"/>
            <w:vMerge w:val="continue"/>
          </w:tcPr>
          <w:p>
            <w:pPr>
              <w:spacing w:line="280" w:lineRule="exact"/>
              <w:ind w:firstLine="422"/>
              <w:rPr>
                <w:rFonts w:ascii="宋体" w:hAnsi="宋体" w:cs="宋体"/>
                <w:b/>
                <w:bCs/>
                <w:szCs w:val="21"/>
              </w:rPr>
            </w:pPr>
          </w:p>
        </w:tc>
        <w:tc>
          <w:tcPr>
            <w:tcW w:w="2409" w:type="dxa"/>
          </w:tcPr>
          <w:p>
            <w:pPr>
              <w:spacing w:line="280" w:lineRule="exact"/>
              <w:rPr>
                <w:rFonts w:ascii="宋体" w:hAnsi="宋体" w:cs="宋体"/>
                <w:spacing w:val="2"/>
                <w:szCs w:val="21"/>
              </w:rPr>
            </w:pPr>
            <w:r>
              <w:rPr>
                <w:rFonts w:hint="eastAsia" w:ascii="宋体" w:hAnsi="宋体" w:cs="宋体"/>
                <w:spacing w:val="2"/>
                <w:szCs w:val="21"/>
              </w:rPr>
              <w:t>2.企业应制定主要负责人、各级管理人员和从业人员的安全职责。</w:t>
            </w:r>
          </w:p>
        </w:tc>
        <w:tc>
          <w:tcPr>
            <w:tcW w:w="2268" w:type="dxa"/>
          </w:tcPr>
          <w:p>
            <w:pPr>
              <w:spacing w:line="280" w:lineRule="exact"/>
              <w:rPr>
                <w:rFonts w:ascii="宋体" w:hAnsi="宋体" w:cs="宋体"/>
                <w:spacing w:val="2"/>
                <w:szCs w:val="21"/>
              </w:rPr>
            </w:pPr>
            <w:r>
              <w:rPr>
                <w:rFonts w:hint="eastAsia" w:ascii="宋体" w:hAnsi="宋体" w:cs="宋体"/>
                <w:spacing w:val="2"/>
                <w:szCs w:val="21"/>
              </w:rPr>
              <w:t xml:space="preserve">1.明确主要负责人安全职责，对《安全生产法》规定的主要负责人安全职责进行细化； </w:t>
            </w:r>
          </w:p>
          <w:p>
            <w:pPr>
              <w:spacing w:line="280" w:lineRule="exact"/>
              <w:rPr>
                <w:rFonts w:ascii="宋体" w:hAnsi="宋体" w:cs="宋体"/>
                <w:spacing w:val="2"/>
                <w:szCs w:val="21"/>
              </w:rPr>
            </w:pPr>
            <w:r>
              <w:rPr>
                <w:rFonts w:hint="eastAsia" w:ascii="宋体" w:hAnsi="宋体" w:cs="宋体"/>
                <w:spacing w:val="2"/>
                <w:szCs w:val="21"/>
              </w:rPr>
              <w:t>2.明确各级管理人员的安全职责，做到“一岗一责”；</w:t>
            </w:r>
          </w:p>
          <w:p>
            <w:pPr>
              <w:spacing w:line="280" w:lineRule="exact"/>
              <w:rPr>
                <w:rFonts w:ascii="宋体" w:hAnsi="宋体" w:cs="宋体"/>
                <w:spacing w:val="2"/>
                <w:szCs w:val="21"/>
              </w:rPr>
            </w:pPr>
            <w:r>
              <w:rPr>
                <w:rFonts w:hint="eastAsia" w:ascii="宋体" w:hAnsi="宋体" w:cs="宋体"/>
                <w:spacing w:val="2"/>
                <w:szCs w:val="21"/>
              </w:rPr>
              <w:t>3.明确从业人员安全职责，做到“一岗一责”。</w:t>
            </w:r>
          </w:p>
          <w:p>
            <w:pPr>
              <w:spacing w:line="280" w:lineRule="exact"/>
              <w:rPr>
                <w:rFonts w:ascii="宋体" w:hAnsi="宋体" w:cs="宋体"/>
                <w:spacing w:val="2"/>
                <w:szCs w:val="21"/>
              </w:rPr>
            </w:pPr>
          </w:p>
        </w:tc>
        <w:tc>
          <w:tcPr>
            <w:tcW w:w="2268" w:type="dxa"/>
          </w:tcPr>
          <w:p>
            <w:pPr>
              <w:spacing w:line="280" w:lineRule="exact"/>
              <w:rPr>
                <w:rFonts w:ascii="宋体" w:hAnsi="宋体" w:cs="宋体"/>
                <w:spacing w:val="2"/>
                <w:szCs w:val="21"/>
              </w:rPr>
            </w:pPr>
            <w:r>
              <w:rPr>
                <w:rFonts w:hint="eastAsia" w:ascii="宋体" w:hAnsi="宋体" w:cs="宋体"/>
                <w:spacing w:val="2"/>
                <w:szCs w:val="21"/>
              </w:rPr>
              <w:t>查文件：</w:t>
            </w:r>
          </w:p>
          <w:p>
            <w:pPr>
              <w:spacing w:line="280" w:lineRule="exact"/>
              <w:rPr>
                <w:rFonts w:ascii="宋体" w:hAnsi="宋体" w:cs="宋体"/>
                <w:spacing w:val="2"/>
                <w:szCs w:val="21"/>
              </w:rPr>
            </w:pPr>
            <w:r>
              <w:rPr>
                <w:rFonts w:hint="eastAsia" w:ascii="宋体" w:hAnsi="宋体" w:cs="宋体"/>
                <w:spacing w:val="2"/>
                <w:szCs w:val="21"/>
              </w:rPr>
              <w:t>安全生产责任制。</w:t>
            </w:r>
          </w:p>
          <w:p>
            <w:pPr>
              <w:spacing w:line="280" w:lineRule="exact"/>
              <w:rPr>
                <w:rFonts w:ascii="宋体" w:hAnsi="宋体" w:cs="宋体"/>
                <w:spacing w:val="2"/>
                <w:szCs w:val="21"/>
              </w:rPr>
            </w:pPr>
            <w:r>
              <w:rPr>
                <w:rFonts w:hint="eastAsia" w:ascii="宋体" w:hAnsi="宋体" w:cs="宋体"/>
                <w:spacing w:val="2"/>
                <w:szCs w:val="21"/>
              </w:rPr>
              <w:t>询问：</w:t>
            </w:r>
          </w:p>
          <w:p>
            <w:pPr>
              <w:spacing w:line="280" w:lineRule="exact"/>
              <w:rPr>
                <w:rFonts w:ascii="宋体" w:hAnsi="宋体" w:cs="宋体"/>
                <w:spacing w:val="2"/>
                <w:szCs w:val="21"/>
              </w:rPr>
            </w:pPr>
            <w:r>
              <w:rPr>
                <w:rFonts w:hint="eastAsia" w:ascii="宋体" w:hAnsi="宋体" w:cs="宋体"/>
                <w:spacing w:val="2"/>
                <w:szCs w:val="21"/>
              </w:rPr>
              <w:t>1.主要负责人是否了解《安全生产法》规定的安全职责和细化后的安全职责内容；</w:t>
            </w:r>
          </w:p>
          <w:p>
            <w:pPr>
              <w:spacing w:line="280" w:lineRule="exact"/>
              <w:rPr>
                <w:rFonts w:ascii="宋体" w:hAnsi="宋体" w:cs="宋体"/>
                <w:spacing w:val="2"/>
                <w:szCs w:val="21"/>
              </w:rPr>
            </w:pPr>
            <w:r>
              <w:rPr>
                <w:rFonts w:hint="eastAsia" w:ascii="宋体" w:hAnsi="宋体" w:cs="宋体"/>
                <w:spacing w:val="2"/>
                <w:szCs w:val="21"/>
              </w:rPr>
              <w:t>2．各级管理人员、从业人员对各自职责是否清楚。</w:t>
            </w:r>
          </w:p>
        </w:tc>
        <w:tc>
          <w:tcPr>
            <w:tcW w:w="1701" w:type="dxa"/>
          </w:tcPr>
          <w:p>
            <w:pPr>
              <w:spacing w:line="280" w:lineRule="exact"/>
              <w:rPr>
                <w:rFonts w:ascii="宋体" w:hAnsi="宋体" w:cs="宋体"/>
                <w:b/>
                <w:bCs/>
                <w:spacing w:val="2"/>
                <w:szCs w:val="21"/>
              </w:rPr>
            </w:pPr>
            <w:r>
              <w:rPr>
                <w:rFonts w:hint="eastAsia" w:ascii="宋体" w:hAnsi="宋体" w:cs="宋体"/>
                <w:b/>
                <w:bCs/>
                <w:spacing w:val="2"/>
                <w:szCs w:val="21"/>
              </w:rPr>
              <w:t xml:space="preserve">1.未建立安全生产责任制，扣100分（A级要素否决项）； </w:t>
            </w:r>
          </w:p>
          <w:p>
            <w:pPr>
              <w:spacing w:line="280" w:lineRule="exact"/>
              <w:rPr>
                <w:rFonts w:ascii="宋体" w:hAnsi="宋体" w:cs="宋体"/>
                <w:b/>
                <w:bCs/>
                <w:spacing w:val="2"/>
                <w:szCs w:val="21"/>
              </w:rPr>
            </w:pPr>
            <w:r>
              <w:rPr>
                <w:rFonts w:hint="eastAsia" w:ascii="宋体" w:hAnsi="宋体" w:cs="宋体"/>
                <w:b/>
                <w:bCs/>
                <w:spacing w:val="2"/>
                <w:szCs w:val="21"/>
              </w:rPr>
              <w:t>2.主要负责人对其安全职责不清楚，扣30分（B级要素否决项）。</w:t>
            </w:r>
          </w:p>
          <w:p>
            <w:pPr>
              <w:spacing w:line="280" w:lineRule="exact"/>
              <w:rPr>
                <w:rFonts w:ascii="宋体" w:hAnsi="宋体" w:cs="宋体"/>
                <w:spacing w:val="2"/>
                <w:szCs w:val="21"/>
              </w:rPr>
            </w:pPr>
          </w:p>
        </w:tc>
        <w:tc>
          <w:tcPr>
            <w:tcW w:w="2268" w:type="dxa"/>
          </w:tcPr>
          <w:p>
            <w:pPr>
              <w:spacing w:line="280" w:lineRule="exact"/>
              <w:rPr>
                <w:rFonts w:ascii="宋体" w:hAnsi="宋体" w:cs="宋体"/>
                <w:spacing w:val="2"/>
                <w:szCs w:val="21"/>
              </w:rPr>
            </w:pPr>
            <w:r>
              <w:rPr>
                <w:rFonts w:hint="eastAsia" w:ascii="宋体" w:hAnsi="宋体" w:cs="宋体"/>
                <w:spacing w:val="2"/>
                <w:szCs w:val="21"/>
              </w:rPr>
              <w:t>1.安全职责与其所在岗位职责不符合，一项扣2分；</w:t>
            </w:r>
          </w:p>
          <w:p>
            <w:pPr>
              <w:spacing w:line="280" w:lineRule="exact"/>
              <w:rPr>
                <w:rFonts w:ascii="宋体" w:hAnsi="宋体" w:cs="宋体"/>
                <w:spacing w:val="2"/>
                <w:szCs w:val="21"/>
              </w:rPr>
            </w:pPr>
            <w:r>
              <w:rPr>
                <w:rFonts w:hint="eastAsia" w:ascii="宋体" w:hAnsi="宋体" w:cs="宋体"/>
                <w:spacing w:val="2"/>
                <w:szCs w:val="21"/>
              </w:rPr>
              <w:t>2.其他人员对其安全职责不清楚，1人次扣2分。</w:t>
            </w:r>
          </w:p>
        </w:tc>
        <w:tc>
          <w:tcPr>
            <w:tcW w:w="1165" w:type="dxa"/>
            <w:vAlign w:val="center"/>
          </w:tcPr>
          <w:p>
            <w:pPr>
              <w:tabs>
                <w:tab w:val="left" w:pos="531"/>
              </w:tabs>
              <w:jc w:val="center"/>
              <w:rPr>
                <w:rFonts w:ascii="宋体" w:hAnsi="宋体" w:cs="宋体"/>
                <w:szCs w:val="21"/>
              </w:rPr>
            </w:pPr>
            <w:r>
              <w:rPr>
                <w:rFonts w:hint="eastAsia" w:ascii="宋体" w:hAnsi="宋体" w:cs="宋体"/>
                <w:szCs w:val="21"/>
              </w:rPr>
              <w:t>符合要求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7" w:hRule="atLeast"/>
          <w:jc w:val="center"/>
        </w:trPr>
        <w:tc>
          <w:tcPr>
            <w:tcW w:w="771" w:type="dxa"/>
            <w:vMerge w:val="continue"/>
          </w:tcPr>
          <w:p>
            <w:pPr>
              <w:spacing w:line="280" w:lineRule="exact"/>
              <w:ind w:firstLine="422"/>
              <w:rPr>
                <w:rFonts w:ascii="宋体" w:hAnsi="宋体" w:cs="宋体"/>
                <w:b/>
                <w:szCs w:val="21"/>
              </w:rPr>
            </w:pPr>
          </w:p>
        </w:tc>
        <w:tc>
          <w:tcPr>
            <w:tcW w:w="709" w:type="dxa"/>
            <w:vMerge w:val="continue"/>
          </w:tcPr>
          <w:p>
            <w:pPr>
              <w:spacing w:line="280" w:lineRule="exact"/>
              <w:ind w:firstLine="422"/>
              <w:rPr>
                <w:rFonts w:ascii="宋体" w:hAnsi="宋体" w:cs="宋体"/>
                <w:b/>
                <w:bCs/>
                <w:szCs w:val="21"/>
              </w:rPr>
            </w:pPr>
          </w:p>
        </w:tc>
        <w:tc>
          <w:tcPr>
            <w:tcW w:w="2409" w:type="dxa"/>
          </w:tcPr>
          <w:p>
            <w:pPr>
              <w:spacing w:line="280" w:lineRule="exact"/>
              <w:rPr>
                <w:rFonts w:ascii="宋体" w:hAnsi="宋体" w:cs="宋体"/>
                <w:spacing w:val="2"/>
                <w:szCs w:val="21"/>
              </w:rPr>
            </w:pPr>
            <w:r>
              <w:rPr>
                <w:rFonts w:hint="eastAsia" w:ascii="宋体" w:hAnsi="宋体" w:cs="宋体"/>
                <w:spacing w:val="2"/>
                <w:szCs w:val="21"/>
              </w:rPr>
              <w:t>3.企业应建立安全生产责任制考核机制，对各级管理部门、管理人员及从业人员安全职责的履行情况和安全生产责任制的实现情况进行定期考核，予以奖惩。</w:t>
            </w:r>
          </w:p>
        </w:tc>
        <w:tc>
          <w:tcPr>
            <w:tcW w:w="2268" w:type="dxa"/>
          </w:tcPr>
          <w:p>
            <w:pPr>
              <w:spacing w:line="280" w:lineRule="exact"/>
              <w:rPr>
                <w:rFonts w:ascii="宋体" w:hAnsi="宋体" w:cs="宋体"/>
                <w:spacing w:val="2"/>
                <w:szCs w:val="21"/>
              </w:rPr>
            </w:pPr>
            <w:r>
              <w:rPr>
                <w:rFonts w:hint="eastAsia" w:ascii="宋体" w:hAnsi="宋体" w:cs="宋体"/>
                <w:spacing w:val="2"/>
                <w:szCs w:val="21"/>
              </w:rPr>
              <w:t>1.建立安全生产责任制考核机制；</w:t>
            </w:r>
          </w:p>
          <w:p>
            <w:pPr>
              <w:spacing w:line="280" w:lineRule="exact"/>
              <w:rPr>
                <w:rFonts w:ascii="宋体" w:hAnsi="宋体" w:cs="宋体"/>
                <w:spacing w:val="2"/>
                <w:szCs w:val="21"/>
              </w:rPr>
            </w:pPr>
            <w:r>
              <w:rPr>
                <w:rFonts w:hint="eastAsia" w:ascii="宋体" w:hAnsi="宋体" w:cs="宋体"/>
                <w:spacing w:val="2"/>
                <w:szCs w:val="21"/>
              </w:rPr>
              <w:t>2.对企业负责人、各级管理部门、管理人员及从业人员安全生产责任制进行定期考核，予以奖惩。</w:t>
            </w:r>
          </w:p>
        </w:tc>
        <w:tc>
          <w:tcPr>
            <w:tcW w:w="2268" w:type="dxa"/>
          </w:tcPr>
          <w:p>
            <w:pPr>
              <w:spacing w:line="280" w:lineRule="exact"/>
              <w:rPr>
                <w:rFonts w:ascii="宋体" w:hAnsi="宋体" w:cs="宋体"/>
                <w:spacing w:val="2"/>
                <w:szCs w:val="21"/>
              </w:rPr>
            </w:pPr>
            <w:r>
              <w:rPr>
                <w:rFonts w:hint="eastAsia" w:ascii="宋体" w:hAnsi="宋体" w:cs="宋体"/>
                <w:spacing w:val="2"/>
                <w:szCs w:val="21"/>
              </w:rPr>
              <w:t>查文件：</w:t>
            </w:r>
          </w:p>
          <w:p>
            <w:pPr>
              <w:spacing w:line="280" w:lineRule="exact"/>
              <w:rPr>
                <w:rFonts w:ascii="宋体" w:hAnsi="宋体" w:cs="宋体"/>
                <w:spacing w:val="2"/>
                <w:szCs w:val="21"/>
              </w:rPr>
            </w:pPr>
            <w:r>
              <w:rPr>
                <w:rFonts w:hint="eastAsia" w:ascii="宋体" w:hAnsi="宋体" w:cs="宋体"/>
                <w:spacing w:val="2"/>
                <w:szCs w:val="21"/>
              </w:rPr>
              <w:t>1.安全生产责任制考核制度；</w:t>
            </w:r>
          </w:p>
          <w:p>
            <w:pPr>
              <w:spacing w:line="280" w:lineRule="exact"/>
              <w:rPr>
                <w:rFonts w:ascii="宋体" w:hAnsi="宋体" w:cs="宋体"/>
                <w:spacing w:val="2"/>
                <w:szCs w:val="21"/>
              </w:rPr>
            </w:pPr>
            <w:r>
              <w:rPr>
                <w:rFonts w:hint="eastAsia" w:ascii="宋体" w:hAnsi="宋体" w:cs="宋体"/>
                <w:spacing w:val="2"/>
                <w:szCs w:val="21"/>
              </w:rPr>
              <w:t>2.考核、奖惩决定文件，及奖惩兑现情况。</w:t>
            </w:r>
          </w:p>
          <w:p>
            <w:pPr>
              <w:spacing w:line="280" w:lineRule="exact"/>
              <w:rPr>
                <w:rFonts w:ascii="宋体" w:hAnsi="宋体" w:cs="宋体"/>
                <w:spacing w:val="2"/>
                <w:szCs w:val="21"/>
              </w:rPr>
            </w:pPr>
            <w:r>
              <w:rPr>
                <w:rFonts w:hint="eastAsia" w:ascii="宋体" w:hAnsi="宋体" w:cs="宋体"/>
                <w:spacing w:val="2"/>
                <w:szCs w:val="21"/>
              </w:rPr>
              <w:t>现场检查：</w:t>
            </w:r>
          </w:p>
          <w:p>
            <w:pPr>
              <w:spacing w:line="280" w:lineRule="exact"/>
              <w:rPr>
                <w:rFonts w:ascii="宋体" w:hAnsi="宋体" w:cs="宋体"/>
                <w:spacing w:val="2"/>
                <w:szCs w:val="21"/>
              </w:rPr>
            </w:pPr>
            <w:r>
              <w:rPr>
                <w:rFonts w:hint="eastAsia" w:ascii="宋体" w:hAnsi="宋体" w:cs="宋体"/>
                <w:spacing w:val="2"/>
                <w:szCs w:val="21"/>
              </w:rPr>
              <w:t>财务记录、行政文件。</w:t>
            </w:r>
          </w:p>
        </w:tc>
        <w:tc>
          <w:tcPr>
            <w:tcW w:w="1701" w:type="dxa"/>
          </w:tcPr>
          <w:p>
            <w:pPr>
              <w:spacing w:line="280" w:lineRule="exact"/>
              <w:rPr>
                <w:rFonts w:ascii="宋体" w:hAnsi="宋体" w:cs="宋体"/>
                <w:b/>
                <w:bCs/>
                <w:spacing w:val="2"/>
                <w:szCs w:val="21"/>
              </w:rPr>
            </w:pPr>
            <w:r>
              <w:rPr>
                <w:rFonts w:hint="eastAsia" w:ascii="宋体" w:hAnsi="宋体" w:cs="宋体"/>
                <w:b/>
                <w:bCs/>
                <w:spacing w:val="2"/>
                <w:szCs w:val="21"/>
              </w:rPr>
              <w:t>未建立安全责任制考核机制，扣30分（B级要素否决项）。</w:t>
            </w:r>
          </w:p>
        </w:tc>
        <w:tc>
          <w:tcPr>
            <w:tcW w:w="2268" w:type="dxa"/>
          </w:tcPr>
          <w:p>
            <w:pPr>
              <w:spacing w:line="280" w:lineRule="exact"/>
              <w:rPr>
                <w:rFonts w:ascii="宋体" w:hAnsi="宋体" w:cs="宋体"/>
                <w:spacing w:val="2"/>
                <w:szCs w:val="21"/>
              </w:rPr>
            </w:pPr>
            <w:r>
              <w:rPr>
                <w:rFonts w:hint="eastAsia" w:ascii="宋体" w:hAnsi="宋体" w:cs="宋体"/>
                <w:spacing w:val="2"/>
                <w:szCs w:val="21"/>
              </w:rPr>
              <w:t>未按考核制度对企业负责人、各级管理部门和从业人员的安全责任制进行定期考核，予以奖惩，一项不符合扣2分。</w:t>
            </w:r>
          </w:p>
        </w:tc>
        <w:tc>
          <w:tcPr>
            <w:tcW w:w="1165" w:type="dxa"/>
            <w:vAlign w:val="center"/>
          </w:tcPr>
          <w:p>
            <w:pPr>
              <w:tabs>
                <w:tab w:val="left" w:pos="531"/>
              </w:tabs>
              <w:jc w:val="center"/>
              <w:rPr>
                <w:rFonts w:ascii="宋体" w:hAnsi="宋体" w:cs="宋体"/>
                <w:szCs w:val="21"/>
              </w:rPr>
            </w:pPr>
            <w:r>
              <w:rPr>
                <w:rFonts w:hint="eastAsia" w:ascii="宋体" w:hAnsi="宋体" w:cs="宋体"/>
                <w:szCs w:val="21"/>
              </w:rPr>
              <w:t>符合要求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771" w:type="dxa"/>
            <w:vMerge w:val="continue"/>
          </w:tcPr>
          <w:p>
            <w:pPr>
              <w:spacing w:line="280" w:lineRule="exact"/>
              <w:ind w:firstLine="422"/>
              <w:rPr>
                <w:rFonts w:ascii="宋体" w:hAnsi="宋体" w:cs="宋体"/>
                <w:b/>
                <w:szCs w:val="21"/>
              </w:rPr>
            </w:pPr>
          </w:p>
        </w:tc>
        <w:tc>
          <w:tcPr>
            <w:tcW w:w="709" w:type="dxa"/>
            <w:vMerge w:val="continue"/>
          </w:tcPr>
          <w:p>
            <w:pPr>
              <w:spacing w:line="280" w:lineRule="exact"/>
              <w:ind w:firstLine="422"/>
              <w:rPr>
                <w:rFonts w:ascii="宋体" w:hAnsi="宋体" w:cs="宋体"/>
                <w:b/>
                <w:bCs/>
                <w:szCs w:val="21"/>
              </w:rPr>
            </w:pPr>
          </w:p>
        </w:tc>
        <w:tc>
          <w:tcPr>
            <w:tcW w:w="2409" w:type="dxa"/>
          </w:tcPr>
          <w:p>
            <w:pPr>
              <w:spacing w:line="280" w:lineRule="exact"/>
              <w:rPr>
                <w:rFonts w:ascii="宋体" w:hAnsi="宋体" w:cs="宋体"/>
                <w:spacing w:val="2"/>
                <w:szCs w:val="21"/>
              </w:rPr>
            </w:pPr>
          </w:p>
        </w:tc>
        <w:tc>
          <w:tcPr>
            <w:tcW w:w="2268" w:type="dxa"/>
          </w:tcPr>
          <w:p>
            <w:pPr>
              <w:spacing w:line="280" w:lineRule="exact"/>
              <w:rPr>
                <w:rFonts w:ascii="宋体" w:hAnsi="宋体" w:cs="宋体"/>
                <w:spacing w:val="2"/>
                <w:szCs w:val="21"/>
              </w:rPr>
            </w:pPr>
            <w:r>
              <w:rPr>
                <w:rFonts w:hint="eastAsia" w:ascii="宋体" w:hAnsi="宋体" w:cs="宋体"/>
                <w:spacing w:val="2"/>
                <w:szCs w:val="21"/>
              </w:rPr>
              <w:t>二级企业建立了健全的安全生产责任制和安全生产规章制度体系，并能够持续改进。</w:t>
            </w:r>
          </w:p>
        </w:tc>
        <w:tc>
          <w:tcPr>
            <w:tcW w:w="2268" w:type="dxa"/>
          </w:tcPr>
          <w:p>
            <w:pPr>
              <w:spacing w:line="280" w:lineRule="exact"/>
              <w:rPr>
                <w:rFonts w:ascii="宋体" w:hAnsi="宋体" w:cs="宋体"/>
                <w:spacing w:val="2"/>
                <w:szCs w:val="21"/>
              </w:rPr>
            </w:pPr>
            <w:r>
              <w:rPr>
                <w:rFonts w:hint="eastAsia" w:ascii="宋体" w:hAnsi="宋体" w:cs="宋体"/>
                <w:spacing w:val="2"/>
                <w:szCs w:val="21"/>
              </w:rPr>
              <w:t>查文件：</w:t>
            </w:r>
          </w:p>
          <w:p>
            <w:pPr>
              <w:spacing w:line="280" w:lineRule="exact"/>
              <w:rPr>
                <w:rFonts w:ascii="宋体" w:hAnsi="宋体" w:cs="宋体"/>
                <w:spacing w:val="2"/>
                <w:szCs w:val="21"/>
              </w:rPr>
            </w:pPr>
            <w:r>
              <w:rPr>
                <w:rFonts w:hint="eastAsia" w:ascii="宋体" w:hAnsi="宋体" w:cs="宋体"/>
                <w:spacing w:val="2"/>
                <w:szCs w:val="21"/>
              </w:rPr>
              <w:t>安全生产责任制和安全生产规章制度文件。</w:t>
            </w:r>
          </w:p>
        </w:tc>
        <w:tc>
          <w:tcPr>
            <w:tcW w:w="1701" w:type="dxa"/>
          </w:tcPr>
          <w:p>
            <w:pPr>
              <w:spacing w:line="280" w:lineRule="exact"/>
              <w:rPr>
                <w:rFonts w:ascii="宋体" w:hAnsi="宋体" w:cs="宋体"/>
                <w:b/>
                <w:bCs/>
                <w:spacing w:val="2"/>
                <w:szCs w:val="21"/>
              </w:rPr>
            </w:pPr>
            <w:r>
              <w:rPr>
                <w:rFonts w:hint="eastAsia" w:ascii="宋体" w:hAnsi="宋体" w:cs="宋体"/>
                <w:b/>
                <w:bCs/>
                <w:spacing w:val="2"/>
                <w:szCs w:val="21"/>
              </w:rPr>
              <w:t>不符合，扣100分（A级要素否决项）。</w:t>
            </w:r>
          </w:p>
        </w:tc>
        <w:tc>
          <w:tcPr>
            <w:tcW w:w="2268" w:type="dxa"/>
          </w:tcPr>
          <w:p>
            <w:pPr>
              <w:spacing w:line="280" w:lineRule="exact"/>
              <w:rPr>
                <w:rFonts w:ascii="宋体" w:hAnsi="宋体" w:cs="宋体"/>
                <w:spacing w:val="2"/>
                <w:szCs w:val="21"/>
              </w:rPr>
            </w:pPr>
          </w:p>
        </w:tc>
        <w:tc>
          <w:tcPr>
            <w:tcW w:w="1165" w:type="dxa"/>
            <w:vAlign w:val="center"/>
          </w:tcPr>
          <w:p>
            <w:pPr>
              <w:tabs>
                <w:tab w:val="left" w:pos="531"/>
              </w:tabs>
              <w:jc w:val="center"/>
              <w:rPr>
                <w:rFonts w:ascii="宋体" w:hAnsi="宋体" w:cs="宋体"/>
                <w:szCs w:val="21"/>
              </w:rPr>
            </w:pPr>
            <w:r>
              <w:rPr>
                <w:rFonts w:hint="eastAsia" w:ascii="宋体" w:hAnsi="宋体" w:cs="宋体"/>
                <w:szCs w:val="21"/>
              </w:rPr>
              <w:t>不涉及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771" w:type="dxa"/>
            <w:vMerge w:val="continue"/>
          </w:tcPr>
          <w:p>
            <w:pPr>
              <w:spacing w:line="280" w:lineRule="exact"/>
              <w:ind w:firstLine="422"/>
              <w:rPr>
                <w:rFonts w:ascii="宋体" w:hAnsi="宋体" w:cs="宋体"/>
                <w:b/>
                <w:szCs w:val="21"/>
              </w:rPr>
            </w:pPr>
          </w:p>
        </w:tc>
        <w:tc>
          <w:tcPr>
            <w:tcW w:w="709" w:type="dxa"/>
            <w:vMerge w:val="restart"/>
          </w:tcPr>
          <w:p>
            <w:pPr>
              <w:spacing w:line="280" w:lineRule="exact"/>
              <w:rPr>
                <w:rFonts w:ascii="宋体" w:hAnsi="宋体" w:cs="宋体"/>
                <w:b/>
                <w:bCs/>
                <w:szCs w:val="21"/>
              </w:rPr>
            </w:pPr>
            <w:r>
              <w:rPr>
                <w:rFonts w:hint="eastAsia" w:ascii="宋体" w:hAnsi="宋体" w:cs="宋体"/>
                <w:b/>
                <w:bCs/>
                <w:szCs w:val="21"/>
              </w:rPr>
              <w:t>2.4 组织机构（20分）</w:t>
            </w:r>
          </w:p>
        </w:tc>
        <w:tc>
          <w:tcPr>
            <w:tcW w:w="2409" w:type="dxa"/>
          </w:tcPr>
          <w:p>
            <w:pPr>
              <w:spacing w:line="280" w:lineRule="exact"/>
              <w:rPr>
                <w:rFonts w:ascii="宋体" w:hAnsi="宋体" w:cs="宋体"/>
                <w:spacing w:val="2"/>
                <w:szCs w:val="21"/>
              </w:rPr>
            </w:pPr>
            <w:r>
              <w:rPr>
                <w:rFonts w:hint="eastAsia" w:ascii="宋体" w:hAnsi="宋体" w:cs="宋体"/>
                <w:spacing w:val="2"/>
                <w:szCs w:val="21"/>
              </w:rPr>
              <w:t>1.企业应设置安委会，设置安全生产管理部门或配备专职安全生产管理人员，并按规定配备注册安全工程师。</w:t>
            </w:r>
          </w:p>
        </w:tc>
        <w:tc>
          <w:tcPr>
            <w:tcW w:w="2268" w:type="dxa"/>
          </w:tcPr>
          <w:p>
            <w:pPr>
              <w:spacing w:line="280" w:lineRule="exact"/>
              <w:rPr>
                <w:rFonts w:ascii="宋体" w:hAnsi="宋体" w:cs="宋体"/>
                <w:spacing w:val="2"/>
                <w:szCs w:val="21"/>
              </w:rPr>
            </w:pPr>
            <w:r>
              <w:rPr>
                <w:rFonts w:hint="eastAsia" w:ascii="宋体" w:hAnsi="宋体" w:cs="宋体"/>
                <w:spacing w:val="2"/>
                <w:szCs w:val="21"/>
              </w:rPr>
              <w:t>1.设置安委会；</w:t>
            </w:r>
          </w:p>
          <w:p>
            <w:pPr>
              <w:spacing w:line="280" w:lineRule="exact"/>
              <w:rPr>
                <w:rFonts w:ascii="宋体" w:hAnsi="宋体" w:cs="宋体"/>
                <w:spacing w:val="2"/>
                <w:szCs w:val="21"/>
              </w:rPr>
            </w:pPr>
            <w:r>
              <w:rPr>
                <w:rFonts w:hint="eastAsia" w:ascii="宋体" w:hAnsi="宋体" w:cs="宋体"/>
                <w:spacing w:val="2"/>
                <w:szCs w:val="21"/>
              </w:rPr>
              <w:t>2.设置安全管理机构或配备专职安全管理人员。安全生产管理机构要具备相对独立职能。专职安全生产管理人员应不少于企业员工总数的2%（不足50人的企业至少配备1人），要具备化工或安全管理相关专业中专以上学历，有从事化工生产相关工作2年以上经历；</w:t>
            </w:r>
          </w:p>
          <w:p>
            <w:pPr>
              <w:spacing w:line="280" w:lineRule="exact"/>
              <w:rPr>
                <w:rFonts w:ascii="宋体" w:hAnsi="宋体" w:cs="宋体"/>
                <w:spacing w:val="2"/>
                <w:szCs w:val="21"/>
              </w:rPr>
            </w:pPr>
            <w:r>
              <w:rPr>
                <w:rFonts w:hint="eastAsia" w:ascii="宋体" w:hAnsi="宋体" w:cs="宋体"/>
                <w:spacing w:val="2"/>
                <w:szCs w:val="21"/>
              </w:rPr>
              <w:t>3.按规定配备注册安全工程师，且至少有一名具有3年化工安全生产经历；或委托安全生产中介机构选派注册安全工程师提供安全生产管理服务。</w:t>
            </w:r>
          </w:p>
        </w:tc>
        <w:tc>
          <w:tcPr>
            <w:tcW w:w="2268" w:type="dxa"/>
          </w:tcPr>
          <w:p>
            <w:pPr>
              <w:spacing w:line="280" w:lineRule="exact"/>
              <w:rPr>
                <w:rFonts w:ascii="宋体" w:hAnsi="宋体" w:cs="宋体"/>
                <w:spacing w:val="2"/>
                <w:szCs w:val="21"/>
              </w:rPr>
            </w:pPr>
            <w:r>
              <w:rPr>
                <w:rFonts w:hint="eastAsia" w:ascii="宋体" w:hAnsi="宋体" w:cs="宋体"/>
                <w:spacing w:val="2"/>
                <w:szCs w:val="21"/>
              </w:rPr>
              <w:t>查文件：</w:t>
            </w:r>
          </w:p>
          <w:p>
            <w:pPr>
              <w:spacing w:line="280" w:lineRule="exact"/>
              <w:rPr>
                <w:rFonts w:ascii="宋体" w:hAnsi="宋体" w:cs="宋体"/>
                <w:spacing w:val="2"/>
                <w:szCs w:val="21"/>
              </w:rPr>
            </w:pPr>
            <w:r>
              <w:rPr>
                <w:rFonts w:hint="eastAsia" w:ascii="宋体" w:hAnsi="宋体" w:cs="宋体"/>
                <w:spacing w:val="2"/>
                <w:szCs w:val="21"/>
              </w:rPr>
              <w:t>1.安委会、安全生产管理部门或专职安全管理人员配备文件。</w:t>
            </w:r>
          </w:p>
          <w:p>
            <w:pPr>
              <w:spacing w:line="280" w:lineRule="exact"/>
              <w:rPr>
                <w:rFonts w:ascii="宋体" w:hAnsi="宋体" w:cs="宋体"/>
                <w:spacing w:val="2"/>
                <w:szCs w:val="21"/>
              </w:rPr>
            </w:pPr>
            <w:r>
              <w:rPr>
                <w:rFonts w:hint="eastAsia" w:ascii="宋体" w:hAnsi="宋体" w:cs="宋体"/>
                <w:spacing w:val="2"/>
                <w:szCs w:val="21"/>
              </w:rPr>
              <w:t>2.注册安全工程师配备或委托文件。</w:t>
            </w:r>
          </w:p>
          <w:p>
            <w:pPr>
              <w:spacing w:line="280" w:lineRule="exact"/>
              <w:rPr>
                <w:rFonts w:ascii="宋体" w:hAnsi="宋体" w:cs="宋体"/>
                <w:spacing w:val="2"/>
                <w:szCs w:val="21"/>
              </w:rPr>
            </w:pPr>
            <w:r>
              <w:rPr>
                <w:rFonts w:hint="eastAsia" w:ascii="宋体" w:hAnsi="宋体" w:cs="宋体"/>
                <w:spacing w:val="2"/>
                <w:szCs w:val="21"/>
              </w:rPr>
              <w:t>3.安全生产管理人员的学历、工作经历。</w:t>
            </w:r>
          </w:p>
          <w:p>
            <w:pPr>
              <w:spacing w:line="280" w:lineRule="exact"/>
              <w:rPr>
                <w:rFonts w:ascii="宋体" w:hAnsi="宋体" w:cs="宋体"/>
                <w:spacing w:val="2"/>
                <w:szCs w:val="21"/>
              </w:rPr>
            </w:pPr>
            <w:r>
              <w:rPr>
                <w:rFonts w:hint="eastAsia" w:ascii="宋体" w:hAnsi="宋体" w:cs="宋体"/>
                <w:spacing w:val="2"/>
                <w:szCs w:val="21"/>
              </w:rPr>
              <w:t>4.与提供安全生产管理服务的中介机构签订的协议(合同).</w:t>
            </w:r>
          </w:p>
        </w:tc>
        <w:tc>
          <w:tcPr>
            <w:tcW w:w="1701" w:type="dxa"/>
          </w:tcPr>
          <w:p>
            <w:pPr>
              <w:spacing w:line="280" w:lineRule="exact"/>
              <w:rPr>
                <w:rFonts w:ascii="宋体" w:hAnsi="宋体" w:cs="宋体"/>
                <w:b/>
                <w:bCs/>
                <w:spacing w:val="2"/>
                <w:szCs w:val="21"/>
              </w:rPr>
            </w:pPr>
            <w:r>
              <w:rPr>
                <w:rFonts w:hint="eastAsia" w:ascii="宋体" w:hAnsi="宋体" w:cs="宋体"/>
                <w:b/>
                <w:bCs/>
                <w:spacing w:val="2"/>
                <w:szCs w:val="21"/>
              </w:rPr>
              <w:t>未设置安委会、安全生产管理部门或配备专职安全管理人员，扣100分（A级要素否决项）。</w:t>
            </w:r>
          </w:p>
          <w:p>
            <w:pPr>
              <w:spacing w:line="280" w:lineRule="exact"/>
              <w:rPr>
                <w:rFonts w:ascii="宋体" w:hAnsi="宋体" w:cs="宋体"/>
                <w:b/>
                <w:bCs/>
                <w:spacing w:val="2"/>
                <w:szCs w:val="21"/>
              </w:rPr>
            </w:pPr>
          </w:p>
        </w:tc>
        <w:tc>
          <w:tcPr>
            <w:tcW w:w="2268" w:type="dxa"/>
          </w:tcPr>
          <w:p>
            <w:pPr>
              <w:spacing w:line="280" w:lineRule="exact"/>
              <w:rPr>
                <w:rFonts w:ascii="宋体" w:hAnsi="宋体" w:cs="宋体"/>
                <w:spacing w:val="2"/>
                <w:szCs w:val="21"/>
              </w:rPr>
            </w:pPr>
            <w:r>
              <w:rPr>
                <w:rFonts w:hint="eastAsia" w:ascii="宋体" w:hAnsi="宋体" w:cs="宋体"/>
                <w:spacing w:val="2"/>
                <w:szCs w:val="21"/>
              </w:rPr>
              <w:t>1.专职安全管理人员配备不符合要求，一项扣2分；</w:t>
            </w:r>
          </w:p>
          <w:p>
            <w:pPr>
              <w:spacing w:line="280" w:lineRule="exact"/>
              <w:rPr>
                <w:rFonts w:ascii="宋体" w:hAnsi="宋体" w:cs="宋体"/>
                <w:spacing w:val="2"/>
                <w:szCs w:val="21"/>
              </w:rPr>
            </w:pPr>
            <w:r>
              <w:rPr>
                <w:rFonts w:hint="eastAsia" w:ascii="宋体" w:hAnsi="宋体" w:cs="宋体"/>
                <w:spacing w:val="2"/>
                <w:szCs w:val="21"/>
              </w:rPr>
              <w:t>2.未按规定配备注册安全工程师，或未按规定委托中介机构，扣2分；</w:t>
            </w:r>
          </w:p>
          <w:p>
            <w:pPr>
              <w:spacing w:line="280" w:lineRule="exact"/>
              <w:rPr>
                <w:rFonts w:ascii="宋体" w:hAnsi="宋体" w:cs="宋体"/>
                <w:spacing w:val="2"/>
                <w:szCs w:val="21"/>
              </w:rPr>
            </w:pPr>
            <w:r>
              <w:rPr>
                <w:rFonts w:hint="eastAsia" w:ascii="宋体" w:hAnsi="宋体" w:cs="宋体"/>
                <w:spacing w:val="2"/>
                <w:szCs w:val="21"/>
              </w:rPr>
              <w:t>3.注册安全工程师不具有化工安全生产经历，扣1分。</w:t>
            </w:r>
          </w:p>
        </w:tc>
        <w:tc>
          <w:tcPr>
            <w:tcW w:w="1165" w:type="dxa"/>
            <w:vAlign w:val="center"/>
          </w:tcPr>
          <w:p>
            <w:pPr>
              <w:jc w:val="center"/>
              <w:rPr>
                <w:rFonts w:ascii="宋体" w:hAnsi="宋体" w:cs="宋体"/>
                <w:szCs w:val="21"/>
              </w:rPr>
            </w:pPr>
            <w:r>
              <w:rPr>
                <w:rFonts w:hint="eastAsia" w:ascii="宋体" w:hAnsi="宋体" w:cs="宋体"/>
                <w:szCs w:val="21"/>
              </w:rPr>
              <w:t>符合要求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771" w:type="dxa"/>
            <w:vMerge w:val="continue"/>
          </w:tcPr>
          <w:p>
            <w:pPr>
              <w:spacing w:line="280" w:lineRule="exact"/>
              <w:ind w:firstLine="422"/>
              <w:rPr>
                <w:rFonts w:ascii="宋体" w:hAnsi="宋体" w:cs="宋体"/>
                <w:b/>
                <w:szCs w:val="21"/>
              </w:rPr>
            </w:pPr>
          </w:p>
        </w:tc>
        <w:tc>
          <w:tcPr>
            <w:tcW w:w="709" w:type="dxa"/>
            <w:vMerge w:val="continue"/>
          </w:tcPr>
          <w:p>
            <w:pPr>
              <w:spacing w:line="280" w:lineRule="exact"/>
              <w:ind w:firstLine="422"/>
              <w:rPr>
                <w:rFonts w:ascii="宋体" w:hAnsi="宋体" w:cs="宋体"/>
                <w:b/>
                <w:bCs/>
                <w:szCs w:val="21"/>
              </w:rPr>
            </w:pPr>
          </w:p>
        </w:tc>
        <w:tc>
          <w:tcPr>
            <w:tcW w:w="2409" w:type="dxa"/>
          </w:tcPr>
          <w:p>
            <w:pPr>
              <w:spacing w:line="280" w:lineRule="exact"/>
              <w:rPr>
                <w:rFonts w:ascii="宋体" w:hAnsi="宋体" w:cs="宋体"/>
                <w:spacing w:val="2"/>
                <w:szCs w:val="21"/>
              </w:rPr>
            </w:pPr>
            <w:r>
              <w:rPr>
                <w:rFonts w:hint="eastAsia" w:ascii="宋体" w:hAnsi="宋体" w:cs="宋体"/>
                <w:spacing w:val="2"/>
                <w:szCs w:val="21"/>
              </w:rPr>
              <w:t>2.企业应根据生产经营规模大小，设置相应的管理部门。</w:t>
            </w:r>
          </w:p>
        </w:tc>
        <w:tc>
          <w:tcPr>
            <w:tcW w:w="2268" w:type="dxa"/>
          </w:tcPr>
          <w:p>
            <w:pPr>
              <w:spacing w:line="280" w:lineRule="exact"/>
              <w:rPr>
                <w:rFonts w:ascii="宋体" w:hAnsi="宋体" w:cs="宋体"/>
                <w:spacing w:val="2"/>
                <w:szCs w:val="21"/>
              </w:rPr>
            </w:pPr>
            <w:r>
              <w:rPr>
                <w:rFonts w:hint="eastAsia" w:ascii="宋体" w:hAnsi="宋体" w:cs="宋体"/>
                <w:spacing w:val="2"/>
                <w:szCs w:val="21"/>
              </w:rPr>
              <w:t>1.根据生产经营规模设置相应管理部门；</w:t>
            </w:r>
          </w:p>
          <w:p>
            <w:pPr>
              <w:spacing w:line="280" w:lineRule="exact"/>
              <w:rPr>
                <w:rFonts w:ascii="宋体" w:hAnsi="宋体" w:cs="宋体"/>
                <w:spacing w:val="2"/>
                <w:szCs w:val="21"/>
              </w:rPr>
            </w:pPr>
            <w:r>
              <w:rPr>
                <w:rFonts w:hint="eastAsia" w:ascii="宋体" w:hAnsi="宋体" w:cs="宋体"/>
                <w:spacing w:val="2"/>
                <w:szCs w:val="21"/>
              </w:rPr>
              <w:t>2.生产、储存剧毒化学品、易制毒危险化学品的单位，应当设置治安保卫机构,配备专职治安保卫人员。</w:t>
            </w:r>
          </w:p>
        </w:tc>
        <w:tc>
          <w:tcPr>
            <w:tcW w:w="2268" w:type="dxa"/>
          </w:tcPr>
          <w:p>
            <w:pPr>
              <w:spacing w:line="280" w:lineRule="exact"/>
              <w:rPr>
                <w:rFonts w:ascii="宋体" w:hAnsi="宋体" w:cs="宋体"/>
                <w:spacing w:val="2"/>
                <w:szCs w:val="21"/>
              </w:rPr>
            </w:pPr>
            <w:r>
              <w:rPr>
                <w:rFonts w:hint="eastAsia" w:ascii="宋体" w:hAnsi="宋体" w:cs="宋体"/>
                <w:spacing w:val="2"/>
                <w:szCs w:val="21"/>
              </w:rPr>
              <w:t>查文件：</w:t>
            </w:r>
          </w:p>
          <w:p>
            <w:pPr>
              <w:spacing w:line="280" w:lineRule="exact"/>
              <w:rPr>
                <w:rFonts w:ascii="宋体" w:hAnsi="宋体" w:cs="宋体"/>
                <w:spacing w:val="2"/>
                <w:szCs w:val="21"/>
              </w:rPr>
            </w:pPr>
            <w:r>
              <w:rPr>
                <w:rFonts w:hint="eastAsia" w:ascii="宋体" w:hAnsi="宋体" w:cs="宋体"/>
                <w:spacing w:val="2"/>
                <w:szCs w:val="21"/>
              </w:rPr>
              <w:t>1.管理部门设置文件；</w:t>
            </w:r>
          </w:p>
          <w:p>
            <w:pPr>
              <w:spacing w:line="280" w:lineRule="exact"/>
              <w:rPr>
                <w:rFonts w:ascii="宋体" w:hAnsi="宋体" w:cs="宋体"/>
                <w:spacing w:val="2"/>
                <w:szCs w:val="21"/>
              </w:rPr>
            </w:pPr>
            <w:r>
              <w:rPr>
                <w:rFonts w:hint="eastAsia" w:ascii="宋体" w:hAnsi="宋体" w:cs="宋体"/>
                <w:spacing w:val="2"/>
                <w:szCs w:val="21"/>
              </w:rPr>
              <w:t>2.治安保卫部门设置及专职治安保卫人员配置文件。</w:t>
            </w:r>
          </w:p>
        </w:tc>
        <w:tc>
          <w:tcPr>
            <w:tcW w:w="1701" w:type="dxa"/>
          </w:tcPr>
          <w:p>
            <w:pPr>
              <w:spacing w:line="280" w:lineRule="exact"/>
              <w:rPr>
                <w:rFonts w:ascii="宋体" w:hAnsi="宋体" w:cs="宋体"/>
                <w:spacing w:val="2"/>
                <w:szCs w:val="21"/>
              </w:rPr>
            </w:pPr>
          </w:p>
        </w:tc>
        <w:tc>
          <w:tcPr>
            <w:tcW w:w="2268" w:type="dxa"/>
          </w:tcPr>
          <w:p>
            <w:pPr>
              <w:spacing w:line="280" w:lineRule="exact"/>
              <w:rPr>
                <w:rFonts w:ascii="宋体" w:hAnsi="宋体" w:cs="宋体"/>
                <w:spacing w:val="2"/>
                <w:szCs w:val="21"/>
              </w:rPr>
            </w:pPr>
            <w:r>
              <w:rPr>
                <w:rFonts w:hint="eastAsia" w:ascii="宋体" w:hAnsi="宋体" w:cs="宋体"/>
                <w:spacing w:val="2"/>
                <w:szCs w:val="21"/>
              </w:rPr>
              <w:t>1.机构设置与企业生产经营规模不符，扣2分；</w:t>
            </w:r>
          </w:p>
          <w:p>
            <w:pPr>
              <w:spacing w:line="280" w:lineRule="exact"/>
              <w:rPr>
                <w:rFonts w:ascii="宋体" w:hAnsi="宋体" w:cs="宋体"/>
                <w:spacing w:val="2"/>
                <w:szCs w:val="21"/>
              </w:rPr>
            </w:pPr>
            <w:r>
              <w:rPr>
                <w:rFonts w:hint="eastAsia" w:ascii="宋体" w:hAnsi="宋体" w:cs="宋体"/>
                <w:spacing w:val="2"/>
                <w:szCs w:val="21"/>
              </w:rPr>
              <w:t>2.未设置治安保卫机构或配备专职治安保卫人员，一项扣1分。</w:t>
            </w:r>
          </w:p>
        </w:tc>
        <w:tc>
          <w:tcPr>
            <w:tcW w:w="1165" w:type="dxa"/>
            <w:vAlign w:val="center"/>
          </w:tcPr>
          <w:p>
            <w:pPr>
              <w:tabs>
                <w:tab w:val="left" w:pos="531"/>
              </w:tabs>
              <w:jc w:val="center"/>
              <w:rPr>
                <w:rFonts w:ascii="宋体" w:hAnsi="宋体" w:cs="宋体"/>
                <w:szCs w:val="21"/>
              </w:rPr>
            </w:pPr>
            <w:r>
              <w:rPr>
                <w:rFonts w:hint="eastAsia" w:ascii="宋体" w:hAnsi="宋体" w:cs="宋体"/>
                <w:szCs w:val="21"/>
              </w:rPr>
              <w:t>符合要求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771" w:type="dxa"/>
            <w:vMerge w:val="continue"/>
          </w:tcPr>
          <w:p>
            <w:pPr>
              <w:spacing w:line="280" w:lineRule="exact"/>
              <w:ind w:firstLine="422"/>
              <w:rPr>
                <w:rFonts w:ascii="宋体" w:hAnsi="宋体" w:cs="宋体"/>
                <w:b/>
                <w:szCs w:val="21"/>
              </w:rPr>
            </w:pPr>
          </w:p>
        </w:tc>
        <w:tc>
          <w:tcPr>
            <w:tcW w:w="709" w:type="dxa"/>
            <w:vMerge w:val="continue"/>
          </w:tcPr>
          <w:p>
            <w:pPr>
              <w:spacing w:line="280" w:lineRule="exact"/>
              <w:ind w:firstLine="422"/>
              <w:rPr>
                <w:rFonts w:ascii="宋体" w:hAnsi="宋体" w:cs="宋体"/>
                <w:b/>
                <w:bCs/>
                <w:szCs w:val="21"/>
              </w:rPr>
            </w:pPr>
          </w:p>
        </w:tc>
        <w:tc>
          <w:tcPr>
            <w:tcW w:w="2409" w:type="dxa"/>
          </w:tcPr>
          <w:p>
            <w:pPr>
              <w:spacing w:line="280" w:lineRule="exact"/>
              <w:rPr>
                <w:rFonts w:ascii="宋体" w:hAnsi="宋体" w:cs="宋体"/>
                <w:spacing w:val="2"/>
                <w:szCs w:val="21"/>
              </w:rPr>
            </w:pPr>
            <w:r>
              <w:rPr>
                <w:rFonts w:hint="eastAsia" w:ascii="宋体" w:hAnsi="宋体" w:cs="宋体"/>
                <w:spacing w:val="2"/>
                <w:szCs w:val="21"/>
              </w:rPr>
              <w:t>3.企业应建立、健全从安委会到基层班组的安全生产管理网络。</w:t>
            </w:r>
          </w:p>
        </w:tc>
        <w:tc>
          <w:tcPr>
            <w:tcW w:w="2268" w:type="dxa"/>
          </w:tcPr>
          <w:p>
            <w:pPr>
              <w:spacing w:line="280" w:lineRule="exact"/>
              <w:rPr>
                <w:rFonts w:ascii="宋体" w:hAnsi="宋体" w:cs="宋体"/>
                <w:spacing w:val="2"/>
                <w:szCs w:val="21"/>
              </w:rPr>
            </w:pPr>
            <w:r>
              <w:rPr>
                <w:rFonts w:hint="eastAsia" w:ascii="宋体" w:hAnsi="宋体" w:cs="宋体"/>
                <w:spacing w:val="2"/>
                <w:szCs w:val="21"/>
              </w:rPr>
              <w:t>建立从安全生产委员会到管理部门、车间、基层班组的安全生产管理网络，各级机构要配备负责安全生产的人员。</w:t>
            </w:r>
          </w:p>
        </w:tc>
        <w:tc>
          <w:tcPr>
            <w:tcW w:w="2268" w:type="dxa"/>
          </w:tcPr>
          <w:p>
            <w:pPr>
              <w:spacing w:line="280" w:lineRule="exact"/>
              <w:rPr>
                <w:rFonts w:ascii="宋体" w:hAnsi="宋体" w:cs="宋体"/>
                <w:spacing w:val="2"/>
                <w:szCs w:val="21"/>
              </w:rPr>
            </w:pPr>
            <w:r>
              <w:rPr>
                <w:rFonts w:hint="eastAsia" w:ascii="宋体" w:hAnsi="宋体" w:cs="宋体"/>
                <w:spacing w:val="2"/>
                <w:szCs w:val="21"/>
              </w:rPr>
              <w:t>查文件：</w:t>
            </w:r>
          </w:p>
          <w:p>
            <w:pPr>
              <w:spacing w:line="280" w:lineRule="exact"/>
              <w:rPr>
                <w:rFonts w:hint="eastAsia" w:ascii="宋体" w:hAnsi="宋体" w:eastAsia="宋体" w:cs="宋体"/>
                <w:spacing w:val="2"/>
                <w:szCs w:val="21"/>
                <w:lang w:eastAsia="zh-CN"/>
              </w:rPr>
            </w:pPr>
            <w:r>
              <w:rPr>
                <w:rFonts w:hint="eastAsia" w:ascii="宋体" w:hAnsi="宋体" w:cs="宋体"/>
                <w:spacing w:val="2"/>
                <w:szCs w:val="21"/>
              </w:rPr>
              <w:t>1.建立安全生产委员会、管理部门、车间、基层班组的安全生产管理网络的文件。</w:t>
            </w:r>
          </w:p>
          <w:p>
            <w:pPr>
              <w:spacing w:line="280" w:lineRule="exact"/>
              <w:rPr>
                <w:rFonts w:ascii="宋体" w:hAnsi="宋体" w:cs="宋体"/>
                <w:spacing w:val="2"/>
                <w:szCs w:val="21"/>
              </w:rPr>
            </w:pPr>
            <w:r>
              <w:rPr>
                <w:rFonts w:hint="eastAsia" w:ascii="宋体" w:hAnsi="宋体" w:cs="宋体"/>
                <w:spacing w:val="2"/>
                <w:szCs w:val="21"/>
              </w:rPr>
              <w:t>询问：</w:t>
            </w:r>
          </w:p>
          <w:p>
            <w:pPr>
              <w:spacing w:line="280" w:lineRule="exact"/>
              <w:rPr>
                <w:rFonts w:ascii="宋体" w:hAnsi="宋体" w:cs="宋体"/>
                <w:spacing w:val="2"/>
                <w:szCs w:val="21"/>
              </w:rPr>
            </w:pPr>
            <w:r>
              <w:rPr>
                <w:rFonts w:hint="eastAsia" w:ascii="宋体" w:hAnsi="宋体" w:cs="宋体"/>
                <w:spacing w:val="2"/>
                <w:szCs w:val="21"/>
              </w:rPr>
              <w:t>有关人员是否了解安全生产管理网络构成。</w:t>
            </w:r>
          </w:p>
        </w:tc>
        <w:tc>
          <w:tcPr>
            <w:tcW w:w="1701" w:type="dxa"/>
          </w:tcPr>
          <w:p>
            <w:pPr>
              <w:spacing w:line="280" w:lineRule="exact"/>
              <w:rPr>
                <w:rFonts w:ascii="宋体" w:hAnsi="宋体" w:cs="宋体"/>
                <w:spacing w:val="2"/>
                <w:szCs w:val="21"/>
              </w:rPr>
            </w:pPr>
          </w:p>
        </w:tc>
        <w:tc>
          <w:tcPr>
            <w:tcW w:w="2268" w:type="dxa"/>
          </w:tcPr>
          <w:p>
            <w:pPr>
              <w:spacing w:line="280" w:lineRule="exact"/>
              <w:rPr>
                <w:rFonts w:ascii="宋体" w:hAnsi="宋体" w:cs="宋体"/>
                <w:spacing w:val="2"/>
                <w:szCs w:val="21"/>
              </w:rPr>
            </w:pPr>
            <w:r>
              <w:rPr>
                <w:rFonts w:hint="eastAsia" w:ascii="宋体" w:hAnsi="宋体" w:cs="宋体"/>
                <w:spacing w:val="2"/>
                <w:szCs w:val="21"/>
              </w:rPr>
              <w:t>1.未建立安全生产管理网络，扣2分。</w:t>
            </w:r>
          </w:p>
          <w:p>
            <w:pPr>
              <w:spacing w:line="280" w:lineRule="exact"/>
              <w:rPr>
                <w:rFonts w:ascii="宋体" w:hAnsi="宋体" w:cs="宋体"/>
                <w:spacing w:val="2"/>
                <w:szCs w:val="21"/>
              </w:rPr>
            </w:pPr>
            <w:r>
              <w:rPr>
                <w:rFonts w:hint="eastAsia" w:ascii="宋体" w:hAnsi="宋体" w:cs="宋体"/>
                <w:spacing w:val="2"/>
                <w:szCs w:val="21"/>
              </w:rPr>
              <w:t>2.安全生产管理网络中每缺1个单位或1个单位未明确安全管理人员，一项扣2分；</w:t>
            </w:r>
          </w:p>
          <w:p>
            <w:pPr>
              <w:spacing w:line="280" w:lineRule="exact"/>
              <w:rPr>
                <w:rFonts w:ascii="宋体" w:hAnsi="宋体" w:cs="宋体"/>
                <w:spacing w:val="2"/>
                <w:szCs w:val="21"/>
              </w:rPr>
            </w:pPr>
            <w:r>
              <w:rPr>
                <w:rFonts w:hint="eastAsia" w:ascii="宋体" w:hAnsi="宋体" w:cs="宋体"/>
                <w:spacing w:val="2"/>
                <w:szCs w:val="21"/>
              </w:rPr>
              <w:t>3.有关人员不清楚安全生产管理网络构成，1人次扣1分。</w:t>
            </w:r>
          </w:p>
        </w:tc>
        <w:tc>
          <w:tcPr>
            <w:tcW w:w="1165" w:type="dxa"/>
            <w:vAlign w:val="center"/>
          </w:tcPr>
          <w:p>
            <w:pPr>
              <w:tabs>
                <w:tab w:val="left" w:pos="531"/>
              </w:tabs>
              <w:jc w:val="center"/>
              <w:rPr>
                <w:rFonts w:ascii="宋体" w:hAnsi="宋体" w:cs="宋体"/>
                <w:szCs w:val="21"/>
              </w:rPr>
            </w:pPr>
            <w:r>
              <w:rPr>
                <w:rFonts w:hint="eastAsia" w:ascii="宋体" w:hAnsi="宋体" w:cs="宋体"/>
                <w:spacing w:val="2"/>
                <w:szCs w:val="21"/>
              </w:rPr>
              <w:t>符合要求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771" w:type="dxa"/>
            <w:vMerge w:val="continue"/>
          </w:tcPr>
          <w:p>
            <w:pPr>
              <w:spacing w:line="280" w:lineRule="exact"/>
              <w:ind w:firstLine="422"/>
              <w:rPr>
                <w:rFonts w:ascii="宋体" w:hAnsi="宋体" w:cs="宋体"/>
                <w:b/>
                <w:szCs w:val="21"/>
              </w:rPr>
            </w:pPr>
          </w:p>
        </w:tc>
        <w:tc>
          <w:tcPr>
            <w:tcW w:w="709" w:type="dxa"/>
            <w:vMerge w:val="restart"/>
          </w:tcPr>
          <w:p>
            <w:pPr>
              <w:spacing w:line="280" w:lineRule="exact"/>
              <w:rPr>
                <w:rFonts w:ascii="宋体" w:hAnsi="宋体" w:cs="宋体"/>
                <w:b/>
                <w:bCs/>
                <w:szCs w:val="21"/>
              </w:rPr>
            </w:pPr>
            <w:r>
              <w:rPr>
                <w:rFonts w:hint="eastAsia" w:ascii="宋体" w:hAnsi="宋体" w:cs="宋体"/>
                <w:b/>
                <w:bCs/>
                <w:szCs w:val="21"/>
              </w:rPr>
              <w:t>2.5 安全生产投入（10分）</w:t>
            </w:r>
          </w:p>
        </w:tc>
        <w:tc>
          <w:tcPr>
            <w:tcW w:w="2409" w:type="dxa"/>
          </w:tcPr>
          <w:p>
            <w:pPr>
              <w:spacing w:line="280" w:lineRule="exact"/>
              <w:rPr>
                <w:rFonts w:ascii="宋体" w:hAnsi="宋体" w:cs="宋体"/>
                <w:spacing w:val="2"/>
                <w:szCs w:val="21"/>
              </w:rPr>
            </w:pPr>
            <w:r>
              <w:rPr>
                <w:rFonts w:hint="eastAsia" w:ascii="宋体" w:hAnsi="宋体" w:cs="宋体"/>
                <w:spacing w:val="2"/>
                <w:szCs w:val="21"/>
              </w:rPr>
              <w:t>1.企业应依据国家、当地政府的有关安全生产费用提取规定，自行提取安全生产费用，专项用于安全生产。</w:t>
            </w:r>
          </w:p>
        </w:tc>
        <w:tc>
          <w:tcPr>
            <w:tcW w:w="2268" w:type="dxa"/>
          </w:tcPr>
          <w:p>
            <w:pPr>
              <w:spacing w:line="280" w:lineRule="exact"/>
              <w:rPr>
                <w:rFonts w:ascii="宋体" w:hAnsi="宋体" w:cs="宋体"/>
                <w:spacing w:val="2"/>
                <w:szCs w:val="21"/>
              </w:rPr>
            </w:pPr>
            <w:r>
              <w:rPr>
                <w:rFonts w:hint="eastAsia" w:ascii="宋体" w:hAnsi="宋体" w:cs="宋体"/>
                <w:spacing w:val="2"/>
                <w:szCs w:val="21"/>
              </w:rPr>
              <w:t>根据国家及当地政府规定，建立和落实安全生产费用管理制度，确保安全生产需要。</w:t>
            </w:r>
          </w:p>
        </w:tc>
        <w:tc>
          <w:tcPr>
            <w:tcW w:w="2268" w:type="dxa"/>
          </w:tcPr>
          <w:p>
            <w:pPr>
              <w:spacing w:line="280" w:lineRule="exact"/>
              <w:rPr>
                <w:rFonts w:ascii="宋体" w:hAnsi="宋体" w:cs="宋体"/>
                <w:spacing w:val="2"/>
                <w:szCs w:val="21"/>
              </w:rPr>
            </w:pPr>
            <w:r>
              <w:rPr>
                <w:rFonts w:hint="eastAsia" w:ascii="宋体" w:hAnsi="宋体" w:cs="宋体"/>
                <w:spacing w:val="2"/>
                <w:szCs w:val="21"/>
              </w:rPr>
              <w:t>查文件：</w:t>
            </w:r>
          </w:p>
          <w:p>
            <w:pPr>
              <w:spacing w:line="280" w:lineRule="exact"/>
              <w:rPr>
                <w:rFonts w:ascii="宋体" w:hAnsi="宋体" w:cs="宋体"/>
                <w:spacing w:val="2"/>
                <w:szCs w:val="21"/>
              </w:rPr>
            </w:pPr>
            <w:r>
              <w:rPr>
                <w:rFonts w:hint="eastAsia" w:ascii="宋体" w:hAnsi="宋体" w:cs="宋体"/>
                <w:spacing w:val="2"/>
                <w:szCs w:val="21"/>
              </w:rPr>
              <w:t>安全生产费用管理制度。</w:t>
            </w:r>
          </w:p>
          <w:p>
            <w:pPr>
              <w:spacing w:line="280" w:lineRule="exact"/>
              <w:rPr>
                <w:rFonts w:ascii="宋体" w:hAnsi="宋体" w:cs="宋体"/>
                <w:spacing w:val="2"/>
                <w:szCs w:val="21"/>
              </w:rPr>
            </w:pPr>
          </w:p>
        </w:tc>
        <w:tc>
          <w:tcPr>
            <w:tcW w:w="1701" w:type="dxa"/>
          </w:tcPr>
          <w:p>
            <w:pPr>
              <w:spacing w:line="280" w:lineRule="exact"/>
              <w:rPr>
                <w:rFonts w:ascii="宋体" w:hAnsi="宋体" w:cs="宋体"/>
                <w:b/>
                <w:bCs/>
                <w:spacing w:val="2"/>
                <w:szCs w:val="21"/>
              </w:rPr>
            </w:pPr>
            <w:r>
              <w:rPr>
                <w:rFonts w:hint="eastAsia" w:ascii="宋体" w:hAnsi="宋体" w:cs="宋体"/>
                <w:b/>
                <w:bCs/>
                <w:spacing w:val="2"/>
                <w:szCs w:val="21"/>
              </w:rPr>
              <w:t>未按有关规定投入安全生产费用，扣10分（B级要素否决项）。</w:t>
            </w:r>
          </w:p>
        </w:tc>
        <w:tc>
          <w:tcPr>
            <w:tcW w:w="2268" w:type="dxa"/>
          </w:tcPr>
          <w:p>
            <w:pPr>
              <w:spacing w:line="280" w:lineRule="exact"/>
              <w:rPr>
                <w:rFonts w:ascii="宋体" w:hAnsi="宋体" w:cs="宋体"/>
                <w:spacing w:val="2"/>
                <w:szCs w:val="21"/>
              </w:rPr>
            </w:pPr>
            <w:r>
              <w:rPr>
                <w:rFonts w:hint="eastAsia" w:ascii="宋体" w:hAnsi="宋体" w:cs="宋体"/>
                <w:spacing w:val="2"/>
                <w:szCs w:val="21"/>
              </w:rPr>
              <w:t>安全生产费用管理制度内容不符合有关规定，一项扣1分。</w:t>
            </w:r>
          </w:p>
        </w:tc>
        <w:tc>
          <w:tcPr>
            <w:tcW w:w="1165" w:type="dxa"/>
            <w:vAlign w:val="center"/>
          </w:tcPr>
          <w:p>
            <w:pPr>
              <w:jc w:val="center"/>
              <w:rPr>
                <w:rFonts w:ascii="宋体" w:hAnsi="宋体" w:cs="宋体"/>
                <w:szCs w:val="21"/>
              </w:rPr>
            </w:pPr>
            <w:r>
              <w:rPr>
                <w:rFonts w:hint="eastAsia" w:ascii="宋体" w:hAnsi="宋体" w:cs="宋体"/>
                <w:szCs w:val="21"/>
              </w:rPr>
              <w:t>符合要求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771" w:type="dxa"/>
            <w:vMerge w:val="continue"/>
          </w:tcPr>
          <w:p>
            <w:pPr>
              <w:spacing w:line="280" w:lineRule="exact"/>
              <w:ind w:firstLine="422"/>
              <w:rPr>
                <w:rFonts w:ascii="宋体" w:hAnsi="宋体" w:cs="宋体"/>
                <w:b/>
                <w:szCs w:val="21"/>
              </w:rPr>
            </w:pPr>
          </w:p>
        </w:tc>
        <w:tc>
          <w:tcPr>
            <w:tcW w:w="709" w:type="dxa"/>
            <w:vMerge w:val="continue"/>
          </w:tcPr>
          <w:p>
            <w:pPr>
              <w:spacing w:line="280" w:lineRule="exact"/>
              <w:ind w:firstLine="422"/>
              <w:rPr>
                <w:rFonts w:ascii="宋体" w:hAnsi="宋体" w:cs="宋体"/>
                <w:b/>
                <w:bCs/>
                <w:szCs w:val="21"/>
              </w:rPr>
            </w:pPr>
          </w:p>
        </w:tc>
        <w:tc>
          <w:tcPr>
            <w:tcW w:w="2409" w:type="dxa"/>
          </w:tcPr>
          <w:p>
            <w:pPr>
              <w:spacing w:line="280" w:lineRule="exact"/>
              <w:rPr>
                <w:rFonts w:ascii="宋体" w:hAnsi="宋体" w:cs="宋体"/>
                <w:spacing w:val="2"/>
                <w:szCs w:val="21"/>
              </w:rPr>
            </w:pPr>
            <w:r>
              <w:rPr>
                <w:rFonts w:hint="eastAsia" w:ascii="宋体" w:hAnsi="宋体" w:cs="宋体"/>
                <w:spacing w:val="2"/>
                <w:szCs w:val="21"/>
              </w:rPr>
              <w:t>2.企业应按照规定的安全生产费用使用范围，合理使用安全生产费用，建立安全生产费用台账。</w:t>
            </w:r>
          </w:p>
          <w:p>
            <w:pPr>
              <w:spacing w:line="280" w:lineRule="exact"/>
              <w:rPr>
                <w:rFonts w:ascii="宋体" w:hAnsi="宋体" w:cs="宋体"/>
                <w:spacing w:val="2"/>
                <w:szCs w:val="21"/>
              </w:rPr>
            </w:pPr>
          </w:p>
        </w:tc>
        <w:tc>
          <w:tcPr>
            <w:tcW w:w="2268" w:type="dxa"/>
          </w:tcPr>
          <w:p>
            <w:pPr>
              <w:spacing w:line="280" w:lineRule="exact"/>
              <w:rPr>
                <w:rFonts w:ascii="宋体" w:hAnsi="宋体" w:cs="宋体"/>
                <w:spacing w:val="2"/>
                <w:szCs w:val="21"/>
              </w:rPr>
            </w:pPr>
            <w:r>
              <w:rPr>
                <w:rFonts w:hint="eastAsia" w:ascii="宋体" w:hAnsi="宋体" w:cs="宋体"/>
                <w:spacing w:val="2"/>
                <w:szCs w:val="21"/>
              </w:rPr>
              <w:t>1.按照国家及地方规定合理使用安全生产费用；</w:t>
            </w:r>
          </w:p>
          <w:p>
            <w:pPr>
              <w:spacing w:line="280" w:lineRule="exact"/>
              <w:rPr>
                <w:rFonts w:ascii="宋体" w:hAnsi="宋体" w:cs="宋体"/>
                <w:spacing w:val="2"/>
                <w:szCs w:val="21"/>
              </w:rPr>
            </w:pPr>
            <w:r>
              <w:rPr>
                <w:rFonts w:hint="eastAsia" w:ascii="宋体" w:hAnsi="宋体" w:cs="宋体"/>
                <w:spacing w:val="2"/>
                <w:szCs w:val="21"/>
              </w:rPr>
              <w:t>2.建立安全生产费用台帐，载明安全生产费用使用情况。</w:t>
            </w:r>
          </w:p>
          <w:p>
            <w:pPr>
              <w:spacing w:line="280" w:lineRule="exact"/>
              <w:rPr>
                <w:rFonts w:ascii="宋体" w:hAnsi="宋体" w:cs="宋体"/>
                <w:spacing w:val="2"/>
                <w:szCs w:val="21"/>
              </w:rPr>
            </w:pPr>
          </w:p>
        </w:tc>
        <w:tc>
          <w:tcPr>
            <w:tcW w:w="2268" w:type="dxa"/>
          </w:tcPr>
          <w:p>
            <w:pPr>
              <w:spacing w:line="280" w:lineRule="exact"/>
              <w:rPr>
                <w:rFonts w:ascii="宋体" w:hAnsi="宋体" w:cs="宋体"/>
                <w:spacing w:val="2"/>
                <w:szCs w:val="21"/>
              </w:rPr>
            </w:pPr>
            <w:r>
              <w:rPr>
                <w:rFonts w:hint="eastAsia" w:ascii="宋体" w:hAnsi="宋体" w:cs="宋体"/>
                <w:spacing w:val="2"/>
                <w:szCs w:val="21"/>
              </w:rPr>
              <w:t>查文件：</w:t>
            </w:r>
          </w:p>
          <w:p>
            <w:pPr>
              <w:spacing w:line="280" w:lineRule="exact"/>
              <w:rPr>
                <w:rFonts w:ascii="宋体" w:hAnsi="宋体" w:cs="宋体"/>
                <w:spacing w:val="2"/>
                <w:szCs w:val="21"/>
              </w:rPr>
            </w:pPr>
            <w:r>
              <w:rPr>
                <w:rFonts w:hint="eastAsia" w:ascii="宋体" w:hAnsi="宋体" w:cs="宋体"/>
                <w:spacing w:val="2"/>
                <w:szCs w:val="21"/>
              </w:rPr>
              <w:t>1.安全生产费用管理制度；</w:t>
            </w:r>
          </w:p>
          <w:p>
            <w:pPr>
              <w:spacing w:line="280" w:lineRule="exact"/>
              <w:rPr>
                <w:rFonts w:ascii="宋体" w:hAnsi="宋体" w:cs="宋体"/>
                <w:spacing w:val="2"/>
                <w:szCs w:val="21"/>
              </w:rPr>
            </w:pPr>
            <w:r>
              <w:rPr>
                <w:rFonts w:hint="eastAsia" w:ascii="宋体" w:hAnsi="宋体" w:cs="宋体"/>
                <w:spacing w:val="2"/>
                <w:szCs w:val="21"/>
              </w:rPr>
              <w:t>2.安全生产费用台帐。</w:t>
            </w:r>
          </w:p>
          <w:p>
            <w:pPr>
              <w:spacing w:line="280" w:lineRule="exact"/>
              <w:rPr>
                <w:rFonts w:ascii="宋体" w:hAnsi="宋体" w:cs="宋体"/>
                <w:spacing w:val="2"/>
                <w:szCs w:val="21"/>
              </w:rPr>
            </w:pPr>
            <w:r>
              <w:rPr>
                <w:rFonts w:hint="eastAsia" w:ascii="宋体" w:hAnsi="宋体" w:cs="宋体"/>
                <w:spacing w:val="2"/>
                <w:szCs w:val="21"/>
              </w:rPr>
              <w:t>询问：</w:t>
            </w:r>
          </w:p>
          <w:p>
            <w:pPr>
              <w:spacing w:line="280" w:lineRule="exact"/>
              <w:rPr>
                <w:rFonts w:ascii="宋体" w:hAnsi="宋体" w:cs="宋体"/>
                <w:spacing w:val="2"/>
                <w:szCs w:val="21"/>
              </w:rPr>
            </w:pPr>
            <w:r>
              <w:rPr>
                <w:rFonts w:hint="eastAsia" w:ascii="宋体" w:hAnsi="宋体" w:cs="宋体"/>
                <w:spacing w:val="2"/>
                <w:szCs w:val="21"/>
              </w:rPr>
              <w:t>安全生产费用管理部门对安全生产费用使用情况。</w:t>
            </w:r>
          </w:p>
          <w:p>
            <w:pPr>
              <w:spacing w:line="280" w:lineRule="exact"/>
              <w:rPr>
                <w:rFonts w:ascii="宋体" w:hAnsi="宋体" w:cs="宋体"/>
                <w:spacing w:val="2"/>
                <w:szCs w:val="21"/>
              </w:rPr>
            </w:pPr>
            <w:r>
              <w:rPr>
                <w:rFonts w:hint="eastAsia" w:ascii="宋体" w:hAnsi="宋体" w:cs="宋体"/>
                <w:spacing w:val="2"/>
                <w:szCs w:val="21"/>
              </w:rPr>
              <w:t>现场检查：</w:t>
            </w:r>
          </w:p>
          <w:p>
            <w:pPr>
              <w:spacing w:line="280" w:lineRule="exact"/>
              <w:rPr>
                <w:rFonts w:ascii="宋体" w:hAnsi="宋体" w:cs="宋体"/>
                <w:spacing w:val="2"/>
                <w:szCs w:val="21"/>
              </w:rPr>
            </w:pPr>
            <w:r>
              <w:rPr>
                <w:rFonts w:hint="eastAsia" w:ascii="宋体" w:hAnsi="宋体" w:cs="宋体"/>
                <w:spacing w:val="2"/>
                <w:szCs w:val="21"/>
              </w:rPr>
              <w:t>安全生产费用使用情况与台帐记录是否符合。</w:t>
            </w:r>
          </w:p>
        </w:tc>
        <w:tc>
          <w:tcPr>
            <w:tcW w:w="1701" w:type="dxa"/>
          </w:tcPr>
          <w:p>
            <w:pPr>
              <w:spacing w:line="280" w:lineRule="exact"/>
              <w:rPr>
                <w:rFonts w:ascii="宋体" w:hAnsi="宋体" w:cs="宋体"/>
                <w:b/>
                <w:bCs/>
                <w:spacing w:val="2"/>
                <w:szCs w:val="21"/>
              </w:rPr>
            </w:pPr>
          </w:p>
        </w:tc>
        <w:tc>
          <w:tcPr>
            <w:tcW w:w="2268" w:type="dxa"/>
          </w:tcPr>
          <w:p>
            <w:pPr>
              <w:spacing w:line="280" w:lineRule="exact"/>
              <w:rPr>
                <w:rFonts w:ascii="宋体" w:hAnsi="宋体" w:cs="宋体"/>
                <w:spacing w:val="2"/>
                <w:szCs w:val="21"/>
              </w:rPr>
            </w:pPr>
            <w:r>
              <w:rPr>
                <w:rFonts w:hint="eastAsia" w:ascii="宋体" w:hAnsi="宋体" w:cs="宋体"/>
                <w:spacing w:val="2"/>
                <w:szCs w:val="21"/>
              </w:rPr>
              <w:t xml:space="preserve">1.未规定安全生产费用使用范围，扣5分； </w:t>
            </w:r>
          </w:p>
          <w:p>
            <w:pPr>
              <w:spacing w:line="280" w:lineRule="exact"/>
              <w:rPr>
                <w:rFonts w:ascii="宋体" w:hAnsi="宋体" w:cs="宋体"/>
                <w:spacing w:val="2"/>
                <w:szCs w:val="21"/>
              </w:rPr>
            </w:pPr>
          </w:p>
          <w:p>
            <w:pPr>
              <w:spacing w:line="280" w:lineRule="exact"/>
              <w:rPr>
                <w:rFonts w:ascii="宋体" w:hAnsi="宋体" w:cs="宋体"/>
                <w:spacing w:val="2"/>
                <w:szCs w:val="21"/>
              </w:rPr>
            </w:pPr>
            <w:r>
              <w:rPr>
                <w:rFonts w:hint="eastAsia" w:ascii="宋体" w:hAnsi="宋体" w:cs="宋体"/>
                <w:spacing w:val="2"/>
                <w:szCs w:val="21"/>
              </w:rPr>
              <w:t>2.未建立安全生产费用台帐，扣2分；</w:t>
            </w:r>
          </w:p>
          <w:p>
            <w:pPr>
              <w:spacing w:line="280" w:lineRule="exact"/>
              <w:rPr>
                <w:rFonts w:ascii="宋体" w:hAnsi="宋体" w:cs="宋体"/>
                <w:spacing w:val="2"/>
                <w:szCs w:val="21"/>
              </w:rPr>
            </w:pPr>
            <w:r>
              <w:rPr>
                <w:rFonts w:hint="eastAsia" w:ascii="宋体" w:hAnsi="宋体" w:cs="宋体"/>
                <w:spacing w:val="2"/>
                <w:szCs w:val="21"/>
              </w:rPr>
              <w:t>3.安全生产费用台帐内容与规定要求不符，一项扣1分；</w:t>
            </w:r>
          </w:p>
          <w:p>
            <w:pPr>
              <w:spacing w:line="280" w:lineRule="exact"/>
              <w:rPr>
                <w:rFonts w:ascii="宋体" w:hAnsi="宋体" w:cs="宋体"/>
                <w:spacing w:val="2"/>
                <w:szCs w:val="21"/>
              </w:rPr>
            </w:pPr>
            <w:r>
              <w:rPr>
                <w:rFonts w:hint="eastAsia" w:ascii="宋体" w:hAnsi="宋体" w:cs="宋体"/>
                <w:spacing w:val="2"/>
                <w:szCs w:val="21"/>
              </w:rPr>
              <w:t>4.安全生产费用使用情况与台帐记录不符，一项扣1分。</w:t>
            </w:r>
          </w:p>
        </w:tc>
        <w:tc>
          <w:tcPr>
            <w:tcW w:w="1165" w:type="dxa"/>
            <w:vAlign w:val="center"/>
          </w:tcPr>
          <w:p>
            <w:pPr>
              <w:jc w:val="center"/>
              <w:rPr>
                <w:rFonts w:ascii="宋体" w:hAnsi="宋体" w:cs="宋体"/>
                <w:szCs w:val="21"/>
              </w:rPr>
            </w:pPr>
            <w:r>
              <w:rPr>
                <w:rFonts w:hint="eastAsia" w:ascii="宋体" w:hAnsi="宋体" w:cs="宋体"/>
                <w:szCs w:val="21"/>
              </w:rPr>
              <w:t>符合要求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 w:hRule="atLeast"/>
          <w:jc w:val="center"/>
        </w:trPr>
        <w:tc>
          <w:tcPr>
            <w:tcW w:w="771" w:type="dxa"/>
            <w:vMerge w:val="continue"/>
          </w:tcPr>
          <w:p>
            <w:pPr>
              <w:spacing w:line="280" w:lineRule="exact"/>
              <w:ind w:firstLine="422"/>
              <w:rPr>
                <w:rFonts w:ascii="宋体" w:hAnsi="宋体" w:cs="宋体"/>
                <w:b/>
                <w:szCs w:val="21"/>
              </w:rPr>
            </w:pPr>
          </w:p>
        </w:tc>
        <w:tc>
          <w:tcPr>
            <w:tcW w:w="709" w:type="dxa"/>
            <w:vMerge w:val="continue"/>
          </w:tcPr>
          <w:p>
            <w:pPr>
              <w:spacing w:line="280" w:lineRule="exact"/>
              <w:ind w:firstLine="422"/>
              <w:rPr>
                <w:rFonts w:ascii="宋体" w:hAnsi="宋体" w:cs="宋体"/>
                <w:b/>
                <w:bCs/>
                <w:szCs w:val="21"/>
              </w:rPr>
            </w:pPr>
          </w:p>
        </w:tc>
        <w:tc>
          <w:tcPr>
            <w:tcW w:w="2409" w:type="dxa"/>
          </w:tcPr>
          <w:p>
            <w:pPr>
              <w:spacing w:line="280" w:lineRule="exact"/>
              <w:rPr>
                <w:rFonts w:ascii="宋体" w:hAnsi="宋体" w:cs="宋体"/>
                <w:spacing w:val="2"/>
                <w:szCs w:val="21"/>
              </w:rPr>
            </w:pPr>
            <w:r>
              <w:rPr>
                <w:rFonts w:hint="eastAsia" w:ascii="宋体" w:hAnsi="宋体" w:cs="宋体"/>
                <w:spacing w:val="2"/>
                <w:szCs w:val="21"/>
              </w:rPr>
              <w:t>3.企业应依法参加工伤保险或安全责任险，为从业人员缴纳保险费。</w:t>
            </w:r>
          </w:p>
        </w:tc>
        <w:tc>
          <w:tcPr>
            <w:tcW w:w="2268" w:type="dxa"/>
          </w:tcPr>
          <w:p>
            <w:pPr>
              <w:spacing w:line="280" w:lineRule="exact"/>
              <w:rPr>
                <w:rFonts w:ascii="宋体" w:hAnsi="宋体" w:cs="宋体"/>
                <w:spacing w:val="2"/>
                <w:szCs w:val="21"/>
              </w:rPr>
            </w:pPr>
            <w:r>
              <w:rPr>
                <w:rFonts w:hint="eastAsia" w:ascii="宋体" w:hAnsi="宋体" w:cs="宋体"/>
                <w:spacing w:val="2"/>
                <w:szCs w:val="21"/>
              </w:rPr>
              <w:t>依法参加工伤保险，为全体从业人员缴纳保险费。</w:t>
            </w:r>
          </w:p>
          <w:p>
            <w:pPr>
              <w:spacing w:line="280" w:lineRule="exact"/>
              <w:rPr>
                <w:rFonts w:ascii="宋体" w:hAnsi="宋体" w:cs="宋体"/>
                <w:spacing w:val="2"/>
                <w:szCs w:val="21"/>
              </w:rPr>
            </w:pPr>
          </w:p>
        </w:tc>
        <w:tc>
          <w:tcPr>
            <w:tcW w:w="2268" w:type="dxa"/>
          </w:tcPr>
          <w:p>
            <w:pPr>
              <w:spacing w:line="280" w:lineRule="exact"/>
              <w:rPr>
                <w:rFonts w:ascii="宋体" w:hAnsi="宋体" w:cs="宋体"/>
                <w:spacing w:val="2"/>
                <w:szCs w:val="21"/>
              </w:rPr>
            </w:pPr>
            <w:r>
              <w:rPr>
                <w:rFonts w:hint="eastAsia" w:ascii="宋体" w:hAnsi="宋体" w:cs="宋体"/>
                <w:spacing w:val="2"/>
                <w:szCs w:val="21"/>
              </w:rPr>
              <w:t>查文件：</w:t>
            </w:r>
          </w:p>
          <w:p>
            <w:pPr>
              <w:spacing w:line="280" w:lineRule="exact"/>
              <w:rPr>
                <w:rFonts w:ascii="宋体" w:hAnsi="宋体" w:cs="宋体"/>
                <w:spacing w:val="2"/>
                <w:szCs w:val="21"/>
              </w:rPr>
            </w:pPr>
            <w:r>
              <w:rPr>
                <w:rFonts w:hint="eastAsia" w:ascii="宋体" w:hAnsi="宋体" w:cs="宋体"/>
                <w:spacing w:val="2"/>
                <w:szCs w:val="21"/>
              </w:rPr>
              <w:t>企业为从业人员交纳保险凭证。</w:t>
            </w:r>
          </w:p>
        </w:tc>
        <w:tc>
          <w:tcPr>
            <w:tcW w:w="1701" w:type="dxa"/>
          </w:tcPr>
          <w:p>
            <w:pPr>
              <w:spacing w:line="280" w:lineRule="exact"/>
              <w:rPr>
                <w:rFonts w:ascii="宋体" w:hAnsi="宋体" w:cs="宋体"/>
                <w:spacing w:val="2"/>
                <w:szCs w:val="21"/>
              </w:rPr>
            </w:pPr>
          </w:p>
        </w:tc>
        <w:tc>
          <w:tcPr>
            <w:tcW w:w="2268" w:type="dxa"/>
          </w:tcPr>
          <w:p>
            <w:pPr>
              <w:spacing w:line="280" w:lineRule="exact"/>
              <w:rPr>
                <w:rFonts w:ascii="宋体" w:hAnsi="宋体" w:cs="宋体"/>
                <w:spacing w:val="2"/>
                <w:szCs w:val="21"/>
              </w:rPr>
            </w:pPr>
            <w:r>
              <w:rPr>
                <w:rFonts w:hint="eastAsia" w:ascii="宋体" w:hAnsi="宋体" w:cs="宋体"/>
                <w:spacing w:val="2"/>
                <w:szCs w:val="21"/>
              </w:rPr>
              <w:t>未参加工伤社会保险，扣5分；每漏缴工伤保险费1人次扣1分。</w:t>
            </w:r>
          </w:p>
        </w:tc>
        <w:tc>
          <w:tcPr>
            <w:tcW w:w="1165" w:type="dxa"/>
            <w:vAlign w:val="center"/>
          </w:tcPr>
          <w:p>
            <w:pPr>
              <w:jc w:val="center"/>
              <w:rPr>
                <w:rFonts w:ascii="宋体" w:hAnsi="宋体" w:cs="宋体"/>
                <w:szCs w:val="21"/>
              </w:rPr>
            </w:pPr>
            <w:r>
              <w:rPr>
                <w:rFonts w:hint="eastAsia" w:ascii="宋体" w:hAnsi="宋体" w:cs="宋体"/>
                <w:spacing w:val="2"/>
                <w:szCs w:val="21"/>
              </w:rPr>
              <w:t>符合要求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771" w:type="dxa"/>
            <w:vMerge w:val="continue"/>
          </w:tcPr>
          <w:p>
            <w:pPr>
              <w:spacing w:line="280" w:lineRule="exact"/>
              <w:ind w:firstLine="422"/>
              <w:rPr>
                <w:rFonts w:ascii="宋体" w:hAnsi="宋体" w:cs="宋体"/>
                <w:b/>
                <w:szCs w:val="21"/>
              </w:rPr>
            </w:pPr>
          </w:p>
        </w:tc>
        <w:tc>
          <w:tcPr>
            <w:tcW w:w="709" w:type="dxa"/>
            <w:vMerge w:val="continue"/>
          </w:tcPr>
          <w:p>
            <w:pPr>
              <w:spacing w:line="280" w:lineRule="exact"/>
              <w:ind w:firstLine="422"/>
              <w:rPr>
                <w:rFonts w:ascii="宋体" w:hAnsi="宋体" w:cs="宋体"/>
                <w:b/>
                <w:bCs/>
                <w:szCs w:val="21"/>
              </w:rPr>
            </w:pPr>
          </w:p>
        </w:tc>
        <w:tc>
          <w:tcPr>
            <w:tcW w:w="2409" w:type="dxa"/>
          </w:tcPr>
          <w:p>
            <w:pPr>
              <w:spacing w:line="280" w:lineRule="exact"/>
              <w:rPr>
                <w:rFonts w:ascii="宋体" w:hAnsi="宋体" w:cs="宋体"/>
                <w:spacing w:val="2"/>
                <w:szCs w:val="21"/>
              </w:rPr>
            </w:pPr>
          </w:p>
        </w:tc>
        <w:tc>
          <w:tcPr>
            <w:tcW w:w="2268" w:type="dxa"/>
          </w:tcPr>
          <w:p>
            <w:pPr>
              <w:spacing w:line="280" w:lineRule="exact"/>
              <w:rPr>
                <w:rFonts w:ascii="宋体" w:hAnsi="宋体" w:cs="宋体"/>
                <w:spacing w:val="2"/>
                <w:szCs w:val="21"/>
              </w:rPr>
            </w:pPr>
            <w:r>
              <w:rPr>
                <w:rFonts w:hint="eastAsia" w:ascii="宋体" w:hAnsi="宋体" w:cs="宋体"/>
                <w:spacing w:val="2"/>
                <w:szCs w:val="21"/>
              </w:rPr>
              <w:t>实行全员安全风险抵押金制度或安全责任保险。</w:t>
            </w:r>
          </w:p>
        </w:tc>
        <w:tc>
          <w:tcPr>
            <w:tcW w:w="2268" w:type="dxa"/>
          </w:tcPr>
          <w:p>
            <w:pPr>
              <w:spacing w:line="280" w:lineRule="exact"/>
              <w:rPr>
                <w:rFonts w:ascii="宋体" w:hAnsi="宋体" w:cs="宋体"/>
                <w:spacing w:val="2"/>
                <w:szCs w:val="21"/>
              </w:rPr>
            </w:pPr>
            <w:r>
              <w:rPr>
                <w:rFonts w:hint="eastAsia" w:ascii="宋体" w:hAnsi="宋体" w:cs="宋体"/>
                <w:spacing w:val="2"/>
                <w:szCs w:val="21"/>
              </w:rPr>
              <w:t>查文件：</w:t>
            </w:r>
          </w:p>
          <w:p>
            <w:pPr>
              <w:spacing w:line="280" w:lineRule="exact"/>
              <w:rPr>
                <w:rFonts w:ascii="宋体" w:hAnsi="宋体" w:cs="宋体"/>
                <w:spacing w:val="2"/>
                <w:szCs w:val="21"/>
              </w:rPr>
            </w:pPr>
            <w:r>
              <w:rPr>
                <w:rFonts w:hint="eastAsia" w:ascii="宋体" w:hAnsi="宋体" w:cs="宋体"/>
                <w:spacing w:val="2"/>
                <w:szCs w:val="21"/>
              </w:rPr>
              <w:t>风险抵押金或安全责任保险考核记录。</w:t>
            </w:r>
          </w:p>
        </w:tc>
        <w:tc>
          <w:tcPr>
            <w:tcW w:w="1701" w:type="dxa"/>
          </w:tcPr>
          <w:p>
            <w:pPr>
              <w:spacing w:line="280" w:lineRule="exact"/>
              <w:rPr>
                <w:rFonts w:ascii="宋体" w:hAnsi="宋体" w:cs="宋体"/>
                <w:spacing w:val="2"/>
                <w:szCs w:val="21"/>
              </w:rPr>
            </w:pPr>
          </w:p>
        </w:tc>
        <w:tc>
          <w:tcPr>
            <w:tcW w:w="2268" w:type="dxa"/>
          </w:tcPr>
          <w:p>
            <w:pPr>
              <w:spacing w:line="280" w:lineRule="exact"/>
              <w:rPr>
                <w:rFonts w:ascii="宋体" w:hAnsi="宋体" w:cs="宋体"/>
                <w:spacing w:val="2"/>
                <w:szCs w:val="21"/>
              </w:rPr>
            </w:pPr>
            <w:r>
              <w:rPr>
                <w:rFonts w:hint="eastAsia" w:ascii="宋体" w:hAnsi="宋体" w:cs="宋体"/>
                <w:spacing w:val="2"/>
                <w:szCs w:val="21"/>
              </w:rPr>
              <w:t>未考核兑现，扣2分。</w:t>
            </w:r>
          </w:p>
        </w:tc>
        <w:tc>
          <w:tcPr>
            <w:tcW w:w="1165" w:type="dxa"/>
            <w:vAlign w:val="center"/>
          </w:tcPr>
          <w:p>
            <w:pPr>
              <w:jc w:val="center"/>
              <w:rPr>
                <w:rFonts w:ascii="宋体" w:hAnsi="宋体" w:cs="宋体"/>
                <w:szCs w:val="21"/>
              </w:rPr>
            </w:pPr>
            <w:r>
              <w:rPr>
                <w:rFonts w:hint="eastAsia" w:ascii="宋体" w:hAnsi="宋体" w:cs="宋体"/>
                <w:szCs w:val="21"/>
              </w:rPr>
              <w:t>符合要求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jc w:val="center"/>
        </w:trPr>
        <w:tc>
          <w:tcPr>
            <w:tcW w:w="771" w:type="dxa"/>
            <w:vMerge w:val="restart"/>
          </w:tcPr>
          <w:p>
            <w:pPr>
              <w:spacing w:line="280" w:lineRule="exact"/>
              <w:rPr>
                <w:rFonts w:ascii="宋体" w:hAnsi="宋体" w:cs="宋体"/>
                <w:b/>
                <w:bCs/>
                <w:szCs w:val="21"/>
              </w:rPr>
            </w:pPr>
            <w:r>
              <w:rPr>
                <w:rFonts w:hint="eastAsia" w:ascii="宋体" w:hAnsi="宋体" w:cs="宋体"/>
                <w:b/>
                <w:bCs/>
                <w:szCs w:val="21"/>
              </w:rPr>
              <w:t>3风险管理</w:t>
            </w:r>
          </w:p>
          <w:p>
            <w:pPr>
              <w:spacing w:line="280" w:lineRule="exact"/>
              <w:rPr>
                <w:rFonts w:ascii="宋体" w:hAnsi="宋体" w:cs="宋体"/>
                <w:b/>
                <w:bCs/>
                <w:szCs w:val="21"/>
              </w:rPr>
            </w:pPr>
            <w:r>
              <w:rPr>
                <w:rFonts w:hint="eastAsia" w:ascii="宋体" w:hAnsi="宋体" w:cs="宋体"/>
                <w:b/>
                <w:bCs/>
                <w:szCs w:val="21"/>
              </w:rPr>
              <w:t>（100分）</w:t>
            </w:r>
          </w:p>
          <w:p>
            <w:pPr>
              <w:spacing w:line="280" w:lineRule="exact"/>
              <w:rPr>
                <w:rFonts w:ascii="宋体" w:hAnsi="宋体" w:cs="宋体"/>
                <w:b/>
                <w:bCs/>
                <w:szCs w:val="21"/>
              </w:rPr>
            </w:pPr>
          </w:p>
          <w:p>
            <w:pPr>
              <w:spacing w:line="280" w:lineRule="exact"/>
              <w:rPr>
                <w:rFonts w:ascii="宋体" w:hAnsi="宋体" w:cs="宋体"/>
                <w:b/>
                <w:bCs/>
                <w:szCs w:val="21"/>
              </w:rPr>
            </w:pPr>
          </w:p>
          <w:p>
            <w:pPr>
              <w:spacing w:line="280" w:lineRule="exact"/>
              <w:rPr>
                <w:rFonts w:ascii="宋体" w:hAnsi="宋体" w:cs="宋体"/>
                <w:b/>
                <w:bCs/>
                <w:szCs w:val="21"/>
              </w:rPr>
            </w:pPr>
          </w:p>
          <w:p>
            <w:pPr>
              <w:spacing w:line="280" w:lineRule="exact"/>
              <w:rPr>
                <w:rFonts w:ascii="宋体" w:hAnsi="宋体" w:cs="宋体"/>
                <w:b/>
                <w:bCs/>
                <w:szCs w:val="21"/>
              </w:rPr>
            </w:pPr>
          </w:p>
          <w:p>
            <w:pPr>
              <w:spacing w:line="280" w:lineRule="exact"/>
              <w:rPr>
                <w:rFonts w:ascii="宋体" w:hAnsi="宋体" w:cs="宋体"/>
                <w:b/>
                <w:bCs/>
                <w:szCs w:val="21"/>
              </w:rPr>
            </w:pPr>
          </w:p>
          <w:p>
            <w:pPr>
              <w:spacing w:line="280" w:lineRule="exact"/>
              <w:rPr>
                <w:rFonts w:ascii="宋体" w:hAnsi="宋体" w:cs="宋体"/>
                <w:b/>
                <w:bCs/>
                <w:szCs w:val="21"/>
              </w:rPr>
            </w:pPr>
          </w:p>
          <w:p>
            <w:pPr>
              <w:spacing w:line="280" w:lineRule="exact"/>
              <w:rPr>
                <w:rFonts w:ascii="宋体" w:hAnsi="宋体" w:cs="宋体"/>
                <w:b/>
                <w:bCs/>
                <w:szCs w:val="21"/>
              </w:rPr>
            </w:pPr>
          </w:p>
          <w:p>
            <w:pPr>
              <w:spacing w:line="280" w:lineRule="exact"/>
              <w:rPr>
                <w:rFonts w:ascii="宋体" w:hAnsi="宋体" w:cs="宋体"/>
                <w:b/>
                <w:bCs/>
                <w:szCs w:val="21"/>
              </w:rPr>
            </w:pPr>
          </w:p>
          <w:p>
            <w:pPr>
              <w:spacing w:line="280" w:lineRule="exact"/>
              <w:rPr>
                <w:rFonts w:ascii="宋体" w:hAnsi="宋体" w:cs="宋体"/>
                <w:b/>
                <w:bCs/>
                <w:szCs w:val="21"/>
              </w:rPr>
            </w:pPr>
          </w:p>
          <w:p>
            <w:pPr>
              <w:spacing w:line="280" w:lineRule="exact"/>
              <w:rPr>
                <w:rFonts w:ascii="宋体" w:hAnsi="宋体" w:cs="宋体"/>
                <w:b/>
                <w:bCs/>
                <w:szCs w:val="21"/>
              </w:rPr>
            </w:pPr>
          </w:p>
          <w:p>
            <w:pPr>
              <w:spacing w:line="280" w:lineRule="exact"/>
              <w:rPr>
                <w:rFonts w:ascii="宋体" w:hAnsi="宋体" w:cs="宋体"/>
                <w:b/>
                <w:bCs/>
                <w:szCs w:val="21"/>
              </w:rPr>
            </w:pPr>
          </w:p>
          <w:p>
            <w:pPr>
              <w:spacing w:line="280" w:lineRule="exact"/>
              <w:rPr>
                <w:rFonts w:ascii="宋体" w:hAnsi="宋体" w:cs="宋体"/>
                <w:b/>
                <w:bCs/>
                <w:szCs w:val="21"/>
              </w:rPr>
            </w:pPr>
          </w:p>
          <w:p>
            <w:pPr>
              <w:spacing w:line="280" w:lineRule="exact"/>
              <w:rPr>
                <w:rFonts w:ascii="宋体" w:hAnsi="宋体" w:cs="宋体"/>
                <w:b/>
                <w:bCs/>
                <w:szCs w:val="21"/>
              </w:rPr>
            </w:pPr>
          </w:p>
          <w:p>
            <w:pPr>
              <w:spacing w:line="280" w:lineRule="exact"/>
              <w:rPr>
                <w:rFonts w:ascii="宋体" w:hAnsi="宋体" w:cs="宋体"/>
                <w:b/>
                <w:bCs/>
                <w:szCs w:val="21"/>
              </w:rPr>
            </w:pPr>
          </w:p>
          <w:p>
            <w:pPr>
              <w:spacing w:line="280" w:lineRule="exact"/>
              <w:rPr>
                <w:rFonts w:ascii="宋体" w:hAnsi="宋体" w:cs="宋体"/>
                <w:b/>
                <w:bCs/>
                <w:szCs w:val="21"/>
              </w:rPr>
            </w:pPr>
          </w:p>
          <w:p>
            <w:pPr>
              <w:spacing w:line="280" w:lineRule="exact"/>
              <w:rPr>
                <w:rFonts w:ascii="宋体" w:hAnsi="宋体" w:cs="宋体"/>
                <w:b/>
                <w:bCs/>
                <w:szCs w:val="21"/>
              </w:rPr>
            </w:pPr>
          </w:p>
          <w:p>
            <w:pPr>
              <w:spacing w:line="280" w:lineRule="exact"/>
              <w:rPr>
                <w:rFonts w:ascii="宋体" w:hAnsi="宋体" w:cs="宋体"/>
                <w:b/>
                <w:bCs/>
                <w:szCs w:val="21"/>
              </w:rPr>
            </w:pPr>
          </w:p>
          <w:p>
            <w:pPr>
              <w:spacing w:line="280" w:lineRule="exact"/>
              <w:rPr>
                <w:rFonts w:ascii="宋体" w:hAnsi="宋体" w:cs="宋体"/>
                <w:b/>
                <w:bCs/>
                <w:szCs w:val="21"/>
              </w:rPr>
            </w:pPr>
          </w:p>
          <w:p>
            <w:pPr>
              <w:spacing w:line="280" w:lineRule="exact"/>
              <w:rPr>
                <w:rFonts w:ascii="宋体" w:hAnsi="宋体" w:cs="宋体"/>
                <w:b/>
                <w:bCs/>
                <w:szCs w:val="21"/>
              </w:rPr>
            </w:pPr>
          </w:p>
          <w:p>
            <w:pPr>
              <w:spacing w:line="280" w:lineRule="exact"/>
              <w:rPr>
                <w:rFonts w:ascii="宋体" w:hAnsi="宋体" w:cs="宋体"/>
                <w:b/>
                <w:bCs/>
                <w:szCs w:val="21"/>
              </w:rPr>
            </w:pPr>
          </w:p>
          <w:p>
            <w:pPr>
              <w:spacing w:line="280" w:lineRule="exact"/>
              <w:rPr>
                <w:rFonts w:ascii="宋体" w:hAnsi="宋体" w:cs="宋体"/>
                <w:b/>
                <w:bCs/>
                <w:szCs w:val="21"/>
              </w:rPr>
            </w:pPr>
          </w:p>
          <w:p>
            <w:pPr>
              <w:spacing w:line="280" w:lineRule="exact"/>
              <w:rPr>
                <w:rFonts w:ascii="宋体" w:hAnsi="宋体" w:cs="宋体"/>
                <w:b/>
                <w:bCs/>
                <w:szCs w:val="21"/>
              </w:rPr>
            </w:pPr>
          </w:p>
          <w:p>
            <w:pPr>
              <w:spacing w:line="280" w:lineRule="exact"/>
              <w:rPr>
                <w:rFonts w:ascii="宋体" w:hAnsi="宋体" w:cs="宋体"/>
                <w:b/>
                <w:bCs/>
                <w:szCs w:val="21"/>
              </w:rPr>
            </w:pPr>
          </w:p>
          <w:p>
            <w:pPr>
              <w:spacing w:line="280" w:lineRule="exact"/>
              <w:rPr>
                <w:rFonts w:ascii="宋体" w:hAnsi="宋体" w:cs="宋体"/>
                <w:b/>
                <w:bCs/>
                <w:szCs w:val="21"/>
              </w:rPr>
            </w:pPr>
          </w:p>
          <w:p>
            <w:pPr>
              <w:spacing w:line="280" w:lineRule="exact"/>
              <w:rPr>
                <w:rFonts w:ascii="宋体" w:hAnsi="宋体" w:cs="宋体"/>
                <w:b/>
                <w:bCs/>
                <w:szCs w:val="21"/>
              </w:rPr>
            </w:pPr>
          </w:p>
          <w:p>
            <w:pPr>
              <w:spacing w:line="280" w:lineRule="exact"/>
              <w:rPr>
                <w:rFonts w:ascii="宋体" w:hAnsi="宋体" w:cs="宋体"/>
                <w:b/>
                <w:bCs/>
                <w:szCs w:val="21"/>
              </w:rPr>
            </w:pPr>
          </w:p>
          <w:p>
            <w:pPr>
              <w:spacing w:line="280" w:lineRule="exact"/>
              <w:rPr>
                <w:rFonts w:ascii="宋体" w:hAnsi="宋体" w:cs="宋体"/>
                <w:b/>
                <w:bCs/>
                <w:szCs w:val="21"/>
              </w:rPr>
            </w:pPr>
          </w:p>
          <w:p>
            <w:pPr>
              <w:spacing w:line="280" w:lineRule="exact"/>
              <w:rPr>
                <w:rFonts w:ascii="宋体" w:hAnsi="宋体" w:cs="宋体"/>
                <w:b/>
                <w:bCs/>
                <w:szCs w:val="21"/>
              </w:rPr>
            </w:pPr>
          </w:p>
          <w:p>
            <w:pPr>
              <w:spacing w:line="280" w:lineRule="exact"/>
              <w:rPr>
                <w:rFonts w:ascii="宋体" w:hAnsi="宋体" w:cs="宋体"/>
                <w:b/>
                <w:bCs/>
                <w:szCs w:val="21"/>
              </w:rPr>
            </w:pPr>
          </w:p>
          <w:p>
            <w:pPr>
              <w:spacing w:line="280" w:lineRule="exact"/>
              <w:rPr>
                <w:rFonts w:ascii="宋体" w:hAnsi="宋体" w:cs="宋体"/>
                <w:b/>
                <w:bCs/>
                <w:szCs w:val="21"/>
              </w:rPr>
            </w:pPr>
          </w:p>
          <w:p>
            <w:pPr>
              <w:spacing w:line="280" w:lineRule="exact"/>
              <w:rPr>
                <w:rFonts w:ascii="宋体" w:hAnsi="宋体" w:cs="宋体"/>
                <w:b/>
                <w:bCs/>
                <w:szCs w:val="21"/>
              </w:rPr>
            </w:pPr>
          </w:p>
          <w:p>
            <w:pPr>
              <w:spacing w:line="280" w:lineRule="exact"/>
              <w:rPr>
                <w:rFonts w:ascii="宋体" w:hAnsi="宋体" w:cs="宋体"/>
                <w:b/>
                <w:bCs/>
                <w:szCs w:val="21"/>
              </w:rPr>
            </w:pPr>
          </w:p>
        </w:tc>
        <w:tc>
          <w:tcPr>
            <w:tcW w:w="709" w:type="dxa"/>
            <w:vMerge w:val="restart"/>
          </w:tcPr>
          <w:p>
            <w:pPr>
              <w:spacing w:line="280" w:lineRule="exact"/>
              <w:rPr>
                <w:rFonts w:ascii="宋体" w:hAnsi="宋体" w:cs="宋体"/>
                <w:b/>
                <w:bCs/>
                <w:szCs w:val="21"/>
              </w:rPr>
            </w:pPr>
            <w:r>
              <w:rPr>
                <w:rFonts w:hint="eastAsia" w:ascii="宋体" w:hAnsi="宋体" w:cs="宋体"/>
                <w:b/>
                <w:bCs/>
                <w:szCs w:val="21"/>
              </w:rPr>
              <w:t>3.1 范围与评价方法</w:t>
            </w:r>
          </w:p>
          <w:p>
            <w:pPr>
              <w:spacing w:line="280" w:lineRule="exact"/>
              <w:rPr>
                <w:rFonts w:ascii="宋体" w:hAnsi="宋体" w:cs="宋体"/>
                <w:b/>
                <w:bCs/>
                <w:szCs w:val="21"/>
              </w:rPr>
            </w:pPr>
            <w:r>
              <w:rPr>
                <w:rFonts w:hint="eastAsia" w:ascii="宋体" w:hAnsi="宋体" w:cs="宋体"/>
                <w:b/>
                <w:bCs/>
                <w:szCs w:val="21"/>
              </w:rPr>
              <w:t>（10分）</w:t>
            </w:r>
          </w:p>
          <w:p>
            <w:pPr>
              <w:spacing w:line="280" w:lineRule="exact"/>
              <w:rPr>
                <w:rFonts w:ascii="宋体" w:hAnsi="宋体" w:cs="宋体"/>
                <w:b/>
                <w:bCs/>
                <w:szCs w:val="21"/>
              </w:rPr>
            </w:pPr>
          </w:p>
          <w:p>
            <w:pPr>
              <w:spacing w:line="280" w:lineRule="exact"/>
              <w:rPr>
                <w:rFonts w:ascii="宋体" w:hAnsi="宋体" w:cs="宋体"/>
                <w:b/>
                <w:bCs/>
                <w:szCs w:val="21"/>
              </w:rPr>
            </w:pPr>
          </w:p>
          <w:p>
            <w:pPr>
              <w:spacing w:line="280" w:lineRule="exact"/>
              <w:rPr>
                <w:rFonts w:ascii="宋体" w:hAnsi="宋体" w:cs="宋体"/>
                <w:b/>
                <w:bCs/>
                <w:szCs w:val="21"/>
              </w:rPr>
            </w:pPr>
          </w:p>
          <w:p>
            <w:pPr>
              <w:spacing w:line="280" w:lineRule="exact"/>
              <w:rPr>
                <w:rFonts w:ascii="宋体" w:hAnsi="宋体" w:cs="宋体"/>
                <w:b/>
                <w:bCs/>
                <w:szCs w:val="21"/>
              </w:rPr>
            </w:pPr>
          </w:p>
          <w:p>
            <w:pPr>
              <w:spacing w:line="280" w:lineRule="exact"/>
              <w:rPr>
                <w:rFonts w:ascii="宋体" w:hAnsi="宋体" w:cs="宋体"/>
                <w:b/>
                <w:bCs/>
                <w:szCs w:val="21"/>
              </w:rPr>
            </w:pPr>
          </w:p>
          <w:p>
            <w:pPr>
              <w:spacing w:line="280" w:lineRule="exact"/>
              <w:rPr>
                <w:rFonts w:ascii="宋体" w:hAnsi="宋体" w:cs="宋体"/>
                <w:b/>
                <w:bCs/>
                <w:szCs w:val="21"/>
              </w:rPr>
            </w:pPr>
          </w:p>
          <w:p>
            <w:pPr>
              <w:spacing w:line="280" w:lineRule="exact"/>
              <w:rPr>
                <w:rFonts w:ascii="宋体" w:hAnsi="宋体" w:cs="宋体"/>
                <w:b/>
                <w:bCs/>
                <w:szCs w:val="21"/>
              </w:rPr>
            </w:pPr>
          </w:p>
          <w:p>
            <w:pPr>
              <w:spacing w:line="280" w:lineRule="exact"/>
              <w:rPr>
                <w:rFonts w:ascii="宋体" w:hAnsi="宋体" w:cs="宋体"/>
                <w:b/>
                <w:bCs/>
                <w:szCs w:val="21"/>
              </w:rPr>
            </w:pPr>
          </w:p>
          <w:p>
            <w:pPr>
              <w:spacing w:line="280" w:lineRule="exact"/>
              <w:rPr>
                <w:rFonts w:ascii="宋体" w:hAnsi="宋体" w:cs="宋体"/>
                <w:b/>
                <w:bCs/>
                <w:szCs w:val="21"/>
              </w:rPr>
            </w:pPr>
          </w:p>
          <w:p>
            <w:pPr>
              <w:spacing w:line="280" w:lineRule="exact"/>
              <w:rPr>
                <w:rFonts w:ascii="宋体" w:hAnsi="宋体" w:cs="宋体"/>
                <w:b/>
                <w:bCs/>
                <w:szCs w:val="21"/>
              </w:rPr>
            </w:pPr>
          </w:p>
          <w:p>
            <w:pPr>
              <w:spacing w:line="280" w:lineRule="exact"/>
              <w:rPr>
                <w:rFonts w:ascii="宋体" w:hAnsi="宋体" w:cs="宋体"/>
                <w:b/>
                <w:bCs/>
                <w:szCs w:val="21"/>
              </w:rPr>
            </w:pPr>
          </w:p>
          <w:p>
            <w:pPr>
              <w:spacing w:line="280" w:lineRule="exact"/>
              <w:rPr>
                <w:rFonts w:ascii="宋体" w:hAnsi="宋体" w:cs="宋体"/>
                <w:b/>
                <w:bCs/>
                <w:szCs w:val="21"/>
              </w:rPr>
            </w:pPr>
          </w:p>
          <w:p>
            <w:pPr>
              <w:spacing w:line="280" w:lineRule="exact"/>
              <w:rPr>
                <w:rFonts w:ascii="宋体" w:hAnsi="宋体" w:cs="宋体"/>
                <w:b/>
                <w:bCs/>
                <w:szCs w:val="21"/>
              </w:rPr>
            </w:pPr>
          </w:p>
          <w:p>
            <w:pPr>
              <w:spacing w:line="280" w:lineRule="exact"/>
              <w:rPr>
                <w:rFonts w:ascii="宋体" w:hAnsi="宋体" w:cs="宋体"/>
                <w:b/>
                <w:bCs/>
                <w:szCs w:val="21"/>
              </w:rPr>
            </w:pPr>
          </w:p>
          <w:p>
            <w:pPr>
              <w:spacing w:line="280" w:lineRule="exact"/>
              <w:rPr>
                <w:rFonts w:ascii="宋体" w:hAnsi="宋体" w:cs="宋体"/>
                <w:b/>
                <w:bCs/>
                <w:szCs w:val="21"/>
              </w:rPr>
            </w:pPr>
          </w:p>
          <w:p>
            <w:pPr>
              <w:spacing w:line="280" w:lineRule="exact"/>
              <w:rPr>
                <w:rFonts w:ascii="宋体" w:hAnsi="宋体" w:cs="宋体"/>
                <w:b/>
                <w:bCs/>
                <w:szCs w:val="21"/>
              </w:rPr>
            </w:pPr>
          </w:p>
          <w:p>
            <w:pPr>
              <w:spacing w:line="280" w:lineRule="exact"/>
              <w:rPr>
                <w:rFonts w:ascii="宋体" w:hAnsi="宋体" w:cs="宋体"/>
                <w:b/>
                <w:bCs/>
                <w:szCs w:val="21"/>
              </w:rPr>
            </w:pPr>
          </w:p>
          <w:p>
            <w:pPr>
              <w:spacing w:line="280" w:lineRule="exact"/>
              <w:rPr>
                <w:rFonts w:ascii="宋体" w:hAnsi="宋体" w:cs="宋体"/>
                <w:b/>
                <w:bCs/>
                <w:szCs w:val="21"/>
              </w:rPr>
            </w:pPr>
          </w:p>
          <w:p>
            <w:pPr>
              <w:spacing w:line="280" w:lineRule="exact"/>
              <w:rPr>
                <w:rFonts w:ascii="宋体" w:hAnsi="宋体" w:cs="宋体"/>
                <w:b/>
                <w:bCs/>
                <w:szCs w:val="21"/>
              </w:rPr>
            </w:pPr>
          </w:p>
          <w:p>
            <w:pPr>
              <w:spacing w:line="280" w:lineRule="exact"/>
              <w:rPr>
                <w:rFonts w:ascii="宋体" w:hAnsi="宋体" w:cs="宋体"/>
                <w:b/>
                <w:bCs/>
                <w:szCs w:val="21"/>
              </w:rPr>
            </w:pPr>
          </w:p>
          <w:p>
            <w:pPr>
              <w:spacing w:line="280" w:lineRule="exact"/>
              <w:rPr>
                <w:rFonts w:ascii="宋体" w:hAnsi="宋体" w:cs="宋体"/>
                <w:b/>
                <w:bCs/>
                <w:szCs w:val="21"/>
              </w:rPr>
            </w:pPr>
          </w:p>
          <w:p>
            <w:pPr>
              <w:spacing w:line="280" w:lineRule="exact"/>
              <w:rPr>
                <w:rFonts w:ascii="宋体" w:hAnsi="宋体" w:cs="宋体"/>
                <w:b/>
                <w:bCs/>
                <w:szCs w:val="21"/>
              </w:rPr>
            </w:pPr>
          </w:p>
          <w:p>
            <w:pPr>
              <w:spacing w:line="280" w:lineRule="exact"/>
              <w:rPr>
                <w:rFonts w:ascii="宋体" w:hAnsi="宋体" w:cs="宋体"/>
                <w:b/>
                <w:bCs/>
                <w:szCs w:val="21"/>
              </w:rPr>
            </w:pPr>
          </w:p>
          <w:p>
            <w:pPr>
              <w:spacing w:line="280" w:lineRule="exact"/>
              <w:rPr>
                <w:rFonts w:ascii="宋体" w:hAnsi="宋体" w:cs="宋体"/>
                <w:b/>
                <w:bCs/>
                <w:szCs w:val="21"/>
              </w:rPr>
            </w:pPr>
          </w:p>
          <w:p>
            <w:pPr>
              <w:spacing w:line="280" w:lineRule="exact"/>
              <w:rPr>
                <w:rFonts w:ascii="宋体" w:hAnsi="宋体" w:cs="宋体"/>
                <w:b/>
                <w:bCs/>
                <w:szCs w:val="21"/>
              </w:rPr>
            </w:pPr>
          </w:p>
          <w:p>
            <w:pPr>
              <w:spacing w:line="280" w:lineRule="exact"/>
              <w:rPr>
                <w:rFonts w:ascii="宋体" w:hAnsi="宋体" w:cs="宋体"/>
                <w:b/>
                <w:bCs/>
                <w:szCs w:val="21"/>
              </w:rPr>
            </w:pPr>
          </w:p>
          <w:p>
            <w:pPr>
              <w:spacing w:line="280" w:lineRule="exact"/>
              <w:rPr>
                <w:rFonts w:ascii="宋体" w:hAnsi="宋体" w:cs="宋体"/>
                <w:b/>
                <w:bCs/>
                <w:szCs w:val="21"/>
              </w:rPr>
            </w:pPr>
          </w:p>
          <w:p>
            <w:pPr>
              <w:spacing w:line="280" w:lineRule="exact"/>
              <w:rPr>
                <w:rFonts w:ascii="宋体" w:hAnsi="宋体" w:cs="宋体"/>
                <w:b/>
                <w:bCs/>
                <w:szCs w:val="21"/>
              </w:rPr>
            </w:pPr>
          </w:p>
          <w:p>
            <w:pPr>
              <w:spacing w:line="280" w:lineRule="exact"/>
              <w:rPr>
                <w:rFonts w:ascii="宋体" w:hAnsi="宋体" w:cs="宋体"/>
                <w:b/>
                <w:bCs/>
                <w:szCs w:val="21"/>
              </w:rPr>
            </w:pPr>
          </w:p>
        </w:tc>
        <w:tc>
          <w:tcPr>
            <w:tcW w:w="2409" w:type="dxa"/>
          </w:tcPr>
          <w:p>
            <w:pPr>
              <w:spacing w:line="280" w:lineRule="exact"/>
              <w:rPr>
                <w:rFonts w:ascii="宋体" w:hAnsi="宋体" w:cs="宋体"/>
                <w:spacing w:val="2"/>
                <w:szCs w:val="21"/>
              </w:rPr>
            </w:pPr>
            <w:r>
              <w:rPr>
                <w:rFonts w:hint="eastAsia" w:ascii="宋体" w:hAnsi="宋体" w:cs="宋体"/>
                <w:spacing w:val="2"/>
                <w:szCs w:val="21"/>
              </w:rPr>
              <w:t>1.企业应组织制定风险评价管理制度，明确风险评价的目的、范围和准则。</w:t>
            </w:r>
          </w:p>
        </w:tc>
        <w:tc>
          <w:tcPr>
            <w:tcW w:w="2268" w:type="dxa"/>
          </w:tcPr>
          <w:p>
            <w:pPr>
              <w:spacing w:line="280" w:lineRule="exact"/>
              <w:rPr>
                <w:rFonts w:ascii="宋体" w:hAnsi="宋体" w:cs="宋体"/>
                <w:spacing w:val="2"/>
                <w:szCs w:val="21"/>
              </w:rPr>
            </w:pPr>
            <w:r>
              <w:rPr>
                <w:rFonts w:hint="eastAsia" w:ascii="宋体" w:hAnsi="宋体" w:cs="宋体"/>
                <w:spacing w:val="2"/>
                <w:szCs w:val="21"/>
              </w:rPr>
              <w:t>1.制定风险评价管理制度，并明确风险评价的目的、范围、频次、准则及工作程序；</w:t>
            </w:r>
          </w:p>
          <w:p>
            <w:pPr>
              <w:spacing w:line="280" w:lineRule="exact"/>
              <w:rPr>
                <w:rFonts w:ascii="宋体" w:hAnsi="宋体" w:cs="宋体"/>
                <w:spacing w:val="2"/>
                <w:szCs w:val="21"/>
              </w:rPr>
            </w:pPr>
            <w:r>
              <w:rPr>
                <w:rFonts w:hint="eastAsia" w:ascii="宋体" w:hAnsi="宋体" w:cs="宋体"/>
                <w:spacing w:val="2"/>
                <w:szCs w:val="21"/>
              </w:rPr>
              <w:t>2.明确各部门及有关人员在开展风险评价过程中的职责和任务。</w:t>
            </w:r>
          </w:p>
        </w:tc>
        <w:tc>
          <w:tcPr>
            <w:tcW w:w="2268" w:type="dxa"/>
          </w:tcPr>
          <w:p>
            <w:pPr>
              <w:spacing w:line="280" w:lineRule="exact"/>
              <w:rPr>
                <w:rFonts w:ascii="宋体" w:hAnsi="宋体" w:cs="宋体"/>
                <w:spacing w:val="2"/>
                <w:szCs w:val="21"/>
              </w:rPr>
            </w:pPr>
            <w:r>
              <w:rPr>
                <w:rFonts w:hint="eastAsia" w:ascii="宋体" w:hAnsi="宋体" w:cs="宋体"/>
                <w:spacing w:val="2"/>
                <w:szCs w:val="21"/>
              </w:rPr>
              <w:t>查文件：</w:t>
            </w:r>
          </w:p>
          <w:p>
            <w:pPr>
              <w:spacing w:line="280" w:lineRule="exact"/>
              <w:rPr>
                <w:rFonts w:ascii="宋体" w:hAnsi="宋体" w:cs="宋体"/>
                <w:spacing w:val="2"/>
                <w:szCs w:val="21"/>
              </w:rPr>
            </w:pPr>
            <w:r>
              <w:rPr>
                <w:rFonts w:hint="eastAsia" w:ascii="宋体" w:hAnsi="宋体" w:cs="宋体"/>
                <w:spacing w:val="2"/>
                <w:szCs w:val="21"/>
              </w:rPr>
              <w:t>风险评价管理制度，各部门和有关人员的职责与任务。</w:t>
            </w:r>
          </w:p>
          <w:p>
            <w:pPr>
              <w:spacing w:line="280" w:lineRule="exact"/>
              <w:rPr>
                <w:rFonts w:ascii="宋体" w:hAnsi="宋体" w:cs="宋体"/>
                <w:spacing w:val="2"/>
                <w:szCs w:val="21"/>
              </w:rPr>
            </w:pPr>
            <w:r>
              <w:rPr>
                <w:rFonts w:hint="eastAsia" w:ascii="宋体" w:hAnsi="宋体" w:cs="宋体"/>
                <w:spacing w:val="2"/>
                <w:szCs w:val="21"/>
              </w:rPr>
              <w:t>询问：</w:t>
            </w:r>
          </w:p>
          <w:p>
            <w:pPr>
              <w:spacing w:line="280" w:lineRule="exact"/>
              <w:rPr>
                <w:rFonts w:ascii="宋体" w:hAnsi="宋体" w:cs="宋体"/>
                <w:spacing w:val="2"/>
                <w:szCs w:val="21"/>
              </w:rPr>
            </w:pPr>
            <w:r>
              <w:rPr>
                <w:rFonts w:hint="eastAsia" w:ascii="宋体" w:hAnsi="宋体" w:cs="宋体"/>
                <w:spacing w:val="2"/>
                <w:szCs w:val="21"/>
              </w:rPr>
              <w:t>1.企业负责人组织开展风险评价工作的情况；</w:t>
            </w:r>
          </w:p>
          <w:p>
            <w:pPr>
              <w:spacing w:line="280" w:lineRule="exact"/>
              <w:rPr>
                <w:rFonts w:ascii="宋体" w:hAnsi="宋体" w:cs="宋体"/>
                <w:spacing w:val="2"/>
                <w:szCs w:val="21"/>
              </w:rPr>
            </w:pPr>
            <w:r>
              <w:rPr>
                <w:rFonts w:hint="eastAsia" w:ascii="宋体" w:hAnsi="宋体" w:cs="宋体"/>
                <w:spacing w:val="2"/>
                <w:szCs w:val="21"/>
              </w:rPr>
              <w:t>2.从业人员是否了解风险评价制度的有关内容。</w:t>
            </w:r>
          </w:p>
        </w:tc>
        <w:tc>
          <w:tcPr>
            <w:tcW w:w="1701" w:type="dxa"/>
          </w:tcPr>
          <w:p>
            <w:pPr>
              <w:spacing w:line="280" w:lineRule="exact"/>
              <w:rPr>
                <w:rFonts w:ascii="宋体" w:hAnsi="宋体" w:cs="宋体"/>
                <w:spacing w:val="2"/>
                <w:szCs w:val="21"/>
              </w:rPr>
            </w:pPr>
          </w:p>
        </w:tc>
        <w:tc>
          <w:tcPr>
            <w:tcW w:w="2268" w:type="dxa"/>
          </w:tcPr>
          <w:p>
            <w:pPr>
              <w:spacing w:line="280" w:lineRule="exact"/>
              <w:rPr>
                <w:rFonts w:ascii="宋体" w:hAnsi="宋体" w:cs="宋体"/>
                <w:spacing w:val="2"/>
                <w:szCs w:val="21"/>
              </w:rPr>
            </w:pPr>
            <w:r>
              <w:rPr>
                <w:rFonts w:hint="eastAsia" w:ascii="宋体" w:hAnsi="宋体" w:cs="宋体"/>
                <w:spacing w:val="2"/>
                <w:szCs w:val="21"/>
              </w:rPr>
              <w:t>1.未制定风险评价管理制度，或未明确风险评价的目的、频次、准则及工作程序，一项不符合扣1分；</w:t>
            </w:r>
          </w:p>
          <w:p>
            <w:pPr>
              <w:spacing w:line="280" w:lineRule="exact"/>
              <w:rPr>
                <w:rFonts w:ascii="宋体" w:hAnsi="宋体" w:cs="宋体"/>
                <w:spacing w:val="2"/>
                <w:szCs w:val="21"/>
              </w:rPr>
            </w:pPr>
            <w:r>
              <w:rPr>
                <w:rFonts w:hint="eastAsia" w:ascii="宋体" w:hAnsi="宋体" w:cs="宋体"/>
                <w:spacing w:val="2"/>
                <w:szCs w:val="21"/>
              </w:rPr>
              <w:t>2.未明确各部门及有关人员的职责和任务，一项不符合扣1分；</w:t>
            </w:r>
          </w:p>
          <w:p>
            <w:pPr>
              <w:spacing w:line="280" w:lineRule="exact"/>
              <w:rPr>
                <w:rFonts w:ascii="宋体" w:hAnsi="宋体" w:cs="宋体"/>
                <w:spacing w:val="2"/>
                <w:szCs w:val="21"/>
              </w:rPr>
            </w:pPr>
            <w:r>
              <w:rPr>
                <w:rFonts w:hint="eastAsia" w:ascii="宋体" w:hAnsi="宋体" w:cs="宋体"/>
                <w:spacing w:val="2"/>
                <w:szCs w:val="21"/>
              </w:rPr>
              <w:t>3.企业负责人没有组织开展风险评价工作，或不了解风险评价工作情况，一项不符合扣2分；</w:t>
            </w:r>
          </w:p>
          <w:p>
            <w:pPr>
              <w:spacing w:line="280" w:lineRule="exact"/>
              <w:rPr>
                <w:rFonts w:ascii="宋体" w:hAnsi="宋体" w:cs="宋体"/>
                <w:spacing w:val="2"/>
                <w:szCs w:val="21"/>
              </w:rPr>
            </w:pPr>
            <w:r>
              <w:rPr>
                <w:rFonts w:hint="eastAsia" w:ascii="宋体" w:hAnsi="宋体" w:cs="宋体"/>
                <w:spacing w:val="2"/>
                <w:szCs w:val="21"/>
              </w:rPr>
              <w:t>4.从业人员不了解风险评价制度内容，1人次扣1分。</w:t>
            </w:r>
          </w:p>
        </w:tc>
        <w:tc>
          <w:tcPr>
            <w:tcW w:w="1165" w:type="dxa"/>
            <w:vAlign w:val="center"/>
          </w:tcPr>
          <w:p>
            <w:pPr>
              <w:jc w:val="center"/>
              <w:rPr>
                <w:rFonts w:ascii="宋体" w:hAnsi="宋体" w:cs="宋体"/>
                <w:szCs w:val="21"/>
              </w:rPr>
            </w:pPr>
            <w:r>
              <w:rPr>
                <w:rFonts w:hint="eastAsia" w:ascii="宋体" w:hAnsi="宋体" w:cs="宋体"/>
                <w:spacing w:val="2"/>
                <w:szCs w:val="21"/>
              </w:rPr>
              <w:t>经询问，个别人员不了解风险评价制度内容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771" w:type="dxa"/>
            <w:vMerge w:val="continue"/>
          </w:tcPr>
          <w:p>
            <w:pPr>
              <w:spacing w:line="280" w:lineRule="exact"/>
              <w:rPr>
                <w:rFonts w:ascii="宋体" w:hAnsi="宋体" w:cs="宋体"/>
                <w:b/>
                <w:bCs/>
                <w:szCs w:val="21"/>
              </w:rPr>
            </w:pPr>
          </w:p>
        </w:tc>
        <w:tc>
          <w:tcPr>
            <w:tcW w:w="709" w:type="dxa"/>
            <w:vMerge w:val="continue"/>
          </w:tcPr>
          <w:p>
            <w:pPr>
              <w:spacing w:line="280" w:lineRule="exact"/>
              <w:rPr>
                <w:rFonts w:ascii="宋体" w:hAnsi="宋体" w:cs="宋体"/>
                <w:b/>
                <w:bCs/>
                <w:szCs w:val="21"/>
              </w:rPr>
            </w:pPr>
          </w:p>
        </w:tc>
        <w:tc>
          <w:tcPr>
            <w:tcW w:w="2409" w:type="dxa"/>
          </w:tcPr>
          <w:p>
            <w:pPr>
              <w:spacing w:line="280" w:lineRule="exact"/>
              <w:rPr>
                <w:rFonts w:ascii="宋体" w:hAnsi="宋体" w:cs="宋体"/>
                <w:spacing w:val="2"/>
                <w:szCs w:val="21"/>
              </w:rPr>
            </w:pPr>
            <w:r>
              <w:rPr>
                <w:rFonts w:hint="eastAsia" w:ascii="宋体" w:hAnsi="宋体" w:cs="宋体"/>
                <w:spacing w:val="2"/>
                <w:szCs w:val="21"/>
              </w:rPr>
              <w:t>2.企业风险评价的范围应包括:</w:t>
            </w:r>
          </w:p>
          <w:p>
            <w:pPr>
              <w:spacing w:line="280" w:lineRule="exact"/>
              <w:rPr>
                <w:rFonts w:ascii="宋体" w:hAnsi="宋体" w:cs="宋体"/>
                <w:spacing w:val="2"/>
                <w:szCs w:val="21"/>
              </w:rPr>
            </w:pPr>
            <w:r>
              <w:rPr>
                <w:rFonts w:hint="eastAsia" w:ascii="宋体" w:hAnsi="宋体" w:cs="宋体"/>
                <w:spacing w:val="2"/>
                <w:szCs w:val="21"/>
              </w:rPr>
              <w:t>（1）规划、设计和建设、投产、运行等阶段；</w:t>
            </w:r>
          </w:p>
          <w:p>
            <w:pPr>
              <w:spacing w:line="280" w:lineRule="exact"/>
              <w:rPr>
                <w:rFonts w:ascii="宋体" w:hAnsi="宋体" w:cs="宋体"/>
                <w:spacing w:val="2"/>
                <w:szCs w:val="21"/>
              </w:rPr>
            </w:pPr>
            <w:r>
              <w:rPr>
                <w:rFonts w:hint="eastAsia" w:ascii="宋体" w:hAnsi="宋体" w:cs="宋体"/>
                <w:spacing w:val="2"/>
                <w:szCs w:val="21"/>
              </w:rPr>
              <w:t>（2）常规和非常规活动；</w:t>
            </w:r>
          </w:p>
          <w:p>
            <w:pPr>
              <w:spacing w:line="280" w:lineRule="exact"/>
              <w:rPr>
                <w:rFonts w:ascii="宋体" w:hAnsi="宋体" w:cs="宋体"/>
                <w:spacing w:val="2"/>
                <w:szCs w:val="21"/>
              </w:rPr>
            </w:pPr>
            <w:r>
              <w:rPr>
                <w:rFonts w:hint="eastAsia" w:ascii="宋体" w:hAnsi="宋体" w:cs="宋体"/>
                <w:spacing w:val="2"/>
                <w:szCs w:val="21"/>
              </w:rPr>
              <w:t>（3）事故及潜在的紧急情况；</w:t>
            </w:r>
          </w:p>
          <w:p>
            <w:pPr>
              <w:spacing w:line="280" w:lineRule="exact"/>
              <w:rPr>
                <w:rFonts w:ascii="宋体" w:hAnsi="宋体" w:cs="宋体"/>
                <w:spacing w:val="2"/>
                <w:szCs w:val="21"/>
              </w:rPr>
            </w:pPr>
            <w:r>
              <w:rPr>
                <w:rFonts w:hint="eastAsia" w:ascii="宋体" w:hAnsi="宋体" w:cs="宋体"/>
                <w:spacing w:val="2"/>
                <w:szCs w:val="21"/>
              </w:rPr>
              <w:t>（4）所有进入作业场所人员的活动；</w:t>
            </w:r>
          </w:p>
          <w:p>
            <w:pPr>
              <w:spacing w:line="280" w:lineRule="exact"/>
              <w:rPr>
                <w:rFonts w:ascii="宋体" w:hAnsi="宋体" w:cs="宋体"/>
                <w:spacing w:val="2"/>
                <w:szCs w:val="21"/>
              </w:rPr>
            </w:pPr>
            <w:r>
              <w:rPr>
                <w:rFonts w:hint="eastAsia" w:ascii="宋体" w:hAnsi="宋体" w:cs="宋体"/>
                <w:spacing w:val="2"/>
                <w:szCs w:val="21"/>
              </w:rPr>
              <w:t>（5）原材料、产品的运输和使用过程；</w:t>
            </w:r>
          </w:p>
          <w:p>
            <w:pPr>
              <w:spacing w:line="280" w:lineRule="exact"/>
              <w:rPr>
                <w:rFonts w:ascii="宋体" w:hAnsi="宋体" w:cs="宋体"/>
                <w:spacing w:val="2"/>
                <w:szCs w:val="21"/>
              </w:rPr>
            </w:pPr>
            <w:r>
              <w:rPr>
                <w:rFonts w:hint="eastAsia" w:ascii="宋体" w:hAnsi="宋体" w:cs="宋体"/>
                <w:spacing w:val="2"/>
                <w:szCs w:val="21"/>
              </w:rPr>
              <w:t>（6）作业场所的设施、设备、车辆、安全防护用品；</w:t>
            </w:r>
          </w:p>
          <w:p>
            <w:pPr>
              <w:spacing w:line="280" w:lineRule="exact"/>
              <w:rPr>
                <w:rFonts w:ascii="宋体" w:hAnsi="宋体" w:cs="宋体"/>
                <w:spacing w:val="2"/>
                <w:szCs w:val="21"/>
              </w:rPr>
            </w:pPr>
            <w:r>
              <w:rPr>
                <w:rFonts w:hint="eastAsia" w:ascii="宋体" w:hAnsi="宋体" w:cs="宋体"/>
                <w:spacing w:val="2"/>
                <w:szCs w:val="21"/>
              </w:rPr>
              <w:t>（7）丢弃、废弃、拆除与处置；</w:t>
            </w:r>
          </w:p>
          <w:p>
            <w:pPr>
              <w:spacing w:line="280" w:lineRule="exact"/>
              <w:rPr>
                <w:rFonts w:ascii="宋体" w:hAnsi="宋体" w:cs="宋体"/>
                <w:spacing w:val="2"/>
                <w:szCs w:val="21"/>
              </w:rPr>
            </w:pPr>
            <w:r>
              <w:rPr>
                <w:rFonts w:hint="eastAsia" w:ascii="宋体" w:hAnsi="宋体" w:cs="宋体"/>
                <w:spacing w:val="2"/>
                <w:szCs w:val="21"/>
              </w:rPr>
              <w:t>（8）企业周围环境；</w:t>
            </w:r>
          </w:p>
          <w:p>
            <w:pPr>
              <w:spacing w:line="280" w:lineRule="exact"/>
              <w:rPr>
                <w:rFonts w:ascii="宋体" w:hAnsi="宋体" w:cs="宋体"/>
                <w:spacing w:val="2"/>
                <w:szCs w:val="21"/>
              </w:rPr>
            </w:pPr>
            <w:r>
              <w:rPr>
                <w:rFonts w:hint="eastAsia" w:ascii="宋体" w:hAnsi="宋体" w:cs="宋体"/>
                <w:spacing w:val="2"/>
                <w:szCs w:val="21"/>
              </w:rPr>
              <w:t>（9）气候、地震及其他自然灾害等。</w:t>
            </w:r>
          </w:p>
        </w:tc>
        <w:tc>
          <w:tcPr>
            <w:tcW w:w="2268" w:type="dxa"/>
          </w:tcPr>
          <w:p>
            <w:pPr>
              <w:spacing w:line="280" w:lineRule="exact"/>
              <w:rPr>
                <w:rFonts w:ascii="宋体" w:hAnsi="宋体" w:cs="宋体"/>
                <w:spacing w:val="2"/>
                <w:szCs w:val="21"/>
              </w:rPr>
            </w:pPr>
            <w:r>
              <w:rPr>
                <w:rFonts w:hint="eastAsia" w:ascii="宋体" w:hAnsi="宋体" w:cs="宋体"/>
                <w:spacing w:val="2"/>
                <w:szCs w:val="21"/>
              </w:rPr>
              <w:t>风险评价范围满足标准要求。</w:t>
            </w:r>
          </w:p>
          <w:p>
            <w:pPr>
              <w:spacing w:line="280" w:lineRule="exact"/>
              <w:rPr>
                <w:rFonts w:ascii="宋体" w:hAnsi="宋体" w:cs="宋体"/>
                <w:spacing w:val="2"/>
                <w:szCs w:val="21"/>
              </w:rPr>
            </w:pPr>
          </w:p>
        </w:tc>
        <w:tc>
          <w:tcPr>
            <w:tcW w:w="2268" w:type="dxa"/>
          </w:tcPr>
          <w:p>
            <w:pPr>
              <w:spacing w:line="280" w:lineRule="exact"/>
              <w:rPr>
                <w:rFonts w:ascii="宋体" w:hAnsi="宋体" w:cs="宋体"/>
                <w:spacing w:val="2"/>
                <w:szCs w:val="21"/>
              </w:rPr>
            </w:pPr>
            <w:r>
              <w:rPr>
                <w:rFonts w:hint="eastAsia" w:ascii="宋体" w:hAnsi="宋体" w:cs="宋体"/>
                <w:spacing w:val="2"/>
                <w:szCs w:val="21"/>
              </w:rPr>
              <w:t>查文件：</w:t>
            </w:r>
          </w:p>
          <w:p>
            <w:pPr>
              <w:spacing w:line="280" w:lineRule="exact"/>
              <w:rPr>
                <w:rFonts w:ascii="宋体" w:hAnsi="宋体" w:cs="宋体"/>
                <w:spacing w:val="2"/>
                <w:szCs w:val="21"/>
              </w:rPr>
            </w:pPr>
            <w:r>
              <w:rPr>
                <w:rFonts w:hint="eastAsia" w:ascii="宋体" w:hAnsi="宋体" w:cs="宋体"/>
                <w:spacing w:val="2"/>
                <w:szCs w:val="21"/>
              </w:rPr>
              <w:t>1.风险评价记录；</w:t>
            </w:r>
          </w:p>
          <w:p>
            <w:pPr>
              <w:spacing w:line="280" w:lineRule="exact"/>
              <w:rPr>
                <w:rFonts w:ascii="宋体" w:hAnsi="宋体" w:cs="宋体"/>
                <w:spacing w:val="2"/>
                <w:szCs w:val="21"/>
              </w:rPr>
            </w:pPr>
            <w:r>
              <w:rPr>
                <w:rFonts w:hint="eastAsia" w:ascii="宋体" w:hAnsi="宋体" w:cs="宋体"/>
                <w:spacing w:val="2"/>
                <w:szCs w:val="21"/>
              </w:rPr>
              <w:t>2.风险评价管理制度。</w:t>
            </w:r>
          </w:p>
          <w:p>
            <w:pPr>
              <w:spacing w:line="280" w:lineRule="exact"/>
              <w:rPr>
                <w:rFonts w:ascii="宋体" w:hAnsi="宋体" w:cs="宋体"/>
                <w:spacing w:val="2"/>
                <w:szCs w:val="21"/>
              </w:rPr>
            </w:pPr>
          </w:p>
        </w:tc>
        <w:tc>
          <w:tcPr>
            <w:tcW w:w="1701" w:type="dxa"/>
          </w:tcPr>
          <w:p>
            <w:pPr>
              <w:spacing w:line="280" w:lineRule="exact"/>
              <w:rPr>
                <w:rFonts w:ascii="宋体" w:hAnsi="宋体" w:cs="宋体"/>
                <w:spacing w:val="2"/>
                <w:szCs w:val="21"/>
              </w:rPr>
            </w:pPr>
          </w:p>
        </w:tc>
        <w:tc>
          <w:tcPr>
            <w:tcW w:w="2268" w:type="dxa"/>
          </w:tcPr>
          <w:p>
            <w:pPr>
              <w:spacing w:line="280" w:lineRule="exact"/>
              <w:rPr>
                <w:rFonts w:ascii="宋体" w:hAnsi="宋体" w:cs="宋体"/>
                <w:spacing w:val="2"/>
                <w:szCs w:val="21"/>
              </w:rPr>
            </w:pPr>
            <w:r>
              <w:rPr>
                <w:rFonts w:hint="eastAsia" w:ascii="宋体" w:hAnsi="宋体" w:cs="宋体"/>
                <w:spacing w:val="2"/>
                <w:szCs w:val="21"/>
              </w:rPr>
              <w:t>风险评价范围不符合标准要求，一项扣1分。</w:t>
            </w:r>
          </w:p>
        </w:tc>
        <w:tc>
          <w:tcPr>
            <w:tcW w:w="1165" w:type="dxa"/>
            <w:vAlign w:val="center"/>
          </w:tcPr>
          <w:p>
            <w:pPr>
              <w:spacing w:line="280" w:lineRule="exact"/>
              <w:jc w:val="center"/>
              <w:rPr>
                <w:rFonts w:ascii="宋体" w:hAnsi="宋体" w:cs="宋体"/>
                <w:b/>
                <w:bCs/>
                <w:szCs w:val="21"/>
              </w:rPr>
            </w:pPr>
            <w:r>
              <w:rPr>
                <w:rFonts w:hint="eastAsia" w:ascii="宋体" w:hAnsi="宋体" w:cs="宋体"/>
                <w:szCs w:val="21"/>
              </w:rPr>
              <w:t>符合要求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771" w:type="dxa"/>
            <w:vMerge w:val="continue"/>
          </w:tcPr>
          <w:p>
            <w:pPr>
              <w:spacing w:line="280" w:lineRule="exact"/>
              <w:rPr>
                <w:rFonts w:ascii="宋体" w:hAnsi="宋体" w:cs="宋体"/>
                <w:b/>
                <w:bCs/>
                <w:szCs w:val="21"/>
              </w:rPr>
            </w:pPr>
          </w:p>
        </w:tc>
        <w:tc>
          <w:tcPr>
            <w:tcW w:w="709" w:type="dxa"/>
            <w:vMerge w:val="continue"/>
          </w:tcPr>
          <w:p>
            <w:pPr>
              <w:spacing w:line="280" w:lineRule="exact"/>
              <w:rPr>
                <w:rFonts w:ascii="宋体" w:hAnsi="宋体" w:cs="宋体"/>
                <w:b/>
                <w:bCs/>
                <w:szCs w:val="21"/>
              </w:rPr>
            </w:pPr>
          </w:p>
        </w:tc>
        <w:tc>
          <w:tcPr>
            <w:tcW w:w="2409" w:type="dxa"/>
          </w:tcPr>
          <w:p>
            <w:pPr>
              <w:spacing w:line="280" w:lineRule="exact"/>
              <w:rPr>
                <w:rFonts w:ascii="宋体" w:hAnsi="宋体" w:cs="宋体"/>
                <w:spacing w:val="2"/>
                <w:szCs w:val="21"/>
              </w:rPr>
            </w:pPr>
            <w:r>
              <w:rPr>
                <w:rFonts w:hint="eastAsia" w:ascii="宋体" w:hAnsi="宋体" w:cs="宋体"/>
                <w:spacing w:val="2"/>
                <w:szCs w:val="21"/>
              </w:rPr>
              <w:t>3.企业可根据需要，选择科学、有效、可行的风险评价方法。常用的评价方法有：</w:t>
            </w:r>
          </w:p>
          <w:p>
            <w:pPr>
              <w:spacing w:line="280" w:lineRule="exact"/>
              <w:rPr>
                <w:rFonts w:ascii="宋体" w:hAnsi="宋体" w:cs="宋体"/>
                <w:spacing w:val="2"/>
                <w:szCs w:val="21"/>
              </w:rPr>
            </w:pPr>
            <w:r>
              <w:rPr>
                <w:rFonts w:hint="eastAsia" w:ascii="宋体" w:hAnsi="宋体" w:cs="宋体"/>
                <w:spacing w:val="2"/>
                <w:szCs w:val="21"/>
              </w:rPr>
              <w:t>（1）工作危害分析（JHA）；</w:t>
            </w:r>
          </w:p>
          <w:p>
            <w:pPr>
              <w:spacing w:line="280" w:lineRule="exact"/>
              <w:rPr>
                <w:rFonts w:ascii="宋体" w:hAnsi="宋体" w:cs="宋体"/>
                <w:spacing w:val="2"/>
                <w:szCs w:val="21"/>
              </w:rPr>
            </w:pPr>
            <w:r>
              <w:rPr>
                <w:rFonts w:hint="eastAsia" w:ascii="宋体" w:hAnsi="宋体" w:cs="宋体"/>
                <w:spacing w:val="2"/>
                <w:szCs w:val="21"/>
              </w:rPr>
              <w:t>（2）安全检查表分析（SCL）；</w:t>
            </w:r>
          </w:p>
          <w:p>
            <w:pPr>
              <w:spacing w:line="280" w:lineRule="exact"/>
              <w:rPr>
                <w:rFonts w:ascii="宋体" w:hAnsi="宋体" w:cs="宋体"/>
                <w:spacing w:val="2"/>
                <w:szCs w:val="21"/>
              </w:rPr>
            </w:pPr>
            <w:r>
              <w:rPr>
                <w:rFonts w:hint="eastAsia" w:ascii="宋体" w:hAnsi="宋体" w:cs="宋体"/>
                <w:spacing w:val="2"/>
                <w:szCs w:val="21"/>
              </w:rPr>
              <w:t>（3）预危险性分析（PHA）；</w:t>
            </w:r>
          </w:p>
          <w:p>
            <w:pPr>
              <w:spacing w:line="280" w:lineRule="exact"/>
              <w:rPr>
                <w:rFonts w:ascii="宋体" w:hAnsi="宋体" w:cs="宋体"/>
                <w:spacing w:val="2"/>
                <w:szCs w:val="21"/>
              </w:rPr>
            </w:pPr>
            <w:r>
              <w:rPr>
                <w:rFonts w:hint="eastAsia" w:ascii="宋体" w:hAnsi="宋体" w:cs="宋体"/>
                <w:spacing w:val="2"/>
                <w:szCs w:val="21"/>
              </w:rPr>
              <w:t>（4）危险与可操作性分析（HAZOP）；</w:t>
            </w:r>
          </w:p>
          <w:p>
            <w:pPr>
              <w:spacing w:line="280" w:lineRule="exact"/>
              <w:rPr>
                <w:rFonts w:ascii="宋体" w:hAnsi="宋体" w:cs="宋体"/>
                <w:spacing w:val="2"/>
                <w:szCs w:val="21"/>
              </w:rPr>
            </w:pPr>
            <w:r>
              <w:rPr>
                <w:rFonts w:hint="eastAsia" w:ascii="宋体" w:hAnsi="宋体" w:cs="宋体"/>
                <w:spacing w:val="2"/>
                <w:szCs w:val="21"/>
              </w:rPr>
              <w:t>（5）失效模式与影响分析（FMEA）；</w:t>
            </w:r>
          </w:p>
          <w:p>
            <w:pPr>
              <w:spacing w:line="280" w:lineRule="exact"/>
              <w:rPr>
                <w:rFonts w:ascii="宋体" w:hAnsi="宋体" w:cs="宋体"/>
                <w:spacing w:val="2"/>
                <w:szCs w:val="21"/>
              </w:rPr>
            </w:pPr>
            <w:r>
              <w:rPr>
                <w:rFonts w:hint="eastAsia" w:ascii="宋体" w:hAnsi="宋体" w:cs="宋体"/>
                <w:spacing w:val="2"/>
                <w:szCs w:val="21"/>
              </w:rPr>
              <w:t>（6）故障树分析（FTA）；</w:t>
            </w:r>
          </w:p>
          <w:p>
            <w:pPr>
              <w:spacing w:line="280" w:lineRule="exact"/>
              <w:rPr>
                <w:rFonts w:ascii="宋体" w:hAnsi="宋体" w:cs="宋体"/>
                <w:spacing w:val="2"/>
                <w:szCs w:val="21"/>
              </w:rPr>
            </w:pPr>
            <w:r>
              <w:rPr>
                <w:rFonts w:hint="eastAsia" w:ascii="宋体" w:hAnsi="宋体" w:cs="宋体"/>
                <w:spacing w:val="2"/>
                <w:szCs w:val="21"/>
              </w:rPr>
              <w:t>（7）事件树分析（ETA）；</w:t>
            </w:r>
          </w:p>
          <w:p>
            <w:pPr>
              <w:spacing w:line="280" w:lineRule="exact"/>
              <w:rPr>
                <w:rFonts w:ascii="宋体" w:hAnsi="宋体" w:cs="宋体"/>
                <w:spacing w:val="2"/>
                <w:szCs w:val="21"/>
              </w:rPr>
            </w:pPr>
            <w:r>
              <w:rPr>
                <w:rFonts w:hint="eastAsia" w:ascii="宋体" w:hAnsi="宋体" w:cs="宋体"/>
                <w:spacing w:val="2"/>
                <w:szCs w:val="21"/>
              </w:rPr>
              <w:t>（8）作业条件危险性分析（LEC）等方法。</w:t>
            </w:r>
          </w:p>
        </w:tc>
        <w:tc>
          <w:tcPr>
            <w:tcW w:w="2268" w:type="dxa"/>
          </w:tcPr>
          <w:p>
            <w:pPr>
              <w:spacing w:line="280" w:lineRule="exact"/>
              <w:rPr>
                <w:rFonts w:ascii="宋体" w:hAnsi="宋体" w:cs="宋体"/>
                <w:spacing w:val="2"/>
                <w:szCs w:val="21"/>
              </w:rPr>
            </w:pPr>
            <w:r>
              <w:rPr>
                <w:rFonts w:hint="eastAsia" w:ascii="宋体" w:hAnsi="宋体" w:cs="宋体"/>
                <w:spacing w:val="2"/>
                <w:szCs w:val="21"/>
              </w:rPr>
              <w:t>1.可选用JHA法对作业活动、SCL法对设备设施（安全生产条件）进行危险、有害因素识别和风险评价；</w:t>
            </w:r>
          </w:p>
          <w:p>
            <w:pPr>
              <w:spacing w:line="280" w:lineRule="exact"/>
              <w:rPr>
                <w:rFonts w:ascii="宋体" w:hAnsi="宋体" w:cs="宋体"/>
                <w:spacing w:val="2"/>
                <w:szCs w:val="21"/>
              </w:rPr>
            </w:pPr>
            <w:r>
              <w:rPr>
                <w:rFonts w:hint="eastAsia" w:ascii="宋体" w:hAnsi="宋体" w:cs="宋体"/>
                <w:spacing w:val="2"/>
                <w:szCs w:val="21"/>
              </w:rPr>
              <w:t>2.可选用HAZOP法对危险性工艺进行危险、有害因素识别和风险评价；</w:t>
            </w:r>
          </w:p>
          <w:p>
            <w:pPr>
              <w:spacing w:line="280" w:lineRule="exact"/>
              <w:rPr>
                <w:rFonts w:ascii="宋体" w:hAnsi="宋体" w:cs="宋体"/>
                <w:spacing w:val="2"/>
                <w:szCs w:val="21"/>
              </w:rPr>
            </w:pPr>
            <w:r>
              <w:rPr>
                <w:rFonts w:hint="eastAsia" w:ascii="宋体" w:hAnsi="宋体" w:cs="宋体"/>
                <w:spacing w:val="2"/>
                <w:szCs w:val="21"/>
              </w:rPr>
              <w:t>3.选用其他方法对相关方面进行危险、有害因素识别和风险评价。</w:t>
            </w:r>
          </w:p>
          <w:p>
            <w:pPr>
              <w:spacing w:line="280" w:lineRule="exact"/>
              <w:rPr>
                <w:rFonts w:ascii="宋体" w:hAnsi="宋体" w:cs="宋体"/>
                <w:spacing w:val="2"/>
                <w:szCs w:val="21"/>
              </w:rPr>
            </w:pPr>
          </w:p>
        </w:tc>
        <w:tc>
          <w:tcPr>
            <w:tcW w:w="2268" w:type="dxa"/>
          </w:tcPr>
          <w:p>
            <w:pPr>
              <w:spacing w:line="280" w:lineRule="exact"/>
              <w:rPr>
                <w:rFonts w:ascii="宋体" w:hAnsi="宋体" w:cs="宋体"/>
                <w:spacing w:val="2"/>
                <w:szCs w:val="21"/>
              </w:rPr>
            </w:pPr>
            <w:r>
              <w:rPr>
                <w:rFonts w:hint="eastAsia" w:ascii="宋体" w:hAnsi="宋体" w:cs="宋体"/>
                <w:spacing w:val="2"/>
                <w:szCs w:val="21"/>
              </w:rPr>
              <w:t>查文件：</w:t>
            </w:r>
          </w:p>
          <w:p>
            <w:pPr>
              <w:spacing w:line="280" w:lineRule="exact"/>
              <w:rPr>
                <w:rFonts w:ascii="宋体" w:hAnsi="宋体" w:cs="宋体"/>
                <w:spacing w:val="2"/>
                <w:szCs w:val="21"/>
              </w:rPr>
            </w:pPr>
            <w:r>
              <w:rPr>
                <w:rFonts w:hint="eastAsia" w:ascii="宋体" w:hAnsi="宋体" w:cs="宋体"/>
                <w:spacing w:val="2"/>
                <w:szCs w:val="21"/>
              </w:rPr>
              <w:t>1.风险管理制度；</w:t>
            </w:r>
          </w:p>
          <w:p>
            <w:pPr>
              <w:spacing w:line="280" w:lineRule="exact"/>
              <w:rPr>
                <w:rFonts w:ascii="宋体" w:hAnsi="宋体" w:cs="宋体"/>
                <w:spacing w:val="2"/>
                <w:szCs w:val="21"/>
              </w:rPr>
            </w:pPr>
            <w:r>
              <w:rPr>
                <w:rFonts w:hint="eastAsia" w:ascii="宋体" w:hAnsi="宋体" w:cs="宋体"/>
                <w:spacing w:val="2"/>
                <w:szCs w:val="21"/>
              </w:rPr>
              <w:t>2.风险评价记录；</w:t>
            </w:r>
          </w:p>
          <w:p>
            <w:pPr>
              <w:spacing w:line="280" w:lineRule="exact"/>
              <w:rPr>
                <w:rFonts w:ascii="宋体" w:hAnsi="宋体" w:cs="宋体"/>
                <w:spacing w:val="2"/>
                <w:szCs w:val="21"/>
              </w:rPr>
            </w:pPr>
            <w:r>
              <w:rPr>
                <w:rFonts w:hint="eastAsia" w:ascii="宋体" w:hAnsi="宋体" w:cs="宋体"/>
                <w:spacing w:val="2"/>
                <w:szCs w:val="21"/>
              </w:rPr>
              <w:t>3.选用的风险评价方法。</w:t>
            </w:r>
          </w:p>
          <w:p>
            <w:pPr>
              <w:spacing w:line="280" w:lineRule="exact"/>
              <w:rPr>
                <w:rFonts w:ascii="宋体" w:hAnsi="宋体" w:cs="宋体"/>
                <w:spacing w:val="2"/>
                <w:szCs w:val="21"/>
              </w:rPr>
            </w:pPr>
            <w:r>
              <w:rPr>
                <w:rFonts w:hint="eastAsia" w:ascii="宋体" w:hAnsi="宋体" w:cs="宋体"/>
                <w:spacing w:val="2"/>
                <w:szCs w:val="21"/>
              </w:rPr>
              <w:t>询问：</w:t>
            </w:r>
          </w:p>
          <w:p>
            <w:pPr>
              <w:spacing w:line="280" w:lineRule="exact"/>
              <w:rPr>
                <w:rFonts w:ascii="宋体" w:hAnsi="宋体" w:cs="宋体"/>
                <w:spacing w:val="2"/>
                <w:szCs w:val="21"/>
              </w:rPr>
            </w:pPr>
            <w:r>
              <w:rPr>
                <w:rFonts w:hint="eastAsia" w:ascii="宋体" w:hAnsi="宋体" w:cs="宋体"/>
                <w:spacing w:val="2"/>
                <w:szCs w:val="21"/>
              </w:rPr>
              <w:t>有关人员对风险评价方法的掌握和运用情况。</w:t>
            </w:r>
          </w:p>
          <w:p>
            <w:pPr>
              <w:ind w:firstLine="420"/>
              <w:rPr>
                <w:rFonts w:ascii="宋体" w:hAnsi="宋体" w:cs="宋体"/>
                <w:szCs w:val="21"/>
              </w:rPr>
            </w:pPr>
          </w:p>
          <w:p>
            <w:pPr>
              <w:ind w:firstLine="420"/>
              <w:rPr>
                <w:rFonts w:ascii="宋体" w:hAnsi="宋体" w:cs="宋体"/>
                <w:szCs w:val="21"/>
              </w:rPr>
            </w:pPr>
          </w:p>
          <w:p>
            <w:pPr>
              <w:ind w:firstLine="420"/>
              <w:rPr>
                <w:rFonts w:ascii="宋体" w:hAnsi="宋体" w:cs="宋体"/>
                <w:szCs w:val="21"/>
              </w:rPr>
            </w:pPr>
          </w:p>
        </w:tc>
        <w:tc>
          <w:tcPr>
            <w:tcW w:w="1701" w:type="dxa"/>
          </w:tcPr>
          <w:p>
            <w:pPr>
              <w:spacing w:line="280" w:lineRule="exact"/>
              <w:rPr>
                <w:rFonts w:ascii="宋体" w:hAnsi="宋体" w:cs="宋体"/>
                <w:spacing w:val="2"/>
                <w:szCs w:val="21"/>
              </w:rPr>
            </w:pPr>
          </w:p>
        </w:tc>
        <w:tc>
          <w:tcPr>
            <w:tcW w:w="2268" w:type="dxa"/>
          </w:tcPr>
          <w:p>
            <w:pPr>
              <w:spacing w:line="280" w:lineRule="exact"/>
              <w:rPr>
                <w:rFonts w:ascii="宋体" w:hAnsi="宋体" w:cs="宋体"/>
                <w:spacing w:val="2"/>
                <w:szCs w:val="21"/>
              </w:rPr>
            </w:pPr>
            <w:r>
              <w:rPr>
                <w:rFonts w:hint="eastAsia" w:ascii="宋体" w:hAnsi="宋体" w:cs="宋体"/>
                <w:spacing w:val="2"/>
                <w:szCs w:val="21"/>
              </w:rPr>
              <w:t>1.未规定选用何种风险评价方法，扣2分；</w:t>
            </w:r>
          </w:p>
          <w:p>
            <w:pPr>
              <w:spacing w:line="280" w:lineRule="exact"/>
              <w:rPr>
                <w:rFonts w:ascii="宋体" w:hAnsi="宋体" w:cs="宋体"/>
                <w:spacing w:val="2"/>
                <w:szCs w:val="21"/>
              </w:rPr>
            </w:pPr>
            <w:r>
              <w:rPr>
                <w:rFonts w:hint="eastAsia" w:ascii="宋体" w:hAnsi="宋体" w:cs="宋体"/>
                <w:spacing w:val="2"/>
                <w:szCs w:val="21"/>
              </w:rPr>
              <w:t>2.有关人员不清楚或未掌握选定的风险评价方法，1人次扣1分。</w:t>
            </w:r>
          </w:p>
        </w:tc>
        <w:tc>
          <w:tcPr>
            <w:tcW w:w="1165" w:type="dxa"/>
            <w:vAlign w:val="center"/>
          </w:tcPr>
          <w:p>
            <w:pPr>
              <w:jc w:val="center"/>
              <w:rPr>
                <w:rFonts w:ascii="宋体" w:hAnsi="宋体" w:cs="宋体"/>
                <w:szCs w:val="21"/>
              </w:rPr>
            </w:pPr>
            <w:r>
              <w:rPr>
                <w:rFonts w:hint="eastAsia" w:ascii="宋体" w:hAnsi="宋体" w:cs="宋体"/>
                <w:spacing w:val="2"/>
                <w:szCs w:val="21"/>
              </w:rPr>
              <w:t>经询问，个别人员不清楚或未掌握风险评价方法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771" w:type="dxa"/>
            <w:vMerge w:val="continue"/>
          </w:tcPr>
          <w:p>
            <w:pPr>
              <w:spacing w:line="280" w:lineRule="exact"/>
              <w:rPr>
                <w:rFonts w:ascii="宋体" w:hAnsi="宋体" w:cs="宋体"/>
                <w:b/>
                <w:bCs/>
                <w:szCs w:val="21"/>
              </w:rPr>
            </w:pPr>
          </w:p>
        </w:tc>
        <w:tc>
          <w:tcPr>
            <w:tcW w:w="709" w:type="dxa"/>
            <w:vMerge w:val="continue"/>
          </w:tcPr>
          <w:p>
            <w:pPr>
              <w:spacing w:line="280" w:lineRule="exact"/>
              <w:rPr>
                <w:rFonts w:ascii="宋体" w:hAnsi="宋体" w:cs="宋体"/>
                <w:b/>
                <w:bCs/>
                <w:szCs w:val="21"/>
              </w:rPr>
            </w:pPr>
          </w:p>
        </w:tc>
        <w:tc>
          <w:tcPr>
            <w:tcW w:w="2409" w:type="dxa"/>
          </w:tcPr>
          <w:p>
            <w:pPr>
              <w:spacing w:line="280" w:lineRule="exact"/>
              <w:rPr>
                <w:rFonts w:ascii="宋体" w:hAnsi="宋体" w:cs="宋体"/>
                <w:spacing w:val="2"/>
                <w:szCs w:val="21"/>
              </w:rPr>
            </w:pPr>
            <w:r>
              <w:rPr>
                <w:rFonts w:hint="eastAsia" w:ascii="宋体" w:hAnsi="宋体" w:cs="宋体"/>
                <w:spacing w:val="2"/>
                <w:szCs w:val="21"/>
              </w:rPr>
              <w:t>4.企业应依据以下内容制定风险评价准则：</w:t>
            </w:r>
          </w:p>
          <w:p>
            <w:pPr>
              <w:spacing w:line="280" w:lineRule="exact"/>
              <w:rPr>
                <w:rFonts w:ascii="宋体" w:hAnsi="宋体" w:cs="宋体"/>
                <w:spacing w:val="2"/>
                <w:szCs w:val="21"/>
              </w:rPr>
            </w:pPr>
            <w:r>
              <w:rPr>
                <w:rFonts w:hint="eastAsia" w:ascii="宋体" w:hAnsi="宋体" w:cs="宋体"/>
                <w:spacing w:val="2"/>
                <w:szCs w:val="21"/>
              </w:rPr>
              <w:t>1）有关安全生产法律、法规；</w:t>
            </w:r>
          </w:p>
          <w:p>
            <w:pPr>
              <w:spacing w:line="280" w:lineRule="exact"/>
              <w:rPr>
                <w:rFonts w:ascii="宋体" w:hAnsi="宋体" w:cs="宋体"/>
                <w:spacing w:val="2"/>
                <w:szCs w:val="21"/>
              </w:rPr>
            </w:pPr>
            <w:r>
              <w:rPr>
                <w:rFonts w:hint="eastAsia" w:ascii="宋体" w:hAnsi="宋体" w:cs="宋体"/>
                <w:spacing w:val="2"/>
                <w:szCs w:val="21"/>
              </w:rPr>
              <w:t>2）设计规范、技术标准；</w:t>
            </w:r>
          </w:p>
          <w:p>
            <w:pPr>
              <w:spacing w:line="280" w:lineRule="exact"/>
              <w:rPr>
                <w:rFonts w:ascii="宋体" w:hAnsi="宋体" w:cs="宋体"/>
                <w:spacing w:val="2"/>
                <w:szCs w:val="21"/>
              </w:rPr>
            </w:pPr>
            <w:r>
              <w:rPr>
                <w:rFonts w:hint="eastAsia" w:ascii="宋体" w:hAnsi="宋体" w:cs="宋体"/>
                <w:spacing w:val="2"/>
                <w:szCs w:val="21"/>
              </w:rPr>
              <w:t>3）企业的安全管理标准、技术标准；</w:t>
            </w:r>
          </w:p>
          <w:p>
            <w:pPr>
              <w:spacing w:line="280" w:lineRule="exact"/>
              <w:rPr>
                <w:rFonts w:ascii="宋体" w:hAnsi="宋体" w:cs="宋体"/>
                <w:spacing w:val="2"/>
                <w:szCs w:val="21"/>
              </w:rPr>
            </w:pPr>
            <w:r>
              <w:rPr>
                <w:rFonts w:hint="eastAsia" w:ascii="宋体" w:hAnsi="宋体" w:cs="宋体"/>
                <w:spacing w:val="2"/>
                <w:szCs w:val="21"/>
              </w:rPr>
              <w:t>4）企业的安全生产方针和目标等。</w:t>
            </w:r>
          </w:p>
        </w:tc>
        <w:tc>
          <w:tcPr>
            <w:tcW w:w="2268" w:type="dxa"/>
          </w:tcPr>
          <w:p>
            <w:pPr>
              <w:spacing w:line="280" w:lineRule="exact"/>
              <w:rPr>
                <w:rFonts w:ascii="宋体" w:hAnsi="宋体" w:cs="宋体"/>
                <w:spacing w:val="2"/>
                <w:szCs w:val="21"/>
              </w:rPr>
            </w:pPr>
            <w:r>
              <w:rPr>
                <w:rFonts w:hint="eastAsia" w:ascii="宋体" w:hAnsi="宋体" w:cs="宋体"/>
                <w:spacing w:val="2"/>
                <w:szCs w:val="21"/>
              </w:rPr>
              <w:t>1.根据企业的实际情况制定风险评价准则；</w:t>
            </w:r>
          </w:p>
          <w:p>
            <w:pPr>
              <w:spacing w:line="280" w:lineRule="exact"/>
              <w:rPr>
                <w:rFonts w:ascii="宋体" w:hAnsi="宋体" w:cs="宋体"/>
                <w:spacing w:val="2"/>
                <w:szCs w:val="21"/>
              </w:rPr>
            </w:pPr>
            <w:r>
              <w:rPr>
                <w:rFonts w:hint="eastAsia" w:ascii="宋体" w:hAnsi="宋体" w:cs="宋体"/>
                <w:spacing w:val="2"/>
                <w:szCs w:val="21"/>
              </w:rPr>
              <w:t>2.评价准则应符合有关标准规范规定；</w:t>
            </w:r>
          </w:p>
          <w:p>
            <w:pPr>
              <w:spacing w:line="280" w:lineRule="exact"/>
              <w:rPr>
                <w:rFonts w:ascii="宋体" w:hAnsi="宋体" w:cs="宋体"/>
                <w:spacing w:val="2"/>
                <w:szCs w:val="21"/>
              </w:rPr>
            </w:pPr>
            <w:r>
              <w:rPr>
                <w:rFonts w:hint="eastAsia" w:ascii="宋体" w:hAnsi="宋体" w:cs="宋体"/>
                <w:spacing w:val="2"/>
                <w:szCs w:val="21"/>
              </w:rPr>
              <w:t>3.评价准则应包括事件发生可能性、严重性的取值标准以及风险等级的评定标准。</w:t>
            </w:r>
          </w:p>
        </w:tc>
        <w:tc>
          <w:tcPr>
            <w:tcW w:w="2268" w:type="dxa"/>
          </w:tcPr>
          <w:p>
            <w:pPr>
              <w:spacing w:line="280" w:lineRule="exact"/>
              <w:rPr>
                <w:rFonts w:ascii="宋体" w:hAnsi="宋体" w:cs="宋体"/>
                <w:spacing w:val="2"/>
                <w:szCs w:val="21"/>
              </w:rPr>
            </w:pPr>
            <w:r>
              <w:rPr>
                <w:rFonts w:hint="eastAsia" w:ascii="宋体" w:hAnsi="宋体" w:cs="宋体"/>
                <w:spacing w:val="2"/>
                <w:szCs w:val="21"/>
              </w:rPr>
              <w:t>查文件：</w:t>
            </w:r>
          </w:p>
          <w:p>
            <w:pPr>
              <w:spacing w:line="280" w:lineRule="exact"/>
              <w:rPr>
                <w:rFonts w:ascii="宋体" w:hAnsi="宋体" w:cs="宋体"/>
                <w:spacing w:val="2"/>
                <w:szCs w:val="21"/>
              </w:rPr>
            </w:pPr>
            <w:r>
              <w:rPr>
                <w:rFonts w:hint="eastAsia" w:ascii="宋体" w:hAnsi="宋体" w:cs="宋体"/>
                <w:spacing w:val="2"/>
                <w:szCs w:val="21"/>
              </w:rPr>
              <w:t>风险管理制度、风险评价准则和相关取值标准的内容。</w:t>
            </w:r>
          </w:p>
          <w:p>
            <w:pPr>
              <w:spacing w:line="280" w:lineRule="exact"/>
              <w:rPr>
                <w:rFonts w:ascii="宋体" w:hAnsi="宋体" w:cs="宋体"/>
                <w:spacing w:val="2"/>
                <w:szCs w:val="21"/>
              </w:rPr>
            </w:pPr>
          </w:p>
        </w:tc>
        <w:tc>
          <w:tcPr>
            <w:tcW w:w="1701" w:type="dxa"/>
          </w:tcPr>
          <w:p>
            <w:pPr>
              <w:spacing w:line="280" w:lineRule="exact"/>
              <w:rPr>
                <w:rFonts w:ascii="宋体" w:hAnsi="宋体" w:cs="宋体"/>
                <w:spacing w:val="2"/>
                <w:szCs w:val="21"/>
              </w:rPr>
            </w:pPr>
          </w:p>
        </w:tc>
        <w:tc>
          <w:tcPr>
            <w:tcW w:w="2268" w:type="dxa"/>
          </w:tcPr>
          <w:p>
            <w:pPr>
              <w:spacing w:line="280" w:lineRule="exact"/>
              <w:rPr>
                <w:rFonts w:ascii="宋体" w:hAnsi="宋体" w:cs="宋体"/>
                <w:spacing w:val="2"/>
                <w:szCs w:val="21"/>
              </w:rPr>
            </w:pPr>
            <w:r>
              <w:rPr>
                <w:rFonts w:hint="eastAsia" w:ascii="宋体" w:hAnsi="宋体" w:cs="宋体"/>
                <w:spacing w:val="2"/>
                <w:szCs w:val="21"/>
              </w:rPr>
              <w:t>1.未根据实际制定风险评价准则，扣2分；</w:t>
            </w:r>
          </w:p>
          <w:p>
            <w:pPr>
              <w:spacing w:line="280" w:lineRule="exact"/>
              <w:rPr>
                <w:rFonts w:ascii="宋体" w:hAnsi="宋体" w:cs="宋体"/>
                <w:spacing w:val="2"/>
                <w:szCs w:val="21"/>
              </w:rPr>
            </w:pPr>
            <w:r>
              <w:rPr>
                <w:rFonts w:hint="eastAsia" w:ascii="宋体" w:hAnsi="宋体" w:cs="宋体"/>
                <w:spacing w:val="2"/>
                <w:szCs w:val="21"/>
              </w:rPr>
              <w:t>2.风险评价准则不符合标准规定，一项扣1分。</w:t>
            </w:r>
          </w:p>
          <w:p>
            <w:pPr>
              <w:spacing w:line="280" w:lineRule="exact"/>
              <w:rPr>
                <w:rFonts w:ascii="宋体" w:hAnsi="宋体" w:cs="宋体"/>
                <w:spacing w:val="2"/>
                <w:szCs w:val="21"/>
              </w:rPr>
            </w:pPr>
            <w:r>
              <w:rPr>
                <w:rFonts w:hint="eastAsia" w:ascii="宋体" w:hAnsi="宋体" w:cs="宋体"/>
                <w:spacing w:val="2"/>
                <w:szCs w:val="21"/>
              </w:rPr>
              <w:t>3.风险评价涉及的事件发生可能性、严重性的取值标准不明确，或风险等级评定标准不明确，一项扣2分。</w:t>
            </w:r>
          </w:p>
        </w:tc>
        <w:tc>
          <w:tcPr>
            <w:tcW w:w="1165" w:type="dxa"/>
            <w:vAlign w:val="center"/>
          </w:tcPr>
          <w:p>
            <w:pPr>
              <w:jc w:val="center"/>
              <w:rPr>
                <w:rFonts w:ascii="宋体" w:hAnsi="宋体" w:cs="宋体"/>
                <w:b/>
                <w:bCs/>
                <w:szCs w:val="21"/>
              </w:rPr>
            </w:pPr>
            <w:r>
              <w:rPr>
                <w:rFonts w:hint="eastAsia" w:ascii="宋体" w:hAnsi="宋体" w:cs="宋体"/>
                <w:szCs w:val="21"/>
              </w:rPr>
              <w:t>符合要求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771" w:type="dxa"/>
            <w:vMerge w:val="continue"/>
          </w:tcPr>
          <w:p>
            <w:pPr>
              <w:spacing w:line="280" w:lineRule="exact"/>
              <w:rPr>
                <w:rFonts w:ascii="宋体" w:hAnsi="宋体" w:cs="宋体"/>
                <w:b/>
                <w:bCs/>
                <w:szCs w:val="21"/>
              </w:rPr>
            </w:pPr>
          </w:p>
        </w:tc>
        <w:tc>
          <w:tcPr>
            <w:tcW w:w="709" w:type="dxa"/>
            <w:vMerge w:val="restart"/>
          </w:tcPr>
          <w:p>
            <w:pPr>
              <w:spacing w:line="280" w:lineRule="exact"/>
              <w:rPr>
                <w:rFonts w:ascii="宋体" w:hAnsi="宋体" w:cs="宋体"/>
                <w:b/>
                <w:bCs/>
                <w:szCs w:val="21"/>
              </w:rPr>
            </w:pPr>
            <w:r>
              <w:rPr>
                <w:rFonts w:hint="eastAsia" w:ascii="宋体" w:hAnsi="宋体" w:cs="宋体"/>
                <w:b/>
                <w:bCs/>
                <w:szCs w:val="21"/>
              </w:rPr>
              <w:t>3.2</w:t>
            </w:r>
          </w:p>
          <w:p>
            <w:pPr>
              <w:spacing w:line="280" w:lineRule="exact"/>
              <w:rPr>
                <w:rFonts w:ascii="宋体" w:hAnsi="宋体" w:cs="宋体"/>
                <w:b/>
                <w:bCs/>
                <w:szCs w:val="21"/>
              </w:rPr>
            </w:pPr>
            <w:r>
              <w:rPr>
                <w:rFonts w:hint="eastAsia" w:ascii="宋体" w:hAnsi="宋体" w:cs="宋体"/>
                <w:b/>
                <w:bCs/>
                <w:szCs w:val="21"/>
              </w:rPr>
              <w:t>风险评价</w:t>
            </w:r>
          </w:p>
          <w:p>
            <w:pPr>
              <w:spacing w:line="280" w:lineRule="exact"/>
              <w:rPr>
                <w:rFonts w:ascii="宋体" w:hAnsi="宋体" w:cs="宋体"/>
                <w:b/>
                <w:bCs/>
                <w:szCs w:val="21"/>
              </w:rPr>
            </w:pPr>
            <w:r>
              <w:rPr>
                <w:rFonts w:hint="eastAsia" w:ascii="宋体" w:hAnsi="宋体" w:cs="宋体"/>
                <w:b/>
                <w:bCs/>
                <w:szCs w:val="21"/>
              </w:rPr>
              <w:t>（10分）</w:t>
            </w:r>
          </w:p>
        </w:tc>
        <w:tc>
          <w:tcPr>
            <w:tcW w:w="2409" w:type="dxa"/>
          </w:tcPr>
          <w:p>
            <w:pPr>
              <w:spacing w:line="280" w:lineRule="exact"/>
              <w:rPr>
                <w:rFonts w:ascii="宋体" w:hAnsi="宋体" w:cs="宋体"/>
                <w:spacing w:val="2"/>
                <w:szCs w:val="21"/>
              </w:rPr>
            </w:pPr>
            <w:r>
              <w:rPr>
                <w:rFonts w:hint="eastAsia" w:ascii="宋体" w:hAnsi="宋体" w:cs="宋体"/>
                <w:spacing w:val="2"/>
                <w:szCs w:val="21"/>
              </w:rPr>
              <w:t>1.企业应依据风险评价准则，选定合适的评价方法，定期和及时对作业活动和设备设施进行危险、有害因素识别和风险评价。企业在进行风险评价时，应从影响人、财产和环境等三个方面的可能性和严重程度分析。</w:t>
            </w:r>
          </w:p>
        </w:tc>
        <w:tc>
          <w:tcPr>
            <w:tcW w:w="2268" w:type="dxa"/>
          </w:tcPr>
          <w:p>
            <w:pPr>
              <w:spacing w:line="280" w:lineRule="exact"/>
              <w:rPr>
                <w:rFonts w:ascii="宋体" w:hAnsi="宋体" w:cs="宋体"/>
                <w:spacing w:val="2"/>
                <w:szCs w:val="21"/>
              </w:rPr>
            </w:pPr>
            <w:r>
              <w:rPr>
                <w:rFonts w:hint="eastAsia" w:ascii="宋体" w:hAnsi="宋体" w:cs="宋体"/>
                <w:spacing w:val="2"/>
                <w:szCs w:val="21"/>
              </w:rPr>
              <w:t>1.建立作业活动清单和设备、设施清单；</w:t>
            </w:r>
          </w:p>
          <w:p>
            <w:pPr>
              <w:spacing w:line="280" w:lineRule="exact"/>
              <w:rPr>
                <w:rFonts w:ascii="宋体" w:hAnsi="宋体" w:cs="宋体"/>
                <w:spacing w:val="2"/>
                <w:szCs w:val="21"/>
              </w:rPr>
            </w:pPr>
            <w:r>
              <w:rPr>
                <w:rFonts w:hint="eastAsia" w:ascii="宋体" w:hAnsi="宋体" w:cs="宋体"/>
                <w:spacing w:val="2"/>
                <w:szCs w:val="21"/>
              </w:rPr>
              <w:t>2.根据规定的频次和时机，开展危险、有害因素辨识、风险评价；</w:t>
            </w:r>
          </w:p>
          <w:p>
            <w:pPr>
              <w:spacing w:line="280" w:lineRule="exact"/>
              <w:rPr>
                <w:rFonts w:ascii="宋体" w:hAnsi="宋体" w:cs="宋体"/>
                <w:spacing w:val="2"/>
                <w:szCs w:val="21"/>
              </w:rPr>
            </w:pPr>
            <w:r>
              <w:rPr>
                <w:rFonts w:hint="eastAsia" w:ascii="宋体" w:hAnsi="宋体" w:cs="宋体"/>
                <w:spacing w:val="2"/>
                <w:szCs w:val="21"/>
              </w:rPr>
              <w:t>3.从影响人、财产和环境等三个方面的可能性和严重性进行评价。</w:t>
            </w:r>
          </w:p>
        </w:tc>
        <w:tc>
          <w:tcPr>
            <w:tcW w:w="2268" w:type="dxa"/>
          </w:tcPr>
          <w:p>
            <w:pPr>
              <w:spacing w:line="280" w:lineRule="exact"/>
              <w:rPr>
                <w:rFonts w:ascii="宋体" w:hAnsi="宋体" w:cs="宋体"/>
                <w:spacing w:val="2"/>
                <w:szCs w:val="21"/>
              </w:rPr>
            </w:pPr>
            <w:r>
              <w:rPr>
                <w:rFonts w:hint="eastAsia" w:ascii="宋体" w:hAnsi="宋体" w:cs="宋体"/>
                <w:spacing w:val="2"/>
                <w:szCs w:val="21"/>
              </w:rPr>
              <w:t>查文件：</w:t>
            </w:r>
          </w:p>
          <w:p>
            <w:pPr>
              <w:spacing w:line="280" w:lineRule="exact"/>
              <w:rPr>
                <w:rFonts w:ascii="宋体" w:hAnsi="宋体" w:cs="宋体"/>
                <w:spacing w:val="2"/>
                <w:szCs w:val="21"/>
              </w:rPr>
            </w:pPr>
            <w:r>
              <w:rPr>
                <w:rFonts w:hint="eastAsia" w:ascii="宋体" w:hAnsi="宋体" w:cs="宋体"/>
                <w:spacing w:val="2"/>
                <w:szCs w:val="21"/>
              </w:rPr>
              <w:t xml:space="preserve">1.作业活动清单、设备、设施清单； </w:t>
            </w:r>
          </w:p>
          <w:p>
            <w:pPr>
              <w:spacing w:line="280" w:lineRule="exact"/>
              <w:rPr>
                <w:rFonts w:ascii="宋体" w:hAnsi="宋体" w:cs="宋体"/>
                <w:spacing w:val="2"/>
                <w:szCs w:val="21"/>
              </w:rPr>
            </w:pPr>
            <w:r>
              <w:rPr>
                <w:rFonts w:hint="eastAsia" w:ascii="宋体" w:hAnsi="宋体" w:cs="宋体"/>
                <w:spacing w:val="2"/>
                <w:szCs w:val="21"/>
              </w:rPr>
              <w:t>2.风险评价记录；</w:t>
            </w:r>
          </w:p>
          <w:p>
            <w:pPr>
              <w:spacing w:line="280" w:lineRule="exact"/>
              <w:rPr>
                <w:rFonts w:ascii="宋体" w:hAnsi="宋体" w:cs="宋体"/>
                <w:spacing w:val="2"/>
                <w:szCs w:val="21"/>
              </w:rPr>
            </w:pPr>
            <w:r>
              <w:rPr>
                <w:rFonts w:hint="eastAsia" w:ascii="宋体" w:hAnsi="宋体" w:cs="宋体"/>
                <w:spacing w:val="2"/>
                <w:szCs w:val="21"/>
              </w:rPr>
              <w:t>3.风险评价报告。</w:t>
            </w:r>
          </w:p>
          <w:p>
            <w:pPr>
              <w:spacing w:line="280" w:lineRule="exact"/>
              <w:rPr>
                <w:rFonts w:ascii="宋体" w:hAnsi="宋体" w:cs="宋体"/>
                <w:spacing w:val="2"/>
                <w:szCs w:val="21"/>
              </w:rPr>
            </w:pPr>
            <w:r>
              <w:rPr>
                <w:rFonts w:hint="eastAsia" w:ascii="宋体" w:hAnsi="宋体" w:cs="宋体"/>
                <w:spacing w:val="2"/>
                <w:szCs w:val="21"/>
              </w:rPr>
              <w:t>现场检查：</w:t>
            </w:r>
          </w:p>
          <w:p>
            <w:pPr>
              <w:spacing w:line="280" w:lineRule="exact"/>
              <w:rPr>
                <w:rFonts w:ascii="宋体" w:hAnsi="宋体" w:cs="宋体"/>
                <w:spacing w:val="2"/>
                <w:szCs w:val="21"/>
              </w:rPr>
            </w:pPr>
            <w:r>
              <w:rPr>
                <w:rFonts w:hint="eastAsia" w:ascii="宋体" w:hAnsi="宋体" w:cs="宋体"/>
                <w:spacing w:val="2"/>
                <w:szCs w:val="21"/>
              </w:rPr>
              <w:t>从业人员参与风险评价活动的情况。</w:t>
            </w:r>
          </w:p>
        </w:tc>
        <w:tc>
          <w:tcPr>
            <w:tcW w:w="1701" w:type="dxa"/>
          </w:tcPr>
          <w:p>
            <w:pPr>
              <w:spacing w:line="280" w:lineRule="exact"/>
              <w:rPr>
                <w:rFonts w:ascii="宋体" w:hAnsi="宋体" w:cs="宋体"/>
                <w:b/>
                <w:bCs/>
                <w:spacing w:val="2"/>
                <w:szCs w:val="21"/>
              </w:rPr>
            </w:pPr>
            <w:r>
              <w:rPr>
                <w:rFonts w:hint="eastAsia" w:ascii="宋体" w:hAnsi="宋体" w:cs="宋体"/>
                <w:b/>
                <w:bCs/>
                <w:spacing w:val="2"/>
                <w:szCs w:val="21"/>
              </w:rPr>
              <w:t>未按规定的频次和时机开展风险评价，扣10分（B级要素否决项）。</w:t>
            </w:r>
          </w:p>
          <w:p>
            <w:pPr>
              <w:spacing w:line="280" w:lineRule="exact"/>
              <w:rPr>
                <w:rFonts w:ascii="宋体" w:hAnsi="宋体" w:cs="宋体"/>
                <w:spacing w:val="2"/>
                <w:szCs w:val="21"/>
              </w:rPr>
            </w:pPr>
          </w:p>
        </w:tc>
        <w:tc>
          <w:tcPr>
            <w:tcW w:w="2268" w:type="dxa"/>
          </w:tcPr>
          <w:p>
            <w:pPr>
              <w:spacing w:line="280" w:lineRule="exact"/>
              <w:rPr>
                <w:rFonts w:ascii="宋体" w:hAnsi="宋体" w:cs="宋体"/>
                <w:spacing w:val="2"/>
                <w:szCs w:val="21"/>
              </w:rPr>
            </w:pPr>
            <w:r>
              <w:rPr>
                <w:rFonts w:hint="eastAsia" w:ascii="宋体" w:hAnsi="宋体" w:cs="宋体"/>
                <w:spacing w:val="2"/>
                <w:szCs w:val="21"/>
              </w:rPr>
              <w:t xml:space="preserve">1.未建立作业活动清单、设备设施清单，每一项不符合扣1分； </w:t>
            </w:r>
          </w:p>
          <w:p>
            <w:pPr>
              <w:spacing w:line="280" w:lineRule="exact"/>
              <w:rPr>
                <w:rFonts w:ascii="宋体" w:hAnsi="宋体" w:cs="宋体"/>
                <w:spacing w:val="2"/>
                <w:szCs w:val="21"/>
              </w:rPr>
            </w:pPr>
            <w:r>
              <w:rPr>
                <w:rFonts w:hint="eastAsia" w:ascii="宋体" w:hAnsi="宋体" w:cs="宋体"/>
                <w:spacing w:val="2"/>
                <w:szCs w:val="21"/>
              </w:rPr>
              <w:t>2.危险、有害因素识别、评价不全面或不正确，一项扣1分。</w:t>
            </w:r>
          </w:p>
        </w:tc>
        <w:tc>
          <w:tcPr>
            <w:tcW w:w="1165" w:type="dxa"/>
            <w:vAlign w:val="center"/>
          </w:tcPr>
          <w:p>
            <w:pPr>
              <w:jc w:val="center"/>
              <w:rPr>
                <w:rFonts w:ascii="宋体" w:hAnsi="宋体" w:cs="宋体"/>
                <w:szCs w:val="21"/>
              </w:rPr>
            </w:pPr>
            <w:r>
              <w:rPr>
                <w:rFonts w:hint="eastAsia" w:ascii="宋体" w:hAnsi="宋体" w:cs="宋体"/>
                <w:szCs w:val="21"/>
              </w:rPr>
              <w:t>符合要求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771" w:type="dxa"/>
            <w:vMerge w:val="continue"/>
          </w:tcPr>
          <w:p>
            <w:pPr>
              <w:spacing w:line="280" w:lineRule="exact"/>
              <w:rPr>
                <w:rFonts w:ascii="宋体" w:hAnsi="宋体" w:cs="宋体"/>
                <w:b/>
                <w:bCs/>
                <w:szCs w:val="21"/>
              </w:rPr>
            </w:pPr>
          </w:p>
        </w:tc>
        <w:tc>
          <w:tcPr>
            <w:tcW w:w="709" w:type="dxa"/>
            <w:vMerge w:val="continue"/>
          </w:tcPr>
          <w:p>
            <w:pPr>
              <w:spacing w:line="280" w:lineRule="exact"/>
              <w:rPr>
                <w:rFonts w:ascii="宋体" w:hAnsi="宋体" w:cs="宋体"/>
                <w:b/>
                <w:bCs/>
                <w:szCs w:val="21"/>
              </w:rPr>
            </w:pPr>
          </w:p>
        </w:tc>
        <w:tc>
          <w:tcPr>
            <w:tcW w:w="2409" w:type="dxa"/>
          </w:tcPr>
          <w:p>
            <w:pPr>
              <w:spacing w:line="280" w:lineRule="exact"/>
              <w:rPr>
                <w:rFonts w:ascii="宋体" w:hAnsi="宋体" w:cs="宋体"/>
                <w:spacing w:val="2"/>
                <w:szCs w:val="21"/>
              </w:rPr>
            </w:pPr>
            <w:r>
              <w:rPr>
                <w:rFonts w:hint="eastAsia" w:ascii="宋体" w:hAnsi="宋体" w:cs="宋体"/>
                <w:spacing w:val="2"/>
                <w:szCs w:val="21"/>
              </w:rPr>
              <w:t>2.企业各级管理人员应参与风险评价工作，鼓励从业人员积极参与风险评价和风险控制。</w:t>
            </w:r>
          </w:p>
        </w:tc>
        <w:tc>
          <w:tcPr>
            <w:tcW w:w="2268" w:type="dxa"/>
          </w:tcPr>
          <w:p>
            <w:pPr>
              <w:spacing w:line="280" w:lineRule="exact"/>
              <w:rPr>
                <w:rFonts w:ascii="宋体" w:hAnsi="宋体" w:cs="宋体"/>
                <w:spacing w:val="2"/>
                <w:szCs w:val="21"/>
              </w:rPr>
            </w:pPr>
            <w:r>
              <w:rPr>
                <w:rFonts w:hint="eastAsia" w:ascii="宋体" w:hAnsi="宋体" w:cs="宋体"/>
                <w:spacing w:val="2"/>
                <w:szCs w:val="21"/>
              </w:rPr>
              <w:t>1.厂级评价组织应有企业负责人参加；</w:t>
            </w:r>
          </w:p>
          <w:p>
            <w:pPr>
              <w:spacing w:line="280" w:lineRule="exact"/>
              <w:rPr>
                <w:rFonts w:ascii="宋体" w:hAnsi="宋体" w:cs="宋体"/>
                <w:spacing w:val="2"/>
                <w:szCs w:val="21"/>
              </w:rPr>
            </w:pPr>
            <w:r>
              <w:rPr>
                <w:rFonts w:hint="eastAsia" w:ascii="宋体" w:hAnsi="宋体" w:cs="宋体"/>
                <w:spacing w:val="2"/>
                <w:szCs w:val="21"/>
              </w:rPr>
              <w:t>2.车间级评价组织应有车间负责人参加；</w:t>
            </w:r>
          </w:p>
          <w:p>
            <w:pPr>
              <w:spacing w:line="280" w:lineRule="exact"/>
              <w:rPr>
                <w:rFonts w:ascii="宋体" w:hAnsi="宋体" w:cs="宋体"/>
                <w:spacing w:val="2"/>
                <w:szCs w:val="21"/>
              </w:rPr>
            </w:pPr>
            <w:r>
              <w:rPr>
                <w:rFonts w:hint="eastAsia" w:ascii="宋体" w:hAnsi="宋体" w:cs="宋体"/>
                <w:spacing w:val="2"/>
                <w:szCs w:val="21"/>
              </w:rPr>
              <w:t>3.所有从业人员应参与风险评价和风险控制。</w:t>
            </w:r>
          </w:p>
        </w:tc>
        <w:tc>
          <w:tcPr>
            <w:tcW w:w="2268" w:type="dxa"/>
          </w:tcPr>
          <w:p>
            <w:pPr>
              <w:spacing w:line="280" w:lineRule="exact"/>
              <w:rPr>
                <w:rFonts w:ascii="宋体" w:hAnsi="宋体" w:cs="宋体"/>
                <w:spacing w:val="2"/>
                <w:szCs w:val="21"/>
              </w:rPr>
            </w:pPr>
            <w:r>
              <w:rPr>
                <w:rFonts w:hint="eastAsia" w:ascii="宋体" w:hAnsi="宋体" w:cs="宋体"/>
                <w:spacing w:val="2"/>
                <w:szCs w:val="21"/>
              </w:rPr>
              <w:t>查文件：</w:t>
            </w:r>
          </w:p>
          <w:p>
            <w:pPr>
              <w:spacing w:line="280" w:lineRule="exact"/>
              <w:rPr>
                <w:rFonts w:ascii="宋体" w:hAnsi="宋体" w:cs="宋体"/>
                <w:spacing w:val="2"/>
                <w:szCs w:val="21"/>
              </w:rPr>
            </w:pPr>
            <w:r>
              <w:rPr>
                <w:rFonts w:hint="eastAsia" w:ascii="宋体" w:hAnsi="宋体" w:cs="宋体"/>
                <w:spacing w:val="2"/>
                <w:szCs w:val="21"/>
              </w:rPr>
              <w:t>1.各级机构组织开展风险评价的有关文件；</w:t>
            </w:r>
          </w:p>
          <w:p>
            <w:pPr>
              <w:spacing w:line="280" w:lineRule="exact"/>
              <w:rPr>
                <w:rFonts w:ascii="宋体" w:hAnsi="宋体" w:cs="宋体"/>
                <w:spacing w:val="2"/>
                <w:szCs w:val="21"/>
              </w:rPr>
            </w:pPr>
            <w:r>
              <w:rPr>
                <w:rFonts w:hint="eastAsia" w:ascii="宋体" w:hAnsi="宋体" w:cs="宋体"/>
                <w:spacing w:val="2"/>
                <w:szCs w:val="21"/>
              </w:rPr>
              <w:t>2.风险分析记录、风险评价报告；</w:t>
            </w:r>
          </w:p>
          <w:p>
            <w:pPr>
              <w:spacing w:line="280" w:lineRule="exact"/>
              <w:rPr>
                <w:rFonts w:ascii="宋体" w:hAnsi="宋体" w:cs="宋体"/>
                <w:spacing w:val="2"/>
                <w:szCs w:val="21"/>
              </w:rPr>
            </w:pPr>
            <w:r>
              <w:rPr>
                <w:rFonts w:hint="eastAsia" w:ascii="宋体" w:hAnsi="宋体" w:cs="宋体"/>
                <w:spacing w:val="2"/>
                <w:szCs w:val="21"/>
              </w:rPr>
              <w:t>3.风险评价有关会议记录或纪要。</w:t>
            </w:r>
          </w:p>
          <w:p>
            <w:pPr>
              <w:spacing w:line="280" w:lineRule="exact"/>
              <w:rPr>
                <w:rFonts w:ascii="宋体" w:hAnsi="宋体" w:cs="宋体"/>
                <w:spacing w:val="2"/>
                <w:szCs w:val="21"/>
              </w:rPr>
            </w:pPr>
            <w:r>
              <w:rPr>
                <w:rFonts w:hint="eastAsia" w:ascii="宋体" w:hAnsi="宋体" w:cs="宋体"/>
                <w:spacing w:val="2"/>
                <w:szCs w:val="21"/>
              </w:rPr>
              <w:t>询问：</w:t>
            </w:r>
          </w:p>
          <w:p>
            <w:pPr>
              <w:spacing w:line="280" w:lineRule="exact"/>
              <w:rPr>
                <w:rFonts w:ascii="宋体" w:hAnsi="宋体" w:cs="宋体"/>
                <w:spacing w:val="2"/>
                <w:szCs w:val="21"/>
              </w:rPr>
            </w:pPr>
            <w:r>
              <w:rPr>
                <w:rFonts w:hint="eastAsia" w:ascii="宋体" w:hAnsi="宋体" w:cs="宋体"/>
                <w:spacing w:val="2"/>
                <w:szCs w:val="21"/>
              </w:rPr>
              <w:t>有关企业负责人及从业人员是否参与风险评价工作。</w:t>
            </w:r>
          </w:p>
        </w:tc>
        <w:tc>
          <w:tcPr>
            <w:tcW w:w="1701" w:type="dxa"/>
          </w:tcPr>
          <w:p>
            <w:pPr>
              <w:spacing w:line="280" w:lineRule="exact"/>
              <w:rPr>
                <w:rFonts w:ascii="宋体" w:hAnsi="宋体" w:cs="宋体"/>
                <w:spacing w:val="2"/>
                <w:szCs w:val="21"/>
              </w:rPr>
            </w:pPr>
          </w:p>
        </w:tc>
        <w:tc>
          <w:tcPr>
            <w:tcW w:w="2268" w:type="dxa"/>
          </w:tcPr>
          <w:p>
            <w:pPr>
              <w:spacing w:line="280" w:lineRule="exact"/>
              <w:rPr>
                <w:rFonts w:ascii="宋体" w:hAnsi="宋体" w:cs="宋体"/>
                <w:spacing w:val="2"/>
                <w:szCs w:val="21"/>
              </w:rPr>
            </w:pPr>
            <w:r>
              <w:rPr>
                <w:rFonts w:hint="eastAsia" w:ascii="宋体" w:hAnsi="宋体" w:cs="宋体"/>
                <w:spacing w:val="2"/>
                <w:szCs w:val="21"/>
              </w:rPr>
              <w:t>1.没有组织开展风险评价的文件，一项扣2分；</w:t>
            </w:r>
          </w:p>
          <w:p>
            <w:pPr>
              <w:spacing w:line="280" w:lineRule="exact"/>
              <w:rPr>
                <w:rFonts w:ascii="宋体" w:hAnsi="宋体" w:cs="宋体"/>
                <w:spacing w:val="2"/>
                <w:szCs w:val="21"/>
              </w:rPr>
            </w:pPr>
            <w:r>
              <w:rPr>
                <w:rFonts w:hint="eastAsia" w:ascii="宋体" w:hAnsi="宋体" w:cs="宋体"/>
                <w:spacing w:val="2"/>
                <w:szCs w:val="21"/>
              </w:rPr>
              <w:t>2.各级管理人员及从业人员未参与风险评价工作，1人次扣1分。</w:t>
            </w:r>
          </w:p>
        </w:tc>
        <w:tc>
          <w:tcPr>
            <w:tcW w:w="1165" w:type="dxa"/>
            <w:vAlign w:val="center"/>
          </w:tcPr>
          <w:p>
            <w:pPr>
              <w:jc w:val="center"/>
              <w:rPr>
                <w:rFonts w:ascii="宋体" w:hAnsi="宋体" w:cs="宋体"/>
                <w:b/>
                <w:bCs/>
                <w:szCs w:val="21"/>
              </w:rPr>
            </w:pPr>
            <w:r>
              <w:rPr>
                <w:rFonts w:hint="eastAsia" w:ascii="宋体" w:hAnsi="宋体" w:cs="宋体"/>
                <w:spacing w:val="2"/>
                <w:szCs w:val="21"/>
              </w:rPr>
              <w:t>个别人员不清楚风险评价方法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771" w:type="dxa"/>
            <w:vMerge w:val="continue"/>
          </w:tcPr>
          <w:p>
            <w:pPr>
              <w:spacing w:line="280" w:lineRule="exact"/>
              <w:rPr>
                <w:rFonts w:ascii="宋体" w:hAnsi="宋体" w:cs="宋体"/>
                <w:b/>
                <w:bCs/>
                <w:szCs w:val="21"/>
              </w:rPr>
            </w:pPr>
          </w:p>
        </w:tc>
        <w:tc>
          <w:tcPr>
            <w:tcW w:w="709" w:type="dxa"/>
            <w:vMerge w:val="restart"/>
          </w:tcPr>
          <w:p>
            <w:pPr>
              <w:spacing w:line="280" w:lineRule="exact"/>
              <w:rPr>
                <w:rFonts w:ascii="宋体" w:hAnsi="宋体" w:cs="宋体"/>
                <w:b/>
                <w:bCs/>
                <w:szCs w:val="21"/>
              </w:rPr>
            </w:pPr>
            <w:r>
              <w:rPr>
                <w:rFonts w:hint="eastAsia" w:ascii="宋体" w:hAnsi="宋体" w:cs="宋体"/>
                <w:b/>
                <w:bCs/>
                <w:szCs w:val="21"/>
              </w:rPr>
              <w:t>3.3</w:t>
            </w:r>
          </w:p>
          <w:p>
            <w:pPr>
              <w:spacing w:line="280" w:lineRule="exact"/>
              <w:rPr>
                <w:rFonts w:ascii="宋体" w:hAnsi="宋体" w:cs="宋体"/>
                <w:b/>
                <w:bCs/>
                <w:szCs w:val="21"/>
              </w:rPr>
            </w:pPr>
            <w:r>
              <w:rPr>
                <w:rFonts w:hint="eastAsia" w:ascii="宋体" w:hAnsi="宋体" w:cs="宋体"/>
                <w:b/>
                <w:bCs/>
                <w:szCs w:val="21"/>
              </w:rPr>
              <w:t>风险控制</w:t>
            </w:r>
          </w:p>
          <w:p>
            <w:pPr>
              <w:spacing w:line="280" w:lineRule="exact"/>
              <w:rPr>
                <w:rFonts w:ascii="宋体" w:hAnsi="宋体" w:cs="宋体"/>
                <w:b/>
                <w:bCs/>
                <w:szCs w:val="21"/>
              </w:rPr>
            </w:pPr>
            <w:r>
              <w:rPr>
                <w:rFonts w:hint="eastAsia" w:ascii="宋体" w:hAnsi="宋体" w:cs="宋体"/>
                <w:b/>
                <w:bCs/>
                <w:szCs w:val="21"/>
              </w:rPr>
              <w:t>（15分）</w:t>
            </w:r>
          </w:p>
        </w:tc>
        <w:tc>
          <w:tcPr>
            <w:tcW w:w="2409" w:type="dxa"/>
          </w:tcPr>
          <w:p>
            <w:pPr>
              <w:spacing w:line="280" w:lineRule="exact"/>
              <w:rPr>
                <w:rFonts w:ascii="宋体" w:hAnsi="宋体" w:cs="宋体"/>
                <w:spacing w:val="2"/>
                <w:szCs w:val="21"/>
              </w:rPr>
            </w:pPr>
            <w:r>
              <w:rPr>
                <w:rFonts w:hint="eastAsia" w:ascii="宋体" w:hAnsi="宋体" w:cs="宋体"/>
                <w:spacing w:val="2"/>
                <w:szCs w:val="21"/>
              </w:rPr>
              <w:t>1.企业应根据风险评价结果及经营运行情况等，确定不可接受的风险，制定并落实控制措施，将风险尤其是重大风险控制在可以接受的程度。企业在选择风险控制措施时：</w:t>
            </w:r>
          </w:p>
          <w:p>
            <w:pPr>
              <w:spacing w:line="280" w:lineRule="exact"/>
              <w:rPr>
                <w:rFonts w:ascii="宋体" w:hAnsi="宋体" w:cs="宋体"/>
                <w:spacing w:val="2"/>
                <w:szCs w:val="21"/>
              </w:rPr>
            </w:pPr>
            <w:r>
              <w:rPr>
                <w:rFonts w:hint="eastAsia" w:ascii="宋体" w:hAnsi="宋体" w:cs="宋体"/>
                <w:spacing w:val="2"/>
                <w:szCs w:val="21"/>
              </w:rPr>
              <w:t>1）应考虑：</w:t>
            </w:r>
          </w:p>
          <w:p>
            <w:pPr>
              <w:spacing w:line="280" w:lineRule="exact"/>
              <w:rPr>
                <w:rFonts w:ascii="宋体" w:hAnsi="宋体" w:cs="宋体"/>
                <w:spacing w:val="2"/>
                <w:szCs w:val="21"/>
              </w:rPr>
            </w:pPr>
            <w:r>
              <w:rPr>
                <w:rFonts w:hint="eastAsia" w:ascii="宋体" w:hAnsi="宋体" w:cs="宋体"/>
                <w:spacing w:val="2"/>
                <w:szCs w:val="21"/>
              </w:rPr>
              <w:t>⑴可行性；</w:t>
            </w:r>
          </w:p>
          <w:p>
            <w:pPr>
              <w:spacing w:line="280" w:lineRule="exact"/>
              <w:rPr>
                <w:rFonts w:ascii="宋体" w:hAnsi="宋体" w:cs="宋体"/>
                <w:spacing w:val="2"/>
                <w:szCs w:val="21"/>
              </w:rPr>
            </w:pPr>
            <w:r>
              <w:rPr>
                <w:rFonts w:hint="eastAsia" w:ascii="宋体" w:hAnsi="宋体" w:cs="宋体"/>
                <w:spacing w:val="2"/>
                <w:szCs w:val="21"/>
              </w:rPr>
              <w:t>⑵安全性；</w:t>
            </w:r>
          </w:p>
          <w:p>
            <w:pPr>
              <w:spacing w:line="280" w:lineRule="exact"/>
              <w:rPr>
                <w:rFonts w:ascii="宋体" w:hAnsi="宋体" w:cs="宋体"/>
                <w:spacing w:val="2"/>
                <w:szCs w:val="21"/>
              </w:rPr>
            </w:pPr>
            <w:r>
              <w:rPr>
                <w:rFonts w:hint="eastAsia" w:ascii="宋体" w:hAnsi="宋体" w:cs="宋体"/>
                <w:spacing w:val="2"/>
                <w:szCs w:val="21"/>
              </w:rPr>
              <w:t>⑶可靠性。</w:t>
            </w:r>
          </w:p>
          <w:p>
            <w:pPr>
              <w:spacing w:line="280" w:lineRule="exact"/>
              <w:rPr>
                <w:rFonts w:ascii="宋体" w:hAnsi="宋体" w:cs="宋体"/>
                <w:spacing w:val="2"/>
                <w:szCs w:val="21"/>
              </w:rPr>
            </w:pPr>
            <w:r>
              <w:rPr>
                <w:rFonts w:hint="eastAsia" w:ascii="宋体" w:hAnsi="宋体" w:cs="宋体"/>
                <w:spacing w:val="2"/>
                <w:szCs w:val="21"/>
              </w:rPr>
              <w:t>2）应包括：</w:t>
            </w:r>
          </w:p>
          <w:p>
            <w:pPr>
              <w:spacing w:line="280" w:lineRule="exact"/>
              <w:rPr>
                <w:rFonts w:ascii="宋体" w:hAnsi="宋体" w:cs="宋体"/>
                <w:spacing w:val="2"/>
                <w:szCs w:val="21"/>
              </w:rPr>
            </w:pPr>
            <w:r>
              <w:rPr>
                <w:rFonts w:hint="eastAsia" w:ascii="宋体" w:hAnsi="宋体" w:cs="宋体"/>
                <w:spacing w:val="2"/>
                <w:szCs w:val="21"/>
              </w:rPr>
              <w:t>⑴工程技术措施；</w:t>
            </w:r>
          </w:p>
          <w:p>
            <w:pPr>
              <w:spacing w:line="280" w:lineRule="exact"/>
              <w:rPr>
                <w:rFonts w:ascii="宋体" w:hAnsi="宋体" w:cs="宋体"/>
                <w:spacing w:val="2"/>
                <w:szCs w:val="21"/>
              </w:rPr>
            </w:pPr>
            <w:r>
              <w:rPr>
                <w:rFonts w:hint="eastAsia" w:ascii="宋体" w:hAnsi="宋体" w:cs="宋体"/>
                <w:spacing w:val="2"/>
                <w:szCs w:val="21"/>
              </w:rPr>
              <w:t>⑵管理措施；</w:t>
            </w:r>
          </w:p>
          <w:p>
            <w:pPr>
              <w:spacing w:line="280" w:lineRule="exact"/>
              <w:rPr>
                <w:rFonts w:ascii="宋体" w:hAnsi="宋体" w:cs="宋体"/>
                <w:spacing w:val="2"/>
                <w:szCs w:val="21"/>
              </w:rPr>
            </w:pPr>
            <w:r>
              <w:rPr>
                <w:rFonts w:hint="eastAsia" w:ascii="宋体" w:hAnsi="宋体" w:cs="宋体"/>
                <w:spacing w:val="2"/>
                <w:szCs w:val="21"/>
              </w:rPr>
              <w:t>⑶培训教育措施；</w:t>
            </w:r>
          </w:p>
          <w:p>
            <w:pPr>
              <w:spacing w:line="280" w:lineRule="exact"/>
              <w:rPr>
                <w:rFonts w:ascii="宋体" w:hAnsi="宋体" w:cs="宋体"/>
                <w:spacing w:val="2"/>
                <w:szCs w:val="21"/>
              </w:rPr>
            </w:pPr>
            <w:r>
              <w:rPr>
                <w:rFonts w:hint="eastAsia" w:ascii="宋体" w:hAnsi="宋体" w:cs="宋体"/>
                <w:spacing w:val="2"/>
                <w:szCs w:val="21"/>
              </w:rPr>
              <w:t>⑷个体防护措施。</w:t>
            </w:r>
          </w:p>
        </w:tc>
        <w:tc>
          <w:tcPr>
            <w:tcW w:w="2268" w:type="dxa"/>
          </w:tcPr>
          <w:p>
            <w:pPr>
              <w:spacing w:line="280" w:lineRule="exact"/>
              <w:rPr>
                <w:rFonts w:ascii="宋体" w:hAnsi="宋体" w:cs="宋体"/>
                <w:spacing w:val="2"/>
                <w:szCs w:val="21"/>
              </w:rPr>
            </w:pPr>
            <w:r>
              <w:rPr>
                <w:rFonts w:hint="eastAsia" w:ascii="宋体" w:hAnsi="宋体" w:cs="宋体"/>
                <w:spacing w:val="2"/>
                <w:szCs w:val="21"/>
              </w:rPr>
              <w:t>1.根据风险评价的结果，建立重大风险清单；</w:t>
            </w:r>
          </w:p>
          <w:p>
            <w:pPr>
              <w:spacing w:line="280" w:lineRule="exact"/>
              <w:rPr>
                <w:rFonts w:ascii="宋体" w:hAnsi="宋体" w:cs="宋体"/>
                <w:spacing w:val="2"/>
                <w:szCs w:val="21"/>
              </w:rPr>
            </w:pPr>
            <w:r>
              <w:rPr>
                <w:rFonts w:hint="eastAsia" w:ascii="宋体" w:hAnsi="宋体" w:cs="宋体"/>
                <w:spacing w:val="2"/>
                <w:szCs w:val="21"/>
              </w:rPr>
              <w:t>2.结合实际情况，确定优先顺序，制定措施消减风险，将风险控制在可以接受的程度；</w:t>
            </w:r>
          </w:p>
          <w:p>
            <w:pPr>
              <w:spacing w:line="280" w:lineRule="exact"/>
              <w:rPr>
                <w:rFonts w:ascii="宋体" w:hAnsi="宋体" w:cs="宋体"/>
                <w:spacing w:val="2"/>
                <w:szCs w:val="21"/>
              </w:rPr>
            </w:pPr>
            <w:r>
              <w:rPr>
                <w:rFonts w:hint="eastAsia" w:ascii="宋体" w:hAnsi="宋体" w:cs="宋体"/>
                <w:spacing w:val="2"/>
                <w:szCs w:val="21"/>
              </w:rPr>
              <w:t>3.风险控制措施符合标准要求。</w:t>
            </w:r>
          </w:p>
        </w:tc>
        <w:tc>
          <w:tcPr>
            <w:tcW w:w="2268" w:type="dxa"/>
          </w:tcPr>
          <w:p>
            <w:pPr>
              <w:spacing w:line="280" w:lineRule="exact"/>
              <w:rPr>
                <w:rFonts w:ascii="宋体" w:hAnsi="宋体" w:cs="宋体"/>
                <w:spacing w:val="2"/>
                <w:szCs w:val="21"/>
              </w:rPr>
            </w:pPr>
            <w:r>
              <w:rPr>
                <w:rFonts w:hint="eastAsia" w:ascii="宋体" w:hAnsi="宋体" w:cs="宋体"/>
                <w:spacing w:val="2"/>
                <w:szCs w:val="21"/>
              </w:rPr>
              <w:t>查文件：</w:t>
            </w:r>
          </w:p>
          <w:p>
            <w:pPr>
              <w:spacing w:line="280" w:lineRule="exact"/>
              <w:rPr>
                <w:rFonts w:ascii="宋体" w:hAnsi="宋体" w:cs="宋体"/>
                <w:spacing w:val="2"/>
                <w:szCs w:val="21"/>
              </w:rPr>
            </w:pPr>
            <w:r>
              <w:rPr>
                <w:rFonts w:hint="eastAsia" w:ascii="宋体" w:hAnsi="宋体" w:cs="宋体"/>
                <w:spacing w:val="2"/>
                <w:szCs w:val="21"/>
              </w:rPr>
              <w:t>1.重大风险清单；</w:t>
            </w:r>
          </w:p>
          <w:p>
            <w:pPr>
              <w:spacing w:line="280" w:lineRule="exact"/>
              <w:rPr>
                <w:rFonts w:ascii="宋体" w:hAnsi="宋体" w:cs="宋体"/>
                <w:spacing w:val="2"/>
                <w:szCs w:val="21"/>
              </w:rPr>
            </w:pPr>
            <w:r>
              <w:rPr>
                <w:rFonts w:hint="eastAsia" w:ascii="宋体" w:hAnsi="宋体" w:cs="宋体"/>
                <w:spacing w:val="2"/>
                <w:szCs w:val="21"/>
              </w:rPr>
              <w:t>2.风险控制措施；</w:t>
            </w:r>
          </w:p>
          <w:p>
            <w:pPr>
              <w:spacing w:line="280" w:lineRule="exact"/>
              <w:rPr>
                <w:rFonts w:ascii="宋体" w:hAnsi="宋体" w:cs="宋体"/>
                <w:spacing w:val="2"/>
                <w:szCs w:val="21"/>
              </w:rPr>
            </w:pPr>
            <w:r>
              <w:rPr>
                <w:rFonts w:hint="eastAsia" w:ascii="宋体" w:hAnsi="宋体" w:cs="宋体"/>
                <w:spacing w:val="2"/>
                <w:szCs w:val="21"/>
              </w:rPr>
              <w:t>3.风险评价记录，风险评价报告。</w:t>
            </w:r>
          </w:p>
          <w:p>
            <w:pPr>
              <w:spacing w:line="280" w:lineRule="exact"/>
              <w:rPr>
                <w:rFonts w:ascii="宋体" w:hAnsi="宋体" w:cs="宋体"/>
                <w:spacing w:val="2"/>
                <w:szCs w:val="21"/>
              </w:rPr>
            </w:pPr>
            <w:r>
              <w:rPr>
                <w:rFonts w:hint="eastAsia" w:ascii="宋体" w:hAnsi="宋体" w:cs="宋体"/>
                <w:spacing w:val="2"/>
                <w:szCs w:val="21"/>
              </w:rPr>
              <w:t>现场检查：</w:t>
            </w:r>
          </w:p>
          <w:p>
            <w:pPr>
              <w:spacing w:line="280" w:lineRule="exact"/>
              <w:rPr>
                <w:rFonts w:ascii="宋体" w:hAnsi="宋体" w:cs="宋体"/>
                <w:spacing w:val="2"/>
                <w:szCs w:val="21"/>
              </w:rPr>
            </w:pPr>
            <w:r>
              <w:rPr>
                <w:rFonts w:hint="eastAsia" w:ascii="宋体" w:hAnsi="宋体" w:cs="宋体"/>
                <w:spacing w:val="2"/>
                <w:szCs w:val="21"/>
              </w:rPr>
              <w:t>重大风险控制措施现场落实情况。</w:t>
            </w:r>
          </w:p>
        </w:tc>
        <w:tc>
          <w:tcPr>
            <w:tcW w:w="1701" w:type="dxa"/>
          </w:tcPr>
          <w:p>
            <w:pPr>
              <w:spacing w:line="280" w:lineRule="exact"/>
              <w:rPr>
                <w:rFonts w:ascii="宋体" w:hAnsi="宋体" w:cs="宋体"/>
                <w:b/>
                <w:bCs/>
                <w:spacing w:val="2"/>
                <w:szCs w:val="21"/>
              </w:rPr>
            </w:pPr>
            <w:r>
              <w:rPr>
                <w:rFonts w:hint="eastAsia" w:ascii="宋体" w:hAnsi="宋体" w:cs="宋体"/>
                <w:b/>
                <w:bCs/>
                <w:spacing w:val="2"/>
                <w:szCs w:val="21"/>
              </w:rPr>
              <w:t>未将重大风险降到可以接受的程度，扣15分（B级否决项）。</w:t>
            </w:r>
          </w:p>
        </w:tc>
        <w:tc>
          <w:tcPr>
            <w:tcW w:w="2268" w:type="dxa"/>
          </w:tcPr>
          <w:p>
            <w:pPr>
              <w:spacing w:line="280" w:lineRule="exact"/>
              <w:rPr>
                <w:rFonts w:ascii="宋体" w:hAnsi="宋体" w:cs="宋体"/>
                <w:spacing w:val="2"/>
                <w:szCs w:val="21"/>
              </w:rPr>
            </w:pPr>
            <w:r>
              <w:rPr>
                <w:rFonts w:hint="eastAsia" w:ascii="宋体" w:hAnsi="宋体" w:cs="宋体"/>
                <w:spacing w:val="2"/>
                <w:szCs w:val="21"/>
              </w:rPr>
              <w:t>1.未建立重大风险清单，扣1分；</w:t>
            </w:r>
          </w:p>
          <w:p>
            <w:pPr>
              <w:spacing w:line="280" w:lineRule="exact"/>
              <w:rPr>
                <w:rFonts w:ascii="宋体" w:hAnsi="宋体" w:cs="宋体"/>
                <w:spacing w:val="2"/>
                <w:szCs w:val="21"/>
              </w:rPr>
            </w:pPr>
            <w:r>
              <w:rPr>
                <w:rFonts w:hint="eastAsia" w:ascii="宋体" w:hAnsi="宋体" w:cs="宋体"/>
                <w:spacing w:val="2"/>
                <w:szCs w:val="21"/>
              </w:rPr>
              <w:t>2.风险控制措施缺乏针对性、可操作性和可靠性，一项扣1分。</w:t>
            </w:r>
          </w:p>
          <w:p>
            <w:pPr>
              <w:spacing w:line="280" w:lineRule="exact"/>
              <w:rPr>
                <w:rFonts w:ascii="宋体" w:hAnsi="宋体" w:cs="宋体"/>
                <w:spacing w:val="2"/>
                <w:szCs w:val="21"/>
              </w:rPr>
            </w:pPr>
          </w:p>
        </w:tc>
        <w:tc>
          <w:tcPr>
            <w:tcW w:w="1165" w:type="dxa"/>
            <w:vAlign w:val="center"/>
          </w:tcPr>
          <w:p>
            <w:pPr>
              <w:jc w:val="center"/>
              <w:rPr>
                <w:rFonts w:ascii="宋体" w:hAnsi="宋体" w:cs="宋体"/>
                <w:szCs w:val="21"/>
              </w:rPr>
            </w:pPr>
            <w:r>
              <w:rPr>
                <w:rFonts w:hint="eastAsia" w:ascii="宋体" w:hAnsi="宋体" w:cs="宋体"/>
                <w:spacing w:val="2"/>
                <w:szCs w:val="21"/>
              </w:rPr>
              <w:t>部分风险控制措施缺乏针对性、可操作性和可靠性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771" w:type="dxa"/>
            <w:vMerge w:val="continue"/>
          </w:tcPr>
          <w:p>
            <w:pPr>
              <w:spacing w:line="280" w:lineRule="exact"/>
              <w:rPr>
                <w:rFonts w:ascii="宋体" w:hAnsi="宋体" w:cs="宋体"/>
                <w:b/>
                <w:bCs/>
                <w:szCs w:val="21"/>
              </w:rPr>
            </w:pPr>
          </w:p>
        </w:tc>
        <w:tc>
          <w:tcPr>
            <w:tcW w:w="709" w:type="dxa"/>
            <w:vMerge w:val="continue"/>
          </w:tcPr>
          <w:p>
            <w:pPr>
              <w:spacing w:line="280" w:lineRule="exact"/>
              <w:rPr>
                <w:rFonts w:ascii="宋体" w:hAnsi="宋体" w:cs="宋体"/>
                <w:b/>
                <w:bCs/>
                <w:szCs w:val="21"/>
              </w:rPr>
            </w:pPr>
          </w:p>
        </w:tc>
        <w:tc>
          <w:tcPr>
            <w:tcW w:w="2409" w:type="dxa"/>
          </w:tcPr>
          <w:p>
            <w:pPr>
              <w:spacing w:line="280" w:lineRule="exact"/>
              <w:rPr>
                <w:rFonts w:ascii="宋体" w:hAnsi="宋体" w:cs="宋体"/>
                <w:spacing w:val="2"/>
                <w:szCs w:val="21"/>
              </w:rPr>
            </w:pPr>
            <w:r>
              <w:rPr>
                <w:rFonts w:hint="eastAsia" w:ascii="宋体" w:hAnsi="宋体" w:cs="宋体"/>
                <w:spacing w:val="2"/>
                <w:szCs w:val="21"/>
              </w:rPr>
              <w:t>2.企业应将风险评价的结果及所采取的控制措施对从业人员进行宣传、培训，使其熟悉工作岗位和作业环境中存在的危险、有害因素，掌握、落实应采取的控制措施。</w:t>
            </w:r>
          </w:p>
        </w:tc>
        <w:tc>
          <w:tcPr>
            <w:tcW w:w="2268" w:type="dxa"/>
          </w:tcPr>
          <w:p>
            <w:pPr>
              <w:spacing w:line="280" w:lineRule="exact"/>
              <w:rPr>
                <w:rFonts w:ascii="宋体" w:hAnsi="宋体" w:cs="宋体"/>
                <w:spacing w:val="2"/>
                <w:szCs w:val="21"/>
              </w:rPr>
            </w:pPr>
            <w:r>
              <w:rPr>
                <w:rFonts w:hint="eastAsia" w:ascii="宋体" w:hAnsi="宋体" w:cs="宋体"/>
                <w:spacing w:val="2"/>
                <w:szCs w:val="21"/>
              </w:rPr>
              <w:t>1.制定风险管理培训计划；</w:t>
            </w:r>
          </w:p>
          <w:p>
            <w:pPr>
              <w:spacing w:line="280" w:lineRule="exact"/>
              <w:rPr>
                <w:rFonts w:ascii="宋体" w:hAnsi="宋体" w:cs="宋体"/>
                <w:spacing w:val="2"/>
                <w:szCs w:val="21"/>
              </w:rPr>
            </w:pPr>
            <w:r>
              <w:rPr>
                <w:rFonts w:hint="eastAsia" w:ascii="宋体" w:hAnsi="宋体" w:cs="宋体"/>
                <w:spacing w:val="2"/>
                <w:szCs w:val="21"/>
              </w:rPr>
              <w:t>2.按计划开展宣传、培训。</w:t>
            </w:r>
          </w:p>
        </w:tc>
        <w:tc>
          <w:tcPr>
            <w:tcW w:w="2268" w:type="dxa"/>
          </w:tcPr>
          <w:p>
            <w:pPr>
              <w:spacing w:line="280" w:lineRule="exact"/>
              <w:rPr>
                <w:rFonts w:ascii="宋体" w:hAnsi="宋体" w:cs="宋体"/>
                <w:spacing w:val="2"/>
                <w:szCs w:val="21"/>
              </w:rPr>
            </w:pPr>
            <w:r>
              <w:rPr>
                <w:rFonts w:hint="eastAsia" w:ascii="宋体" w:hAnsi="宋体" w:cs="宋体"/>
                <w:spacing w:val="2"/>
                <w:szCs w:val="21"/>
              </w:rPr>
              <w:t>查文件：</w:t>
            </w:r>
          </w:p>
          <w:p>
            <w:pPr>
              <w:spacing w:line="280" w:lineRule="exact"/>
              <w:rPr>
                <w:rFonts w:ascii="宋体" w:hAnsi="宋体" w:cs="宋体"/>
                <w:spacing w:val="2"/>
                <w:szCs w:val="21"/>
              </w:rPr>
            </w:pPr>
            <w:r>
              <w:rPr>
                <w:rFonts w:hint="eastAsia" w:ascii="宋体" w:hAnsi="宋体" w:cs="宋体"/>
                <w:spacing w:val="2"/>
                <w:szCs w:val="21"/>
              </w:rPr>
              <w:t>1.风险管理培训教育计划；</w:t>
            </w:r>
          </w:p>
          <w:p>
            <w:pPr>
              <w:spacing w:line="280" w:lineRule="exact"/>
              <w:rPr>
                <w:rFonts w:ascii="宋体" w:hAnsi="宋体" w:cs="宋体"/>
                <w:spacing w:val="2"/>
                <w:szCs w:val="21"/>
              </w:rPr>
            </w:pPr>
            <w:r>
              <w:rPr>
                <w:rFonts w:hint="eastAsia" w:ascii="宋体" w:hAnsi="宋体" w:cs="宋体"/>
                <w:spacing w:val="2"/>
                <w:szCs w:val="21"/>
              </w:rPr>
              <w:t>2.风险管理培训教育记录。</w:t>
            </w:r>
          </w:p>
          <w:p>
            <w:pPr>
              <w:spacing w:line="280" w:lineRule="exact"/>
              <w:rPr>
                <w:rFonts w:ascii="宋体" w:hAnsi="宋体" w:cs="宋体"/>
                <w:spacing w:val="2"/>
                <w:szCs w:val="21"/>
              </w:rPr>
            </w:pPr>
            <w:r>
              <w:rPr>
                <w:rFonts w:hint="eastAsia" w:ascii="宋体" w:hAnsi="宋体" w:cs="宋体"/>
                <w:spacing w:val="2"/>
                <w:szCs w:val="21"/>
              </w:rPr>
              <w:t>询问：</w:t>
            </w:r>
          </w:p>
          <w:p>
            <w:pPr>
              <w:spacing w:line="280" w:lineRule="exact"/>
              <w:rPr>
                <w:rFonts w:ascii="宋体" w:hAnsi="宋体" w:cs="宋体"/>
                <w:spacing w:val="2"/>
                <w:szCs w:val="21"/>
              </w:rPr>
            </w:pPr>
            <w:r>
              <w:rPr>
                <w:rFonts w:hint="eastAsia" w:ascii="宋体" w:hAnsi="宋体" w:cs="宋体"/>
                <w:spacing w:val="2"/>
                <w:szCs w:val="21"/>
              </w:rPr>
              <w:t>从业人员是否知道本岗位的危险、有害因素及应采取的控制措施。</w:t>
            </w:r>
          </w:p>
        </w:tc>
        <w:tc>
          <w:tcPr>
            <w:tcW w:w="1701" w:type="dxa"/>
          </w:tcPr>
          <w:p>
            <w:pPr>
              <w:spacing w:line="280" w:lineRule="exact"/>
              <w:rPr>
                <w:rFonts w:ascii="宋体" w:hAnsi="宋体" w:cs="宋体"/>
                <w:spacing w:val="2"/>
                <w:szCs w:val="21"/>
              </w:rPr>
            </w:pPr>
          </w:p>
        </w:tc>
        <w:tc>
          <w:tcPr>
            <w:tcW w:w="2268" w:type="dxa"/>
          </w:tcPr>
          <w:p>
            <w:pPr>
              <w:spacing w:line="280" w:lineRule="exact"/>
              <w:rPr>
                <w:rFonts w:ascii="宋体" w:hAnsi="宋体" w:cs="宋体"/>
                <w:spacing w:val="2"/>
                <w:szCs w:val="21"/>
              </w:rPr>
            </w:pPr>
            <w:r>
              <w:rPr>
                <w:rFonts w:hint="eastAsia" w:ascii="宋体" w:hAnsi="宋体" w:cs="宋体"/>
                <w:spacing w:val="2"/>
                <w:szCs w:val="21"/>
              </w:rPr>
              <w:t>1.没有风险管理培训教育计划，或培训教育记录缺少风险评价内容，一项扣2分；</w:t>
            </w:r>
          </w:p>
          <w:p>
            <w:pPr>
              <w:spacing w:line="280" w:lineRule="exact"/>
              <w:rPr>
                <w:rFonts w:ascii="宋体" w:hAnsi="宋体" w:cs="宋体"/>
                <w:spacing w:val="2"/>
                <w:szCs w:val="21"/>
              </w:rPr>
            </w:pPr>
            <w:r>
              <w:rPr>
                <w:rFonts w:hint="eastAsia" w:ascii="宋体" w:hAnsi="宋体" w:cs="宋体"/>
                <w:spacing w:val="2"/>
                <w:szCs w:val="21"/>
              </w:rPr>
              <w:t>2.从业人员不了解本岗位风险及其控制措施，1人次扣2分。</w:t>
            </w:r>
          </w:p>
        </w:tc>
        <w:tc>
          <w:tcPr>
            <w:tcW w:w="1165" w:type="dxa"/>
            <w:vAlign w:val="center"/>
          </w:tcPr>
          <w:p>
            <w:pPr>
              <w:jc w:val="center"/>
              <w:rPr>
                <w:rFonts w:ascii="宋体" w:hAnsi="宋体" w:cs="宋体"/>
                <w:szCs w:val="21"/>
              </w:rPr>
            </w:pPr>
            <w:r>
              <w:rPr>
                <w:rFonts w:hint="eastAsia" w:ascii="宋体" w:hAnsi="宋体" w:cs="宋体"/>
                <w:szCs w:val="21"/>
              </w:rPr>
              <w:t>符合要求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771" w:type="dxa"/>
            <w:vMerge w:val="continue"/>
          </w:tcPr>
          <w:p>
            <w:pPr>
              <w:spacing w:line="280" w:lineRule="exact"/>
              <w:rPr>
                <w:rFonts w:ascii="宋体" w:hAnsi="宋体" w:cs="宋体"/>
                <w:b/>
                <w:bCs/>
                <w:szCs w:val="21"/>
              </w:rPr>
            </w:pPr>
          </w:p>
        </w:tc>
        <w:tc>
          <w:tcPr>
            <w:tcW w:w="709" w:type="dxa"/>
            <w:vMerge w:val="restart"/>
          </w:tcPr>
          <w:p>
            <w:pPr>
              <w:spacing w:line="280" w:lineRule="exact"/>
              <w:rPr>
                <w:rFonts w:ascii="宋体" w:hAnsi="宋体" w:cs="宋体"/>
                <w:b/>
                <w:bCs/>
                <w:szCs w:val="21"/>
              </w:rPr>
            </w:pPr>
            <w:r>
              <w:rPr>
                <w:rFonts w:hint="eastAsia" w:ascii="宋体" w:hAnsi="宋体" w:cs="宋体"/>
                <w:b/>
                <w:bCs/>
                <w:szCs w:val="21"/>
              </w:rPr>
              <w:t>3.4</w:t>
            </w:r>
          </w:p>
          <w:p>
            <w:pPr>
              <w:spacing w:line="280" w:lineRule="exact"/>
              <w:rPr>
                <w:rFonts w:ascii="宋体" w:hAnsi="宋体" w:cs="宋体"/>
                <w:b/>
                <w:bCs/>
                <w:szCs w:val="21"/>
              </w:rPr>
            </w:pPr>
            <w:r>
              <w:rPr>
                <w:rFonts w:hint="eastAsia" w:ascii="宋体" w:hAnsi="宋体" w:cs="宋体"/>
                <w:b/>
                <w:bCs/>
                <w:szCs w:val="21"/>
              </w:rPr>
              <w:t>隐患排查与治理（20分）</w:t>
            </w:r>
          </w:p>
          <w:p>
            <w:pPr>
              <w:spacing w:line="280" w:lineRule="exact"/>
              <w:rPr>
                <w:rFonts w:ascii="宋体" w:hAnsi="宋体" w:cs="宋体"/>
                <w:b/>
                <w:bCs/>
                <w:szCs w:val="21"/>
              </w:rPr>
            </w:pPr>
          </w:p>
        </w:tc>
        <w:tc>
          <w:tcPr>
            <w:tcW w:w="2409" w:type="dxa"/>
          </w:tcPr>
          <w:p>
            <w:pPr>
              <w:spacing w:line="280" w:lineRule="exact"/>
              <w:rPr>
                <w:rFonts w:ascii="宋体" w:hAnsi="宋体" w:cs="宋体"/>
                <w:spacing w:val="2"/>
                <w:szCs w:val="21"/>
              </w:rPr>
            </w:pPr>
            <w:r>
              <w:rPr>
                <w:rFonts w:hint="eastAsia" w:ascii="宋体" w:hAnsi="宋体" w:cs="宋体"/>
                <w:spacing w:val="2"/>
                <w:szCs w:val="21"/>
              </w:rPr>
              <w:t>1.企业应对风险评价出的隐患项目,下达隐患治理通知，限期治理，做到定治理措施、定负责人、定资金来源、定治理期限。企业应建立隐患治理台账。</w:t>
            </w:r>
          </w:p>
        </w:tc>
        <w:tc>
          <w:tcPr>
            <w:tcW w:w="2268" w:type="dxa"/>
          </w:tcPr>
          <w:p>
            <w:pPr>
              <w:spacing w:line="280" w:lineRule="exact"/>
              <w:rPr>
                <w:rFonts w:ascii="宋体" w:hAnsi="宋体" w:cs="宋体"/>
                <w:spacing w:val="2"/>
                <w:szCs w:val="21"/>
              </w:rPr>
            </w:pPr>
            <w:r>
              <w:rPr>
                <w:rFonts w:hint="eastAsia" w:ascii="宋体" w:hAnsi="宋体" w:cs="宋体"/>
                <w:spacing w:val="2"/>
                <w:szCs w:val="21"/>
              </w:rPr>
              <w:t>1.建立隐患治理台账；</w:t>
            </w:r>
          </w:p>
          <w:p>
            <w:pPr>
              <w:spacing w:line="280" w:lineRule="exact"/>
              <w:rPr>
                <w:rFonts w:ascii="宋体" w:hAnsi="宋体" w:cs="宋体"/>
                <w:spacing w:val="2"/>
                <w:szCs w:val="21"/>
              </w:rPr>
            </w:pPr>
            <w:r>
              <w:rPr>
                <w:rFonts w:hint="eastAsia" w:ascii="宋体" w:hAnsi="宋体" w:cs="宋体"/>
                <w:spacing w:val="2"/>
                <w:szCs w:val="21"/>
              </w:rPr>
              <w:t>2.对查出的每个隐患都下达隐患治理通知，明确责任人、治理时限；</w:t>
            </w:r>
          </w:p>
          <w:p>
            <w:pPr>
              <w:spacing w:line="280" w:lineRule="exact"/>
              <w:rPr>
                <w:rFonts w:ascii="宋体" w:hAnsi="宋体" w:cs="宋体"/>
                <w:spacing w:val="2"/>
                <w:szCs w:val="21"/>
              </w:rPr>
            </w:pPr>
            <w:r>
              <w:rPr>
                <w:rFonts w:hint="eastAsia" w:ascii="宋体" w:hAnsi="宋体" w:cs="宋体"/>
                <w:spacing w:val="2"/>
                <w:szCs w:val="21"/>
              </w:rPr>
              <w:t>3.重大隐患项目做到整改措施、责任、资金、时限和预案“五到位”；</w:t>
            </w:r>
          </w:p>
          <w:p>
            <w:pPr>
              <w:spacing w:line="280" w:lineRule="exact"/>
              <w:rPr>
                <w:rFonts w:ascii="宋体" w:hAnsi="宋体" w:cs="宋体"/>
                <w:spacing w:val="2"/>
                <w:szCs w:val="21"/>
              </w:rPr>
            </w:pPr>
            <w:r>
              <w:rPr>
                <w:rFonts w:hint="eastAsia" w:ascii="宋体" w:hAnsi="宋体" w:cs="宋体"/>
                <w:spacing w:val="2"/>
                <w:szCs w:val="21"/>
              </w:rPr>
              <w:t>4.按期完成隐患治理。</w:t>
            </w:r>
          </w:p>
          <w:p>
            <w:pPr>
              <w:spacing w:line="280" w:lineRule="exact"/>
              <w:rPr>
                <w:rFonts w:ascii="宋体" w:hAnsi="宋体" w:cs="宋体"/>
                <w:spacing w:val="2"/>
                <w:szCs w:val="21"/>
              </w:rPr>
            </w:pPr>
          </w:p>
          <w:p>
            <w:pPr>
              <w:spacing w:line="280" w:lineRule="exact"/>
              <w:rPr>
                <w:rFonts w:ascii="宋体" w:hAnsi="宋体" w:cs="宋体"/>
                <w:spacing w:val="2"/>
                <w:szCs w:val="21"/>
              </w:rPr>
            </w:pPr>
          </w:p>
          <w:p>
            <w:pPr>
              <w:spacing w:line="280" w:lineRule="exact"/>
              <w:rPr>
                <w:rFonts w:ascii="宋体" w:hAnsi="宋体" w:cs="宋体"/>
                <w:spacing w:val="2"/>
                <w:szCs w:val="21"/>
              </w:rPr>
            </w:pPr>
          </w:p>
          <w:p>
            <w:pPr>
              <w:spacing w:line="280" w:lineRule="exact"/>
              <w:rPr>
                <w:rFonts w:ascii="宋体" w:hAnsi="宋体" w:cs="宋体"/>
                <w:spacing w:val="2"/>
                <w:szCs w:val="21"/>
              </w:rPr>
            </w:pPr>
          </w:p>
        </w:tc>
        <w:tc>
          <w:tcPr>
            <w:tcW w:w="2268" w:type="dxa"/>
          </w:tcPr>
          <w:p>
            <w:pPr>
              <w:spacing w:line="280" w:lineRule="exact"/>
              <w:rPr>
                <w:rFonts w:ascii="宋体" w:hAnsi="宋体" w:cs="宋体"/>
                <w:spacing w:val="2"/>
                <w:szCs w:val="21"/>
              </w:rPr>
            </w:pPr>
            <w:r>
              <w:rPr>
                <w:rFonts w:hint="eastAsia" w:ascii="宋体" w:hAnsi="宋体" w:cs="宋体"/>
                <w:spacing w:val="2"/>
                <w:szCs w:val="21"/>
              </w:rPr>
              <w:t>查文件：</w:t>
            </w:r>
          </w:p>
          <w:p>
            <w:pPr>
              <w:spacing w:line="280" w:lineRule="exact"/>
              <w:rPr>
                <w:rFonts w:ascii="宋体" w:hAnsi="宋体" w:cs="宋体"/>
                <w:spacing w:val="2"/>
                <w:szCs w:val="21"/>
              </w:rPr>
            </w:pPr>
            <w:r>
              <w:rPr>
                <w:rFonts w:hint="eastAsia" w:ascii="宋体" w:hAnsi="宋体" w:cs="宋体"/>
                <w:spacing w:val="2"/>
                <w:szCs w:val="21"/>
              </w:rPr>
              <w:t>1.隐患治理制度；</w:t>
            </w:r>
          </w:p>
          <w:p>
            <w:pPr>
              <w:spacing w:line="280" w:lineRule="exact"/>
              <w:rPr>
                <w:rFonts w:ascii="宋体" w:hAnsi="宋体" w:cs="宋体"/>
                <w:spacing w:val="2"/>
                <w:szCs w:val="21"/>
              </w:rPr>
            </w:pPr>
            <w:r>
              <w:rPr>
                <w:rFonts w:hint="eastAsia" w:ascii="宋体" w:hAnsi="宋体" w:cs="宋体"/>
                <w:spacing w:val="2"/>
                <w:szCs w:val="21"/>
              </w:rPr>
              <w:t xml:space="preserve">2.隐患治理台账； </w:t>
            </w:r>
          </w:p>
          <w:p>
            <w:pPr>
              <w:spacing w:line="280" w:lineRule="exact"/>
              <w:rPr>
                <w:rFonts w:ascii="宋体" w:hAnsi="宋体" w:cs="宋体"/>
                <w:spacing w:val="2"/>
                <w:szCs w:val="21"/>
              </w:rPr>
            </w:pPr>
            <w:r>
              <w:rPr>
                <w:rFonts w:hint="eastAsia" w:ascii="宋体" w:hAnsi="宋体" w:cs="宋体"/>
                <w:spacing w:val="2"/>
                <w:szCs w:val="21"/>
              </w:rPr>
              <w:t>3.隐患治理记录；</w:t>
            </w:r>
          </w:p>
          <w:p>
            <w:pPr>
              <w:spacing w:line="280" w:lineRule="exact"/>
              <w:rPr>
                <w:rFonts w:ascii="宋体" w:hAnsi="宋体" w:cs="宋体"/>
                <w:spacing w:val="2"/>
                <w:szCs w:val="21"/>
              </w:rPr>
            </w:pPr>
            <w:r>
              <w:rPr>
                <w:rFonts w:hint="eastAsia" w:ascii="宋体" w:hAnsi="宋体" w:cs="宋体"/>
                <w:spacing w:val="2"/>
                <w:szCs w:val="21"/>
              </w:rPr>
              <w:t>4.重大隐患治理工作“五到位”落实情况。</w:t>
            </w:r>
          </w:p>
        </w:tc>
        <w:tc>
          <w:tcPr>
            <w:tcW w:w="1701" w:type="dxa"/>
          </w:tcPr>
          <w:p>
            <w:pPr>
              <w:spacing w:line="280" w:lineRule="exact"/>
              <w:rPr>
                <w:rFonts w:ascii="宋体" w:hAnsi="宋体" w:cs="宋体"/>
                <w:spacing w:val="2"/>
                <w:szCs w:val="21"/>
              </w:rPr>
            </w:pPr>
          </w:p>
        </w:tc>
        <w:tc>
          <w:tcPr>
            <w:tcW w:w="2268" w:type="dxa"/>
          </w:tcPr>
          <w:p>
            <w:pPr>
              <w:spacing w:line="280" w:lineRule="exact"/>
              <w:rPr>
                <w:rFonts w:ascii="宋体" w:hAnsi="宋体" w:cs="宋体"/>
                <w:spacing w:val="2"/>
                <w:szCs w:val="21"/>
              </w:rPr>
            </w:pPr>
            <w:r>
              <w:rPr>
                <w:rFonts w:hint="eastAsia" w:ascii="宋体" w:hAnsi="宋体" w:cs="宋体"/>
                <w:spacing w:val="2"/>
                <w:szCs w:val="21"/>
              </w:rPr>
              <w:t>1.未建立隐患治理台账，扣5分；</w:t>
            </w:r>
          </w:p>
          <w:p>
            <w:pPr>
              <w:spacing w:line="280" w:lineRule="exact"/>
              <w:rPr>
                <w:rFonts w:ascii="宋体" w:hAnsi="宋体" w:cs="宋体"/>
                <w:spacing w:val="2"/>
                <w:szCs w:val="21"/>
              </w:rPr>
            </w:pPr>
            <w:r>
              <w:rPr>
                <w:rFonts w:hint="eastAsia" w:ascii="宋体" w:hAnsi="宋体" w:cs="宋体"/>
                <w:spacing w:val="2"/>
                <w:szCs w:val="21"/>
              </w:rPr>
              <w:t>2.未向相关部门下达隐患治理通知, 一项扣2分；</w:t>
            </w:r>
          </w:p>
          <w:p>
            <w:pPr>
              <w:spacing w:line="280" w:lineRule="exact"/>
              <w:rPr>
                <w:rFonts w:ascii="宋体" w:hAnsi="宋体" w:cs="宋体"/>
                <w:spacing w:val="2"/>
                <w:szCs w:val="21"/>
              </w:rPr>
            </w:pPr>
            <w:r>
              <w:rPr>
                <w:rFonts w:hint="eastAsia" w:ascii="宋体" w:hAnsi="宋体" w:cs="宋体"/>
                <w:spacing w:val="2"/>
                <w:szCs w:val="21"/>
              </w:rPr>
              <w:t>3.通知内容不符合要求，一项扣1分；</w:t>
            </w:r>
          </w:p>
          <w:p>
            <w:pPr>
              <w:spacing w:line="280" w:lineRule="exact"/>
              <w:rPr>
                <w:rFonts w:ascii="宋体" w:hAnsi="宋体" w:cs="宋体"/>
                <w:spacing w:val="2"/>
                <w:szCs w:val="21"/>
              </w:rPr>
            </w:pPr>
            <w:r>
              <w:rPr>
                <w:rFonts w:hint="eastAsia" w:ascii="宋体" w:hAnsi="宋体" w:cs="宋体"/>
                <w:spacing w:val="2"/>
                <w:szCs w:val="21"/>
              </w:rPr>
              <w:t>4.重大隐患项目未做到“五到位”，一项扣1分；</w:t>
            </w:r>
          </w:p>
          <w:p>
            <w:pPr>
              <w:spacing w:line="280" w:lineRule="exact"/>
              <w:rPr>
                <w:rFonts w:ascii="宋体" w:hAnsi="宋体" w:cs="宋体"/>
                <w:spacing w:val="2"/>
                <w:szCs w:val="21"/>
              </w:rPr>
            </w:pPr>
            <w:r>
              <w:rPr>
                <w:rFonts w:hint="eastAsia" w:ascii="宋体" w:hAnsi="宋体" w:cs="宋体"/>
                <w:spacing w:val="2"/>
                <w:szCs w:val="21"/>
              </w:rPr>
              <w:t>5.隐患项目未按期治理，一项扣5分。</w:t>
            </w:r>
          </w:p>
        </w:tc>
        <w:tc>
          <w:tcPr>
            <w:tcW w:w="1165" w:type="dxa"/>
            <w:vAlign w:val="center"/>
          </w:tcPr>
          <w:p>
            <w:pPr>
              <w:jc w:val="center"/>
              <w:rPr>
                <w:rFonts w:ascii="宋体" w:hAnsi="宋体" w:cs="宋体"/>
                <w:szCs w:val="21"/>
              </w:rPr>
            </w:pPr>
            <w:r>
              <w:rPr>
                <w:rFonts w:hint="eastAsia" w:ascii="宋体" w:hAnsi="宋体" w:cs="宋体"/>
                <w:szCs w:val="21"/>
              </w:rPr>
              <w:t>符合要求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 w:hRule="atLeast"/>
          <w:jc w:val="center"/>
        </w:trPr>
        <w:tc>
          <w:tcPr>
            <w:tcW w:w="771" w:type="dxa"/>
            <w:vMerge w:val="continue"/>
          </w:tcPr>
          <w:p>
            <w:pPr>
              <w:spacing w:line="280" w:lineRule="exact"/>
              <w:rPr>
                <w:rFonts w:ascii="宋体" w:hAnsi="宋体" w:cs="宋体"/>
                <w:b/>
                <w:bCs/>
                <w:szCs w:val="21"/>
              </w:rPr>
            </w:pPr>
          </w:p>
        </w:tc>
        <w:tc>
          <w:tcPr>
            <w:tcW w:w="709" w:type="dxa"/>
            <w:vMerge w:val="continue"/>
          </w:tcPr>
          <w:p>
            <w:pPr>
              <w:spacing w:line="280" w:lineRule="exact"/>
              <w:rPr>
                <w:rFonts w:ascii="宋体" w:hAnsi="宋体" w:cs="宋体"/>
                <w:b/>
                <w:bCs/>
                <w:szCs w:val="21"/>
              </w:rPr>
            </w:pPr>
          </w:p>
        </w:tc>
        <w:tc>
          <w:tcPr>
            <w:tcW w:w="2409" w:type="dxa"/>
          </w:tcPr>
          <w:p>
            <w:pPr>
              <w:spacing w:line="280" w:lineRule="exact"/>
              <w:rPr>
                <w:rFonts w:ascii="宋体" w:hAnsi="宋体" w:cs="宋体"/>
                <w:spacing w:val="2"/>
                <w:szCs w:val="21"/>
              </w:rPr>
            </w:pPr>
            <w:r>
              <w:rPr>
                <w:rFonts w:hint="eastAsia" w:ascii="宋体" w:hAnsi="宋体" w:cs="宋体"/>
                <w:spacing w:val="2"/>
                <w:szCs w:val="21"/>
              </w:rPr>
              <w:t>2.企业应对确定的重大隐患项目建立档案，档案内容应包括：</w:t>
            </w:r>
          </w:p>
          <w:p>
            <w:pPr>
              <w:spacing w:line="280" w:lineRule="exact"/>
              <w:rPr>
                <w:rFonts w:ascii="宋体" w:hAnsi="宋体" w:cs="宋体"/>
                <w:spacing w:val="2"/>
                <w:szCs w:val="21"/>
              </w:rPr>
            </w:pPr>
            <w:r>
              <w:rPr>
                <w:rFonts w:hint="eastAsia" w:ascii="宋体" w:hAnsi="宋体" w:cs="宋体"/>
                <w:spacing w:val="2"/>
                <w:szCs w:val="21"/>
              </w:rPr>
              <w:t>（1）评价报告与技术结论；</w:t>
            </w:r>
          </w:p>
          <w:p>
            <w:pPr>
              <w:spacing w:line="280" w:lineRule="exact"/>
              <w:rPr>
                <w:rFonts w:ascii="宋体" w:hAnsi="宋体" w:cs="宋体"/>
                <w:spacing w:val="2"/>
                <w:szCs w:val="21"/>
              </w:rPr>
            </w:pPr>
            <w:r>
              <w:rPr>
                <w:rFonts w:hint="eastAsia" w:ascii="宋体" w:hAnsi="宋体" w:cs="宋体"/>
                <w:spacing w:val="2"/>
                <w:szCs w:val="21"/>
              </w:rPr>
              <w:t>（2）评审意见；</w:t>
            </w:r>
          </w:p>
          <w:p>
            <w:pPr>
              <w:spacing w:line="280" w:lineRule="exact"/>
              <w:rPr>
                <w:rFonts w:ascii="宋体" w:hAnsi="宋体" w:cs="宋体"/>
                <w:spacing w:val="2"/>
                <w:szCs w:val="21"/>
              </w:rPr>
            </w:pPr>
            <w:r>
              <w:rPr>
                <w:rFonts w:hint="eastAsia" w:ascii="宋体" w:hAnsi="宋体" w:cs="宋体"/>
                <w:spacing w:val="2"/>
                <w:szCs w:val="21"/>
              </w:rPr>
              <w:t>（3）隐患治理方案，包括资金概预算情况等；</w:t>
            </w:r>
          </w:p>
          <w:p>
            <w:pPr>
              <w:spacing w:line="280" w:lineRule="exact"/>
              <w:rPr>
                <w:rFonts w:ascii="宋体" w:hAnsi="宋体" w:cs="宋体"/>
                <w:spacing w:val="2"/>
                <w:szCs w:val="21"/>
              </w:rPr>
            </w:pPr>
            <w:r>
              <w:rPr>
                <w:rFonts w:hint="eastAsia" w:ascii="宋体" w:hAnsi="宋体" w:cs="宋体"/>
                <w:spacing w:val="2"/>
                <w:szCs w:val="21"/>
              </w:rPr>
              <w:t>（4）治理时间表和责任人；</w:t>
            </w:r>
          </w:p>
          <w:p>
            <w:pPr>
              <w:spacing w:line="280" w:lineRule="exact"/>
              <w:rPr>
                <w:rFonts w:ascii="宋体" w:hAnsi="宋体" w:cs="宋体"/>
                <w:spacing w:val="2"/>
                <w:szCs w:val="21"/>
              </w:rPr>
            </w:pPr>
            <w:r>
              <w:rPr>
                <w:rFonts w:hint="eastAsia" w:ascii="宋体" w:hAnsi="宋体" w:cs="宋体"/>
                <w:spacing w:val="2"/>
                <w:szCs w:val="21"/>
              </w:rPr>
              <w:t>（5）竣工验收报告；</w:t>
            </w:r>
          </w:p>
          <w:p>
            <w:pPr>
              <w:spacing w:line="280" w:lineRule="exact"/>
              <w:rPr>
                <w:rFonts w:ascii="宋体" w:hAnsi="宋体" w:cs="宋体"/>
                <w:spacing w:val="2"/>
                <w:szCs w:val="21"/>
              </w:rPr>
            </w:pPr>
            <w:r>
              <w:rPr>
                <w:rFonts w:hint="eastAsia" w:ascii="宋体" w:hAnsi="宋体" w:cs="宋体"/>
                <w:spacing w:val="2"/>
                <w:szCs w:val="21"/>
              </w:rPr>
              <w:t>（6）备案文件。</w:t>
            </w:r>
          </w:p>
        </w:tc>
        <w:tc>
          <w:tcPr>
            <w:tcW w:w="2268" w:type="dxa"/>
          </w:tcPr>
          <w:p>
            <w:pPr>
              <w:spacing w:line="280" w:lineRule="exact"/>
              <w:rPr>
                <w:rFonts w:ascii="宋体" w:hAnsi="宋体" w:cs="宋体"/>
                <w:spacing w:val="2"/>
                <w:szCs w:val="21"/>
              </w:rPr>
            </w:pPr>
            <w:r>
              <w:rPr>
                <w:rFonts w:hint="eastAsia" w:ascii="宋体" w:hAnsi="宋体" w:cs="宋体"/>
                <w:spacing w:val="2"/>
                <w:szCs w:val="21"/>
              </w:rPr>
              <w:t>建立重大隐患项目档案，包括隐患名称、标准要求内容及“五到位”等内容。</w:t>
            </w:r>
          </w:p>
          <w:p>
            <w:pPr>
              <w:spacing w:line="280" w:lineRule="exact"/>
              <w:rPr>
                <w:rFonts w:ascii="宋体" w:hAnsi="宋体" w:cs="宋体"/>
                <w:spacing w:val="2"/>
                <w:szCs w:val="21"/>
              </w:rPr>
            </w:pPr>
          </w:p>
        </w:tc>
        <w:tc>
          <w:tcPr>
            <w:tcW w:w="2268" w:type="dxa"/>
          </w:tcPr>
          <w:p>
            <w:pPr>
              <w:spacing w:line="280" w:lineRule="exact"/>
              <w:rPr>
                <w:rFonts w:ascii="宋体" w:hAnsi="宋体" w:cs="宋体"/>
                <w:spacing w:val="2"/>
                <w:szCs w:val="21"/>
              </w:rPr>
            </w:pPr>
            <w:r>
              <w:rPr>
                <w:rFonts w:hint="eastAsia" w:ascii="宋体" w:hAnsi="宋体" w:cs="宋体"/>
                <w:spacing w:val="2"/>
                <w:szCs w:val="21"/>
              </w:rPr>
              <w:t>查文件：</w:t>
            </w:r>
          </w:p>
          <w:p>
            <w:pPr>
              <w:spacing w:line="280" w:lineRule="exact"/>
              <w:rPr>
                <w:rFonts w:ascii="宋体" w:hAnsi="宋体" w:cs="宋体"/>
                <w:spacing w:val="2"/>
                <w:szCs w:val="21"/>
              </w:rPr>
            </w:pPr>
            <w:r>
              <w:rPr>
                <w:rFonts w:hint="eastAsia" w:ascii="宋体" w:hAnsi="宋体" w:cs="宋体"/>
                <w:spacing w:val="2"/>
                <w:szCs w:val="21"/>
              </w:rPr>
              <w:t>重大隐患项目档案。</w:t>
            </w:r>
          </w:p>
        </w:tc>
        <w:tc>
          <w:tcPr>
            <w:tcW w:w="1701" w:type="dxa"/>
          </w:tcPr>
          <w:p>
            <w:pPr>
              <w:spacing w:line="280" w:lineRule="exact"/>
              <w:rPr>
                <w:rFonts w:ascii="宋体" w:hAnsi="宋体" w:cs="宋体"/>
                <w:spacing w:val="2"/>
                <w:szCs w:val="21"/>
              </w:rPr>
            </w:pPr>
          </w:p>
        </w:tc>
        <w:tc>
          <w:tcPr>
            <w:tcW w:w="2268" w:type="dxa"/>
          </w:tcPr>
          <w:p>
            <w:pPr>
              <w:spacing w:line="280" w:lineRule="exact"/>
              <w:rPr>
                <w:rFonts w:ascii="宋体" w:hAnsi="宋体" w:cs="宋体"/>
                <w:spacing w:val="2"/>
                <w:szCs w:val="21"/>
              </w:rPr>
            </w:pPr>
            <w:r>
              <w:rPr>
                <w:rFonts w:hint="eastAsia" w:ascii="宋体" w:hAnsi="宋体" w:cs="宋体"/>
                <w:spacing w:val="2"/>
                <w:szCs w:val="21"/>
              </w:rPr>
              <w:t>1.未建立重大隐患项目档案，扣5分；</w:t>
            </w:r>
          </w:p>
          <w:p>
            <w:pPr>
              <w:spacing w:line="280" w:lineRule="exact"/>
              <w:rPr>
                <w:rFonts w:ascii="宋体" w:hAnsi="宋体" w:cs="宋体"/>
                <w:spacing w:val="2"/>
                <w:szCs w:val="21"/>
              </w:rPr>
            </w:pPr>
            <w:r>
              <w:rPr>
                <w:rFonts w:hint="eastAsia" w:ascii="宋体" w:hAnsi="宋体" w:cs="宋体"/>
                <w:spacing w:val="2"/>
                <w:szCs w:val="21"/>
              </w:rPr>
              <w:t>2.档案内容不全，缺一项扣2分。</w:t>
            </w:r>
          </w:p>
        </w:tc>
        <w:tc>
          <w:tcPr>
            <w:tcW w:w="1165" w:type="dxa"/>
            <w:vAlign w:val="center"/>
          </w:tcPr>
          <w:p>
            <w:pPr>
              <w:jc w:val="center"/>
              <w:rPr>
                <w:rFonts w:ascii="宋体" w:hAnsi="宋体" w:cs="宋体"/>
                <w:b/>
                <w:bCs/>
                <w:szCs w:val="21"/>
              </w:rPr>
            </w:pPr>
            <w:r>
              <w:rPr>
                <w:rFonts w:hint="eastAsia" w:ascii="宋体" w:hAnsi="宋体" w:cs="宋体"/>
                <w:spacing w:val="2"/>
                <w:szCs w:val="21"/>
              </w:rPr>
              <w:t>符合要求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771" w:type="dxa"/>
            <w:vMerge w:val="continue"/>
          </w:tcPr>
          <w:p>
            <w:pPr>
              <w:spacing w:line="280" w:lineRule="exact"/>
              <w:rPr>
                <w:rFonts w:ascii="宋体" w:hAnsi="宋体" w:cs="宋体"/>
                <w:b/>
                <w:bCs/>
                <w:szCs w:val="21"/>
              </w:rPr>
            </w:pPr>
          </w:p>
        </w:tc>
        <w:tc>
          <w:tcPr>
            <w:tcW w:w="709" w:type="dxa"/>
            <w:vMerge w:val="continue"/>
          </w:tcPr>
          <w:p>
            <w:pPr>
              <w:spacing w:line="280" w:lineRule="exact"/>
              <w:rPr>
                <w:rFonts w:ascii="宋体" w:hAnsi="宋体" w:cs="宋体"/>
                <w:b/>
                <w:bCs/>
                <w:szCs w:val="21"/>
              </w:rPr>
            </w:pPr>
          </w:p>
        </w:tc>
        <w:tc>
          <w:tcPr>
            <w:tcW w:w="2409" w:type="dxa"/>
          </w:tcPr>
          <w:p>
            <w:pPr>
              <w:spacing w:line="280" w:lineRule="exact"/>
              <w:rPr>
                <w:rFonts w:ascii="宋体" w:hAnsi="宋体" w:cs="宋体"/>
                <w:spacing w:val="2"/>
                <w:szCs w:val="21"/>
              </w:rPr>
            </w:pPr>
            <w:r>
              <w:rPr>
                <w:rFonts w:hint="eastAsia" w:ascii="宋体" w:hAnsi="宋体" w:cs="宋体"/>
                <w:spacing w:val="2"/>
                <w:szCs w:val="21"/>
              </w:rPr>
              <w:t>3.企业无力解决的重大事故隐患，除应书面向企业直接主管部门和当地政府报告外，应采取有效防范措施。</w:t>
            </w:r>
          </w:p>
        </w:tc>
        <w:tc>
          <w:tcPr>
            <w:tcW w:w="2268" w:type="dxa"/>
          </w:tcPr>
          <w:p>
            <w:pPr>
              <w:spacing w:line="280" w:lineRule="exact"/>
              <w:rPr>
                <w:rFonts w:ascii="宋体" w:hAnsi="宋体" w:cs="宋体"/>
                <w:spacing w:val="2"/>
                <w:szCs w:val="21"/>
              </w:rPr>
            </w:pPr>
            <w:r>
              <w:rPr>
                <w:rFonts w:hint="eastAsia" w:ascii="宋体" w:hAnsi="宋体" w:cs="宋体"/>
                <w:spacing w:val="2"/>
                <w:szCs w:val="21"/>
              </w:rPr>
              <w:t>1.暂时无力解决的重大事故隐患，应制定并落实有效的防范措施；</w:t>
            </w:r>
          </w:p>
          <w:p>
            <w:pPr>
              <w:spacing w:line="280" w:lineRule="exact"/>
              <w:rPr>
                <w:rFonts w:ascii="宋体" w:hAnsi="宋体" w:cs="宋体"/>
                <w:spacing w:val="2"/>
                <w:szCs w:val="21"/>
              </w:rPr>
            </w:pPr>
            <w:r>
              <w:rPr>
                <w:rFonts w:hint="eastAsia" w:ascii="宋体" w:hAnsi="宋体" w:cs="宋体"/>
                <w:spacing w:val="2"/>
                <w:szCs w:val="21"/>
              </w:rPr>
              <w:t>2.书面向主管部门和当地政府、安全监管部门报告，报告要说明无力解决的原因和采取的防范措施。</w:t>
            </w:r>
          </w:p>
        </w:tc>
        <w:tc>
          <w:tcPr>
            <w:tcW w:w="2268" w:type="dxa"/>
          </w:tcPr>
          <w:p>
            <w:pPr>
              <w:spacing w:line="280" w:lineRule="exact"/>
              <w:rPr>
                <w:rFonts w:ascii="宋体" w:hAnsi="宋体" w:cs="宋体"/>
                <w:spacing w:val="2"/>
                <w:szCs w:val="21"/>
              </w:rPr>
            </w:pPr>
            <w:r>
              <w:rPr>
                <w:rFonts w:hint="eastAsia" w:ascii="宋体" w:hAnsi="宋体" w:cs="宋体"/>
                <w:spacing w:val="2"/>
                <w:szCs w:val="21"/>
              </w:rPr>
              <w:t>查文件：</w:t>
            </w:r>
          </w:p>
          <w:p>
            <w:pPr>
              <w:spacing w:line="280" w:lineRule="exact"/>
              <w:rPr>
                <w:rFonts w:ascii="宋体" w:hAnsi="宋体" w:cs="宋体"/>
                <w:spacing w:val="2"/>
                <w:szCs w:val="21"/>
              </w:rPr>
            </w:pPr>
            <w:r>
              <w:rPr>
                <w:rFonts w:hint="eastAsia" w:ascii="宋体" w:hAnsi="宋体" w:cs="宋体"/>
                <w:spacing w:val="2"/>
                <w:szCs w:val="21"/>
              </w:rPr>
              <w:t>1.重大事故隐患的防范措施；</w:t>
            </w:r>
          </w:p>
          <w:p>
            <w:pPr>
              <w:spacing w:line="280" w:lineRule="exact"/>
              <w:rPr>
                <w:rFonts w:ascii="宋体" w:hAnsi="宋体" w:cs="宋体"/>
                <w:spacing w:val="2"/>
                <w:szCs w:val="21"/>
              </w:rPr>
            </w:pPr>
            <w:r>
              <w:rPr>
                <w:rFonts w:hint="eastAsia" w:ascii="宋体" w:hAnsi="宋体" w:cs="宋体"/>
                <w:spacing w:val="2"/>
                <w:szCs w:val="21"/>
              </w:rPr>
              <w:t>2.书面报告。</w:t>
            </w:r>
          </w:p>
        </w:tc>
        <w:tc>
          <w:tcPr>
            <w:tcW w:w="1701" w:type="dxa"/>
          </w:tcPr>
          <w:p>
            <w:pPr>
              <w:spacing w:line="280" w:lineRule="exact"/>
              <w:rPr>
                <w:rFonts w:ascii="宋体" w:hAnsi="宋体" w:cs="宋体"/>
                <w:b/>
                <w:bCs/>
                <w:spacing w:val="2"/>
                <w:szCs w:val="21"/>
              </w:rPr>
            </w:pPr>
            <w:r>
              <w:rPr>
                <w:rFonts w:hint="eastAsia" w:ascii="宋体" w:hAnsi="宋体" w:cs="宋体"/>
                <w:b/>
                <w:bCs/>
                <w:spacing w:val="2"/>
                <w:szCs w:val="21"/>
              </w:rPr>
              <w:t>未书面向主管部门和当地政府、安全监管部门报告扣20分（B级要素否决项）。</w:t>
            </w:r>
          </w:p>
        </w:tc>
        <w:tc>
          <w:tcPr>
            <w:tcW w:w="2268" w:type="dxa"/>
          </w:tcPr>
          <w:p>
            <w:pPr>
              <w:spacing w:line="280" w:lineRule="exact"/>
              <w:rPr>
                <w:rFonts w:ascii="宋体" w:hAnsi="宋体" w:cs="宋体"/>
                <w:spacing w:val="2"/>
                <w:szCs w:val="21"/>
              </w:rPr>
            </w:pPr>
            <w:r>
              <w:rPr>
                <w:rFonts w:hint="eastAsia" w:ascii="宋体" w:hAnsi="宋体" w:cs="宋体"/>
                <w:spacing w:val="2"/>
                <w:szCs w:val="21"/>
              </w:rPr>
              <w:t>未采取有效防范措施，扣5分。</w:t>
            </w:r>
          </w:p>
        </w:tc>
        <w:tc>
          <w:tcPr>
            <w:tcW w:w="1165" w:type="dxa"/>
            <w:vAlign w:val="center"/>
          </w:tcPr>
          <w:p>
            <w:pPr>
              <w:jc w:val="center"/>
              <w:rPr>
                <w:rFonts w:ascii="宋体" w:hAnsi="宋体" w:cs="宋体"/>
                <w:szCs w:val="21"/>
              </w:rPr>
            </w:pPr>
            <w:r>
              <w:rPr>
                <w:rFonts w:hint="eastAsia" w:ascii="宋体" w:hAnsi="宋体" w:cs="宋体"/>
                <w:szCs w:val="21"/>
              </w:rPr>
              <w:t>符合要求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8" w:hRule="atLeast"/>
          <w:jc w:val="center"/>
        </w:trPr>
        <w:tc>
          <w:tcPr>
            <w:tcW w:w="771" w:type="dxa"/>
            <w:vMerge w:val="continue"/>
          </w:tcPr>
          <w:p>
            <w:pPr>
              <w:spacing w:line="280" w:lineRule="exact"/>
              <w:rPr>
                <w:rFonts w:ascii="宋体" w:hAnsi="宋体" w:cs="宋体"/>
                <w:b/>
                <w:bCs/>
                <w:szCs w:val="21"/>
              </w:rPr>
            </w:pPr>
          </w:p>
        </w:tc>
        <w:tc>
          <w:tcPr>
            <w:tcW w:w="709" w:type="dxa"/>
            <w:vMerge w:val="continue"/>
          </w:tcPr>
          <w:p>
            <w:pPr>
              <w:spacing w:line="280" w:lineRule="exact"/>
              <w:rPr>
                <w:rFonts w:ascii="宋体" w:hAnsi="宋体" w:cs="宋体"/>
                <w:b/>
                <w:bCs/>
                <w:szCs w:val="21"/>
              </w:rPr>
            </w:pPr>
          </w:p>
        </w:tc>
        <w:tc>
          <w:tcPr>
            <w:tcW w:w="2409" w:type="dxa"/>
          </w:tcPr>
          <w:p>
            <w:pPr>
              <w:spacing w:line="280" w:lineRule="exact"/>
              <w:rPr>
                <w:rFonts w:ascii="宋体" w:hAnsi="宋体" w:cs="宋体"/>
                <w:spacing w:val="2"/>
                <w:szCs w:val="21"/>
              </w:rPr>
            </w:pPr>
            <w:r>
              <w:rPr>
                <w:rFonts w:hint="eastAsia" w:ascii="宋体" w:hAnsi="宋体" w:cs="宋体"/>
                <w:spacing w:val="2"/>
                <w:szCs w:val="21"/>
              </w:rPr>
              <w:t>4.企业对不具备整改条件的重大事故隐患，必须采取防范措施，并纳入计划，限期解决或停产。</w:t>
            </w:r>
          </w:p>
          <w:p>
            <w:pPr>
              <w:spacing w:line="280" w:lineRule="exact"/>
              <w:rPr>
                <w:rFonts w:ascii="宋体" w:hAnsi="宋体" w:cs="宋体"/>
                <w:spacing w:val="2"/>
                <w:szCs w:val="21"/>
              </w:rPr>
            </w:pPr>
          </w:p>
          <w:p>
            <w:pPr>
              <w:spacing w:line="280" w:lineRule="exact"/>
              <w:rPr>
                <w:rFonts w:ascii="宋体" w:hAnsi="宋体" w:cs="宋体"/>
                <w:spacing w:val="2"/>
                <w:szCs w:val="21"/>
              </w:rPr>
            </w:pPr>
          </w:p>
          <w:p>
            <w:pPr>
              <w:spacing w:line="280" w:lineRule="exact"/>
              <w:rPr>
                <w:rFonts w:ascii="宋体" w:hAnsi="宋体" w:cs="宋体"/>
                <w:spacing w:val="2"/>
                <w:szCs w:val="21"/>
              </w:rPr>
            </w:pPr>
          </w:p>
          <w:p>
            <w:pPr>
              <w:spacing w:line="280" w:lineRule="exact"/>
              <w:rPr>
                <w:rFonts w:ascii="宋体" w:hAnsi="宋体" w:cs="宋体"/>
                <w:spacing w:val="2"/>
                <w:szCs w:val="21"/>
              </w:rPr>
            </w:pPr>
          </w:p>
        </w:tc>
        <w:tc>
          <w:tcPr>
            <w:tcW w:w="2268" w:type="dxa"/>
          </w:tcPr>
          <w:p>
            <w:pPr>
              <w:spacing w:line="280" w:lineRule="exact"/>
              <w:rPr>
                <w:rFonts w:ascii="宋体" w:hAnsi="宋体" w:cs="宋体"/>
                <w:spacing w:val="2"/>
                <w:szCs w:val="21"/>
              </w:rPr>
            </w:pPr>
            <w:r>
              <w:rPr>
                <w:rFonts w:hint="eastAsia" w:ascii="宋体" w:hAnsi="宋体" w:cs="宋体"/>
                <w:spacing w:val="2"/>
                <w:szCs w:val="21"/>
              </w:rPr>
              <w:t>1.不具备整改条件的重大事故隐患，必须采取防范措施；</w:t>
            </w:r>
          </w:p>
          <w:p>
            <w:pPr>
              <w:spacing w:line="280" w:lineRule="exact"/>
              <w:rPr>
                <w:rFonts w:ascii="宋体" w:hAnsi="宋体" w:cs="宋体"/>
                <w:spacing w:val="2"/>
                <w:szCs w:val="21"/>
              </w:rPr>
            </w:pPr>
            <w:r>
              <w:rPr>
                <w:rFonts w:hint="eastAsia" w:ascii="宋体" w:hAnsi="宋体" w:cs="宋体"/>
                <w:spacing w:val="2"/>
                <w:szCs w:val="21"/>
              </w:rPr>
              <w:t>2.纳入隐患整改计划，限期解决或停产；</w:t>
            </w:r>
          </w:p>
          <w:p>
            <w:pPr>
              <w:spacing w:line="280" w:lineRule="exact"/>
              <w:rPr>
                <w:rFonts w:ascii="宋体" w:hAnsi="宋体" w:cs="宋体"/>
                <w:spacing w:val="2"/>
                <w:szCs w:val="21"/>
              </w:rPr>
            </w:pPr>
            <w:r>
              <w:rPr>
                <w:rFonts w:hint="eastAsia" w:ascii="宋体" w:hAnsi="宋体" w:cs="宋体"/>
                <w:spacing w:val="2"/>
                <w:szCs w:val="21"/>
              </w:rPr>
              <w:t>3.书面向主管部门和当地政府、安全监管部门报告，报告要说明不具备整改条件的原因、整改计划和防范措施等。</w:t>
            </w:r>
          </w:p>
        </w:tc>
        <w:tc>
          <w:tcPr>
            <w:tcW w:w="2268" w:type="dxa"/>
          </w:tcPr>
          <w:p>
            <w:pPr>
              <w:spacing w:line="280" w:lineRule="exact"/>
              <w:rPr>
                <w:rFonts w:ascii="宋体" w:hAnsi="宋体" w:cs="宋体"/>
                <w:spacing w:val="2"/>
                <w:szCs w:val="21"/>
              </w:rPr>
            </w:pPr>
            <w:r>
              <w:rPr>
                <w:rFonts w:hint="eastAsia" w:ascii="宋体" w:hAnsi="宋体" w:cs="宋体"/>
                <w:spacing w:val="2"/>
                <w:szCs w:val="21"/>
              </w:rPr>
              <w:t>查文件：</w:t>
            </w:r>
          </w:p>
          <w:p>
            <w:pPr>
              <w:spacing w:line="280" w:lineRule="exact"/>
              <w:rPr>
                <w:rFonts w:ascii="宋体" w:hAnsi="宋体" w:cs="宋体"/>
                <w:spacing w:val="2"/>
                <w:szCs w:val="21"/>
              </w:rPr>
            </w:pPr>
            <w:r>
              <w:rPr>
                <w:rFonts w:hint="eastAsia" w:ascii="宋体" w:hAnsi="宋体" w:cs="宋体"/>
                <w:spacing w:val="2"/>
                <w:szCs w:val="21"/>
              </w:rPr>
              <w:t>1.重大事故隐患的防范措施；</w:t>
            </w:r>
          </w:p>
          <w:p>
            <w:pPr>
              <w:spacing w:line="280" w:lineRule="exact"/>
              <w:rPr>
                <w:rFonts w:ascii="宋体" w:hAnsi="宋体" w:cs="宋体"/>
                <w:spacing w:val="2"/>
                <w:szCs w:val="21"/>
              </w:rPr>
            </w:pPr>
            <w:r>
              <w:rPr>
                <w:rFonts w:hint="eastAsia" w:ascii="宋体" w:hAnsi="宋体" w:cs="宋体"/>
                <w:spacing w:val="2"/>
                <w:szCs w:val="21"/>
              </w:rPr>
              <w:t>2.隐患整改计划。</w:t>
            </w:r>
          </w:p>
          <w:p>
            <w:pPr>
              <w:spacing w:line="280" w:lineRule="exact"/>
              <w:rPr>
                <w:rFonts w:ascii="宋体" w:hAnsi="宋体" w:cs="宋体"/>
                <w:spacing w:val="2"/>
                <w:szCs w:val="21"/>
              </w:rPr>
            </w:pPr>
          </w:p>
          <w:p>
            <w:pPr>
              <w:spacing w:line="280" w:lineRule="exact"/>
              <w:rPr>
                <w:rFonts w:ascii="宋体" w:hAnsi="宋体" w:cs="宋体"/>
                <w:spacing w:val="2"/>
                <w:szCs w:val="21"/>
              </w:rPr>
            </w:pPr>
          </w:p>
          <w:p>
            <w:pPr>
              <w:spacing w:line="280" w:lineRule="exact"/>
              <w:rPr>
                <w:rFonts w:ascii="宋体" w:hAnsi="宋体" w:cs="宋体"/>
                <w:spacing w:val="2"/>
                <w:szCs w:val="21"/>
              </w:rPr>
            </w:pPr>
          </w:p>
          <w:p>
            <w:pPr>
              <w:spacing w:line="280" w:lineRule="exact"/>
              <w:rPr>
                <w:rFonts w:ascii="宋体" w:hAnsi="宋体" w:cs="宋体"/>
                <w:spacing w:val="2"/>
                <w:szCs w:val="21"/>
              </w:rPr>
            </w:pPr>
          </w:p>
        </w:tc>
        <w:tc>
          <w:tcPr>
            <w:tcW w:w="1701" w:type="dxa"/>
          </w:tcPr>
          <w:p>
            <w:pPr>
              <w:spacing w:line="280" w:lineRule="exact"/>
              <w:rPr>
                <w:rFonts w:ascii="宋体" w:hAnsi="宋体" w:cs="宋体"/>
                <w:b/>
                <w:bCs/>
                <w:spacing w:val="2"/>
                <w:szCs w:val="21"/>
              </w:rPr>
            </w:pPr>
            <w:r>
              <w:rPr>
                <w:rFonts w:hint="eastAsia" w:ascii="宋体" w:hAnsi="宋体" w:cs="宋体"/>
                <w:b/>
                <w:bCs/>
                <w:spacing w:val="2"/>
                <w:szCs w:val="21"/>
              </w:rPr>
              <w:t>1．不具备整改条件的重大事故隐患，未采取防范措施，或未纳入计划，或未限期解决或停产，一项不符合扣20分（B级要素否决项）；</w:t>
            </w:r>
          </w:p>
          <w:p>
            <w:pPr>
              <w:spacing w:line="280" w:lineRule="exact"/>
              <w:rPr>
                <w:rFonts w:ascii="宋体" w:hAnsi="宋体" w:cs="宋体"/>
                <w:b/>
                <w:bCs/>
                <w:spacing w:val="2"/>
                <w:szCs w:val="21"/>
              </w:rPr>
            </w:pPr>
            <w:r>
              <w:rPr>
                <w:rFonts w:hint="eastAsia" w:ascii="宋体" w:hAnsi="宋体" w:cs="宋体"/>
                <w:b/>
                <w:bCs/>
                <w:spacing w:val="2"/>
                <w:szCs w:val="21"/>
              </w:rPr>
              <w:t>2．未书面向主管部门和当地政府、安全监管部门报告扣20分（B级要素否决项）。</w:t>
            </w:r>
          </w:p>
        </w:tc>
        <w:tc>
          <w:tcPr>
            <w:tcW w:w="2268" w:type="dxa"/>
          </w:tcPr>
          <w:p>
            <w:pPr>
              <w:spacing w:line="280" w:lineRule="exact"/>
              <w:rPr>
                <w:rFonts w:ascii="宋体" w:hAnsi="宋体" w:cs="宋体"/>
                <w:spacing w:val="2"/>
                <w:szCs w:val="21"/>
              </w:rPr>
            </w:pPr>
          </w:p>
          <w:p>
            <w:pPr>
              <w:spacing w:line="280" w:lineRule="exact"/>
              <w:rPr>
                <w:rFonts w:ascii="宋体" w:hAnsi="宋体" w:cs="宋体"/>
                <w:spacing w:val="2"/>
                <w:szCs w:val="21"/>
              </w:rPr>
            </w:pPr>
          </w:p>
          <w:p>
            <w:pPr>
              <w:spacing w:line="280" w:lineRule="exact"/>
              <w:rPr>
                <w:rFonts w:ascii="宋体" w:hAnsi="宋体" w:cs="宋体"/>
                <w:spacing w:val="2"/>
                <w:szCs w:val="21"/>
              </w:rPr>
            </w:pPr>
          </w:p>
          <w:p>
            <w:pPr>
              <w:spacing w:line="280" w:lineRule="exact"/>
              <w:rPr>
                <w:rFonts w:ascii="宋体" w:hAnsi="宋体" w:cs="宋体"/>
                <w:spacing w:val="2"/>
                <w:szCs w:val="21"/>
              </w:rPr>
            </w:pPr>
          </w:p>
          <w:p>
            <w:pPr>
              <w:spacing w:line="280" w:lineRule="exact"/>
              <w:rPr>
                <w:rFonts w:ascii="宋体" w:hAnsi="宋体" w:cs="宋体"/>
                <w:spacing w:val="2"/>
                <w:szCs w:val="21"/>
              </w:rPr>
            </w:pPr>
          </w:p>
          <w:p>
            <w:pPr>
              <w:spacing w:line="280" w:lineRule="exact"/>
              <w:rPr>
                <w:rFonts w:ascii="宋体" w:hAnsi="宋体" w:cs="宋体"/>
                <w:spacing w:val="2"/>
                <w:szCs w:val="21"/>
              </w:rPr>
            </w:pPr>
          </w:p>
          <w:p>
            <w:pPr>
              <w:spacing w:line="280" w:lineRule="exact"/>
              <w:rPr>
                <w:rFonts w:ascii="宋体" w:hAnsi="宋体" w:cs="宋体"/>
                <w:spacing w:val="2"/>
                <w:szCs w:val="21"/>
              </w:rPr>
            </w:pPr>
          </w:p>
          <w:p>
            <w:pPr>
              <w:spacing w:line="280" w:lineRule="exact"/>
              <w:rPr>
                <w:rFonts w:ascii="宋体" w:hAnsi="宋体" w:cs="宋体"/>
                <w:spacing w:val="2"/>
                <w:szCs w:val="21"/>
              </w:rPr>
            </w:pPr>
          </w:p>
        </w:tc>
        <w:tc>
          <w:tcPr>
            <w:tcW w:w="1165" w:type="dxa"/>
            <w:vAlign w:val="center"/>
          </w:tcPr>
          <w:p>
            <w:pPr>
              <w:jc w:val="center"/>
              <w:rPr>
                <w:rFonts w:ascii="宋体" w:hAnsi="宋体" w:cs="宋体"/>
                <w:szCs w:val="21"/>
              </w:rPr>
            </w:pPr>
            <w:r>
              <w:rPr>
                <w:rFonts w:hint="eastAsia" w:ascii="宋体" w:hAnsi="宋体" w:cs="宋体"/>
                <w:szCs w:val="21"/>
              </w:rPr>
              <w:t>符合要求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4" w:hRule="atLeast"/>
          <w:jc w:val="center"/>
        </w:trPr>
        <w:tc>
          <w:tcPr>
            <w:tcW w:w="771" w:type="dxa"/>
            <w:vMerge w:val="continue"/>
          </w:tcPr>
          <w:p>
            <w:pPr>
              <w:spacing w:line="280" w:lineRule="exact"/>
              <w:rPr>
                <w:rFonts w:ascii="宋体" w:hAnsi="宋体" w:cs="宋体"/>
                <w:b/>
                <w:bCs/>
                <w:szCs w:val="21"/>
              </w:rPr>
            </w:pPr>
          </w:p>
        </w:tc>
        <w:tc>
          <w:tcPr>
            <w:tcW w:w="709" w:type="dxa"/>
            <w:vMerge w:val="continue"/>
          </w:tcPr>
          <w:p>
            <w:pPr>
              <w:spacing w:line="280" w:lineRule="exact"/>
              <w:rPr>
                <w:rFonts w:ascii="宋体" w:hAnsi="宋体" w:cs="宋体"/>
                <w:b/>
                <w:bCs/>
                <w:szCs w:val="21"/>
              </w:rPr>
            </w:pPr>
          </w:p>
        </w:tc>
        <w:tc>
          <w:tcPr>
            <w:tcW w:w="2409" w:type="dxa"/>
          </w:tcPr>
          <w:p>
            <w:pPr>
              <w:spacing w:line="280" w:lineRule="exact"/>
              <w:rPr>
                <w:rFonts w:ascii="宋体" w:hAnsi="宋体" w:cs="宋体"/>
                <w:spacing w:val="2"/>
                <w:szCs w:val="21"/>
              </w:rPr>
            </w:pPr>
          </w:p>
          <w:p>
            <w:pPr>
              <w:spacing w:line="280" w:lineRule="exact"/>
              <w:rPr>
                <w:rFonts w:ascii="宋体" w:hAnsi="宋体" w:cs="宋体"/>
                <w:spacing w:val="2"/>
                <w:szCs w:val="21"/>
              </w:rPr>
            </w:pPr>
          </w:p>
        </w:tc>
        <w:tc>
          <w:tcPr>
            <w:tcW w:w="2268" w:type="dxa"/>
          </w:tcPr>
          <w:p>
            <w:pPr>
              <w:spacing w:line="280" w:lineRule="exact"/>
              <w:rPr>
                <w:rFonts w:ascii="宋体" w:hAnsi="宋体" w:cs="宋体"/>
                <w:spacing w:val="2"/>
                <w:szCs w:val="21"/>
              </w:rPr>
            </w:pPr>
            <w:r>
              <w:rPr>
                <w:rFonts w:hint="eastAsia" w:ascii="宋体" w:hAnsi="宋体" w:cs="宋体"/>
                <w:spacing w:val="2"/>
                <w:szCs w:val="21"/>
              </w:rPr>
              <w:t>二级企业符合本要素要求，不得失分，不存在重大隐患。</w:t>
            </w:r>
          </w:p>
        </w:tc>
        <w:tc>
          <w:tcPr>
            <w:tcW w:w="2268" w:type="dxa"/>
          </w:tcPr>
          <w:p>
            <w:pPr>
              <w:spacing w:line="280" w:lineRule="exact"/>
              <w:rPr>
                <w:rFonts w:ascii="宋体" w:hAnsi="宋体" w:cs="宋体"/>
                <w:spacing w:val="2"/>
                <w:szCs w:val="21"/>
              </w:rPr>
            </w:pPr>
            <w:r>
              <w:rPr>
                <w:rFonts w:hint="eastAsia" w:ascii="宋体" w:hAnsi="宋体" w:cs="宋体"/>
                <w:spacing w:val="2"/>
                <w:szCs w:val="21"/>
              </w:rPr>
              <w:t>查文件：</w:t>
            </w:r>
          </w:p>
          <w:p>
            <w:pPr>
              <w:spacing w:line="280" w:lineRule="exact"/>
              <w:rPr>
                <w:rFonts w:ascii="宋体" w:hAnsi="宋体" w:cs="宋体"/>
                <w:spacing w:val="2"/>
                <w:szCs w:val="21"/>
              </w:rPr>
            </w:pPr>
            <w:r>
              <w:rPr>
                <w:rFonts w:hint="eastAsia" w:ascii="宋体" w:hAnsi="宋体" w:cs="宋体"/>
                <w:spacing w:val="2"/>
                <w:szCs w:val="21"/>
              </w:rPr>
              <w:t>本要素涉及的文件。</w:t>
            </w:r>
          </w:p>
          <w:p>
            <w:pPr>
              <w:spacing w:line="280" w:lineRule="exact"/>
              <w:rPr>
                <w:rFonts w:ascii="宋体" w:hAnsi="宋体" w:cs="宋体"/>
                <w:spacing w:val="2"/>
                <w:szCs w:val="21"/>
              </w:rPr>
            </w:pPr>
            <w:r>
              <w:rPr>
                <w:rFonts w:hint="eastAsia" w:ascii="宋体" w:hAnsi="宋体" w:cs="宋体"/>
                <w:spacing w:val="2"/>
                <w:szCs w:val="21"/>
              </w:rPr>
              <w:t>现场检查：</w:t>
            </w:r>
          </w:p>
          <w:p>
            <w:pPr>
              <w:spacing w:line="280" w:lineRule="exact"/>
              <w:rPr>
                <w:rFonts w:ascii="宋体" w:hAnsi="宋体" w:cs="宋体"/>
                <w:spacing w:val="2"/>
                <w:szCs w:val="21"/>
              </w:rPr>
            </w:pPr>
            <w:r>
              <w:rPr>
                <w:rFonts w:hint="eastAsia" w:ascii="宋体" w:hAnsi="宋体" w:cs="宋体"/>
                <w:spacing w:val="2"/>
                <w:szCs w:val="21"/>
              </w:rPr>
              <w:t>现场检查是否存在重大隐患。</w:t>
            </w:r>
          </w:p>
        </w:tc>
        <w:tc>
          <w:tcPr>
            <w:tcW w:w="1701" w:type="dxa"/>
          </w:tcPr>
          <w:p>
            <w:pPr>
              <w:spacing w:line="280" w:lineRule="exact"/>
              <w:rPr>
                <w:rFonts w:ascii="宋体" w:hAnsi="宋体" w:cs="宋体"/>
                <w:b/>
                <w:bCs/>
                <w:spacing w:val="2"/>
                <w:szCs w:val="21"/>
              </w:rPr>
            </w:pPr>
            <w:r>
              <w:rPr>
                <w:rFonts w:hint="eastAsia" w:ascii="宋体" w:hAnsi="宋体" w:cs="宋体"/>
                <w:b/>
                <w:bCs/>
                <w:spacing w:val="2"/>
                <w:szCs w:val="21"/>
              </w:rPr>
              <w:t>二级企业本要素若失分，或存在重大隐患，扣100分（A级要素否决项）。</w:t>
            </w:r>
          </w:p>
        </w:tc>
        <w:tc>
          <w:tcPr>
            <w:tcW w:w="2268" w:type="dxa"/>
          </w:tcPr>
          <w:p>
            <w:pPr>
              <w:spacing w:line="280" w:lineRule="exact"/>
              <w:rPr>
                <w:rFonts w:ascii="宋体" w:hAnsi="宋体" w:cs="宋体"/>
                <w:spacing w:val="2"/>
                <w:szCs w:val="21"/>
              </w:rPr>
            </w:pPr>
          </w:p>
          <w:p>
            <w:pPr>
              <w:spacing w:line="280" w:lineRule="exact"/>
              <w:rPr>
                <w:rFonts w:ascii="宋体" w:hAnsi="宋体" w:cs="宋体"/>
                <w:spacing w:val="2"/>
                <w:szCs w:val="21"/>
              </w:rPr>
            </w:pPr>
          </w:p>
          <w:p>
            <w:pPr>
              <w:spacing w:line="280" w:lineRule="exact"/>
              <w:rPr>
                <w:rFonts w:ascii="宋体" w:hAnsi="宋体" w:cs="宋体"/>
                <w:spacing w:val="2"/>
                <w:szCs w:val="21"/>
              </w:rPr>
            </w:pPr>
          </w:p>
        </w:tc>
        <w:tc>
          <w:tcPr>
            <w:tcW w:w="1165" w:type="dxa"/>
            <w:vAlign w:val="center"/>
          </w:tcPr>
          <w:p>
            <w:pPr>
              <w:jc w:val="center"/>
              <w:rPr>
                <w:rFonts w:ascii="宋体" w:hAnsi="宋体" w:cs="宋体"/>
                <w:szCs w:val="21"/>
              </w:rPr>
            </w:pPr>
            <w:r>
              <w:rPr>
                <w:rFonts w:hint="eastAsia" w:ascii="宋体" w:hAnsi="宋体" w:cs="宋体"/>
                <w:szCs w:val="21"/>
              </w:rPr>
              <w:t>不涉及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45" w:hRule="atLeast"/>
          <w:jc w:val="center"/>
        </w:trPr>
        <w:tc>
          <w:tcPr>
            <w:tcW w:w="771" w:type="dxa"/>
            <w:vMerge w:val="continue"/>
          </w:tcPr>
          <w:p>
            <w:pPr>
              <w:spacing w:line="280" w:lineRule="exact"/>
              <w:rPr>
                <w:rFonts w:ascii="宋体" w:hAnsi="宋体" w:cs="宋体"/>
                <w:b/>
                <w:bCs/>
                <w:szCs w:val="21"/>
              </w:rPr>
            </w:pPr>
          </w:p>
        </w:tc>
        <w:tc>
          <w:tcPr>
            <w:tcW w:w="709" w:type="dxa"/>
            <w:vMerge w:val="continue"/>
          </w:tcPr>
          <w:p>
            <w:pPr>
              <w:spacing w:line="280" w:lineRule="exact"/>
              <w:rPr>
                <w:rFonts w:ascii="宋体" w:hAnsi="宋体" w:cs="宋体"/>
                <w:b/>
                <w:bCs/>
                <w:szCs w:val="21"/>
              </w:rPr>
            </w:pPr>
          </w:p>
        </w:tc>
        <w:tc>
          <w:tcPr>
            <w:tcW w:w="2409" w:type="dxa"/>
          </w:tcPr>
          <w:p>
            <w:pPr>
              <w:spacing w:line="280" w:lineRule="exact"/>
              <w:rPr>
                <w:rFonts w:ascii="宋体" w:hAnsi="宋体" w:cs="宋体"/>
                <w:spacing w:val="2"/>
                <w:szCs w:val="21"/>
              </w:rPr>
            </w:pPr>
          </w:p>
        </w:tc>
        <w:tc>
          <w:tcPr>
            <w:tcW w:w="2268" w:type="dxa"/>
          </w:tcPr>
          <w:p>
            <w:pPr>
              <w:spacing w:line="280" w:lineRule="exact"/>
              <w:rPr>
                <w:rFonts w:ascii="宋体" w:hAnsi="宋体" w:cs="宋体"/>
                <w:spacing w:val="2"/>
                <w:szCs w:val="21"/>
              </w:rPr>
            </w:pPr>
            <w:r>
              <w:rPr>
                <w:rFonts w:hint="eastAsia" w:ascii="宋体" w:hAnsi="宋体" w:cs="宋体"/>
                <w:spacing w:val="2"/>
                <w:szCs w:val="21"/>
              </w:rPr>
              <w:t>一级企业建立安全生产预警预报体系。</w:t>
            </w:r>
          </w:p>
        </w:tc>
        <w:tc>
          <w:tcPr>
            <w:tcW w:w="2268" w:type="dxa"/>
          </w:tcPr>
          <w:p>
            <w:pPr>
              <w:spacing w:line="280" w:lineRule="exact"/>
              <w:rPr>
                <w:rFonts w:ascii="宋体" w:hAnsi="宋体" w:cs="宋体"/>
                <w:spacing w:val="2"/>
                <w:szCs w:val="21"/>
              </w:rPr>
            </w:pPr>
            <w:r>
              <w:rPr>
                <w:rFonts w:hint="eastAsia" w:ascii="宋体" w:hAnsi="宋体" w:cs="宋体"/>
                <w:spacing w:val="2"/>
                <w:szCs w:val="21"/>
              </w:rPr>
              <w:t>查文件：</w:t>
            </w:r>
          </w:p>
          <w:p>
            <w:pPr>
              <w:spacing w:line="280" w:lineRule="exact"/>
              <w:rPr>
                <w:rFonts w:ascii="宋体" w:hAnsi="宋体" w:cs="宋体"/>
                <w:spacing w:val="2"/>
                <w:szCs w:val="21"/>
              </w:rPr>
            </w:pPr>
            <w:r>
              <w:rPr>
                <w:rFonts w:hint="eastAsia" w:ascii="宋体" w:hAnsi="宋体" w:cs="宋体"/>
                <w:spacing w:val="2"/>
                <w:szCs w:val="21"/>
              </w:rPr>
              <w:t>安全生产预警预报体系有关文件。</w:t>
            </w:r>
          </w:p>
          <w:p>
            <w:pPr>
              <w:spacing w:line="280" w:lineRule="exact"/>
              <w:rPr>
                <w:rFonts w:ascii="宋体" w:hAnsi="宋体" w:cs="宋体"/>
                <w:spacing w:val="2"/>
                <w:szCs w:val="21"/>
              </w:rPr>
            </w:pPr>
            <w:r>
              <w:rPr>
                <w:rFonts w:hint="eastAsia" w:ascii="宋体" w:hAnsi="宋体" w:cs="宋体"/>
                <w:spacing w:val="2"/>
                <w:szCs w:val="21"/>
              </w:rPr>
              <w:t>现场检查：</w:t>
            </w:r>
          </w:p>
          <w:p>
            <w:pPr>
              <w:spacing w:line="280" w:lineRule="exact"/>
              <w:rPr>
                <w:rFonts w:ascii="宋体" w:hAnsi="宋体" w:cs="宋体"/>
                <w:spacing w:val="2"/>
                <w:szCs w:val="21"/>
              </w:rPr>
            </w:pPr>
            <w:r>
              <w:rPr>
                <w:rFonts w:hint="eastAsia" w:ascii="宋体" w:hAnsi="宋体" w:cs="宋体"/>
                <w:spacing w:val="2"/>
                <w:szCs w:val="21"/>
              </w:rPr>
              <w:t>现场检查体系运行情况。</w:t>
            </w:r>
          </w:p>
        </w:tc>
        <w:tc>
          <w:tcPr>
            <w:tcW w:w="1701" w:type="dxa"/>
          </w:tcPr>
          <w:p>
            <w:pPr>
              <w:spacing w:line="280" w:lineRule="exact"/>
              <w:rPr>
                <w:rFonts w:ascii="宋体" w:hAnsi="宋体" w:cs="宋体"/>
                <w:b/>
                <w:bCs/>
                <w:spacing w:val="2"/>
                <w:szCs w:val="21"/>
              </w:rPr>
            </w:pPr>
            <w:r>
              <w:rPr>
                <w:rFonts w:hint="eastAsia" w:ascii="宋体" w:hAnsi="宋体" w:cs="宋体"/>
                <w:b/>
                <w:bCs/>
                <w:spacing w:val="2"/>
                <w:szCs w:val="21"/>
              </w:rPr>
              <w:t>一级企业未建立安全预警预报体系，扣100分（A级要素否决项）。</w:t>
            </w:r>
          </w:p>
        </w:tc>
        <w:tc>
          <w:tcPr>
            <w:tcW w:w="2268" w:type="dxa"/>
          </w:tcPr>
          <w:p>
            <w:pPr>
              <w:spacing w:line="280" w:lineRule="exact"/>
              <w:rPr>
                <w:rFonts w:ascii="宋体" w:hAnsi="宋体" w:cs="宋体"/>
                <w:spacing w:val="2"/>
                <w:szCs w:val="21"/>
              </w:rPr>
            </w:pPr>
          </w:p>
        </w:tc>
        <w:tc>
          <w:tcPr>
            <w:tcW w:w="1165" w:type="dxa"/>
            <w:vAlign w:val="center"/>
          </w:tcPr>
          <w:p>
            <w:pPr>
              <w:jc w:val="center"/>
              <w:rPr>
                <w:rFonts w:ascii="宋体" w:hAnsi="宋体" w:cs="宋体"/>
                <w:szCs w:val="21"/>
              </w:rPr>
            </w:pPr>
            <w:r>
              <w:rPr>
                <w:rFonts w:hint="eastAsia" w:ascii="宋体" w:hAnsi="宋体" w:cs="宋体"/>
                <w:szCs w:val="21"/>
              </w:rPr>
              <w:t>不涉及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771" w:type="dxa"/>
            <w:vMerge w:val="continue"/>
          </w:tcPr>
          <w:p>
            <w:pPr>
              <w:spacing w:line="280" w:lineRule="exact"/>
              <w:rPr>
                <w:rFonts w:ascii="宋体" w:hAnsi="宋体" w:cs="宋体"/>
                <w:b/>
                <w:bCs/>
                <w:szCs w:val="21"/>
              </w:rPr>
            </w:pPr>
          </w:p>
        </w:tc>
        <w:tc>
          <w:tcPr>
            <w:tcW w:w="709" w:type="dxa"/>
            <w:vMerge w:val="restart"/>
          </w:tcPr>
          <w:p>
            <w:pPr>
              <w:spacing w:line="280" w:lineRule="exact"/>
              <w:rPr>
                <w:rFonts w:ascii="宋体" w:hAnsi="宋体" w:cs="宋体"/>
                <w:b/>
                <w:bCs/>
                <w:szCs w:val="21"/>
              </w:rPr>
            </w:pPr>
            <w:r>
              <w:rPr>
                <w:rFonts w:hint="eastAsia" w:ascii="宋体" w:hAnsi="宋体" w:cs="宋体"/>
                <w:b/>
                <w:bCs/>
                <w:szCs w:val="21"/>
              </w:rPr>
              <w:t>3.5 重大危险源</w:t>
            </w:r>
          </w:p>
          <w:p>
            <w:pPr>
              <w:spacing w:line="280" w:lineRule="exact"/>
              <w:rPr>
                <w:rFonts w:ascii="宋体" w:hAnsi="宋体" w:cs="宋体"/>
                <w:b/>
                <w:bCs/>
                <w:szCs w:val="21"/>
              </w:rPr>
            </w:pPr>
            <w:r>
              <w:rPr>
                <w:rFonts w:hint="eastAsia" w:ascii="宋体" w:hAnsi="宋体" w:cs="宋体"/>
                <w:b/>
                <w:bCs/>
                <w:szCs w:val="21"/>
              </w:rPr>
              <w:t>（20分）</w:t>
            </w:r>
          </w:p>
        </w:tc>
        <w:tc>
          <w:tcPr>
            <w:tcW w:w="2409" w:type="dxa"/>
          </w:tcPr>
          <w:p>
            <w:pPr>
              <w:spacing w:line="280" w:lineRule="exact"/>
              <w:rPr>
                <w:rFonts w:ascii="宋体" w:hAnsi="宋体" w:cs="宋体"/>
                <w:spacing w:val="2"/>
                <w:szCs w:val="21"/>
              </w:rPr>
            </w:pPr>
            <w:r>
              <w:rPr>
                <w:rFonts w:hint="eastAsia" w:ascii="宋体" w:hAnsi="宋体" w:cs="宋体"/>
                <w:spacing w:val="2"/>
                <w:szCs w:val="21"/>
              </w:rPr>
              <w:t>1.企业应按照GB18218辨识并确定重大危险源，建立重大危险源档案。</w:t>
            </w:r>
          </w:p>
        </w:tc>
        <w:tc>
          <w:tcPr>
            <w:tcW w:w="2268" w:type="dxa"/>
          </w:tcPr>
          <w:p>
            <w:pPr>
              <w:spacing w:line="280" w:lineRule="exact"/>
              <w:rPr>
                <w:rFonts w:ascii="宋体" w:hAnsi="宋体" w:cs="宋体"/>
                <w:spacing w:val="2"/>
                <w:szCs w:val="21"/>
              </w:rPr>
            </w:pPr>
            <w:r>
              <w:rPr>
                <w:rFonts w:hint="eastAsia" w:ascii="宋体" w:hAnsi="宋体" w:cs="宋体"/>
                <w:spacing w:val="2"/>
                <w:szCs w:val="21"/>
              </w:rPr>
              <w:t>1.按照GB18218辨识并确定重大危险源；</w:t>
            </w:r>
          </w:p>
          <w:p>
            <w:pPr>
              <w:spacing w:line="280" w:lineRule="exact"/>
              <w:rPr>
                <w:rFonts w:ascii="宋体" w:hAnsi="宋体" w:cs="宋体"/>
                <w:spacing w:val="2"/>
                <w:szCs w:val="21"/>
              </w:rPr>
            </w:pPr>
            <w:r>
              <w:rPr>
                <w:rFonts w:hint="eastAsia" w:ascii="宋体" w:hAnsi="宋体" w:cs="宋体"/>
                <w:spacing w:val="2"/>
                <w:szCs w:val="21"/>
              </w:rPr>
              <w:t>2.建立重大危险源档案，包括：辨识、分级记录；重大危险源基本特征表；区域位置图、平面布置图、工艺流程图和主要设备一览表；重大危险源安全管理制度及安全操作规程；安全监测监控系统、措施说明；事故应急预案；安全评价报告或安全评估报告。</w:t>
            </w:r>
          </w:p>
        </w:tc>
        <w:tc>
          <w:tcPr>
            <w:tcW w:w="2268" w:type="dxa"/>
          </w:tcPr>
          <w:p>
            <w:pPr>
              <w:spacing w:line="280" w:lineRule="exact"/>
              <w:rPr>
                <w:rFonts w:ascii="宋体" w:hAnsi="宋体" w:cs="宋体"/>
                <w:spacing w:val="2"/>
                <w:szCs w:val="21"/>
              </w:rPr>
            </w:pPr>
            <w:r>
              <w:rPr>
                <w:rFonts w:hint="eastAsia" w:ascii="宋体" w:hAnsi="宋体" w:cs="宋体"/>
                <w:spacing w:val="2"/>
                <w:szCs w:val="21"/>
              </w:rPr>
              <w:t>查文件：</w:t>
            </w:r>
          </w:p>
          <w:p>
            <w:pPr>
              <w:spacing w:line="280" w:lineRule="exact"/>
              <w:rPr>
                <w:rFonts w:ascii="宋体" w:hAnsi="宋体" w:cs="宋体"/>
                <w:spacing w:val="2"/>
                <w:szCs w:val="21"/>
              </w:rPr>
            </w:pPr>
            <w:r>
              <w:rPr>
                <w:rFonts w:hint="eastAsia" w:ascii="宋体" w:hAnsi="宋体" w:cs="宋体"/>
                <w:spacing w:val="2"/>
                <w:szCs w:val="21"/>
              </w:rPr>
              <w:t>1.重大危险源管理制度的建立和执行情况；</w:t>
            </w:r>
          </w:p>
          <w:p>
            <w:pPr>
              <w:spacing w:line="280" w:lineRule="exact"/>
              <w:rPr>
                <w:rFonts w:ascii="宋体" w:hAnsi="宋体" w:cs="宋体"/>
                <w:spacing w:val="2"/>
                <w:szCs w:val="21"/>
              </w:rPr>
            </w:pPr>
            <w:r>
              <w:rPr>
                <w:rFonts w:hint="eastAsia" w:ascii="宋体" w:hAnsi="宋体" w:cs="宋体"/>
                <w:spacing w:val="2"/>
                <w:szCs w:val="21"/>
              </w:rPr>
              <w:t>2．安全评价报告或安全评估报告；</w:t>
            </w:r>
          </w:p>
          <w:p>
            <w:pPr>
              <w:spacing w:line="280" w:lineRule="exact"/>
              <w:rPr>
                <w:rFonts w:ascii="宋体" w:hAnsi="宋体" w:cs="宋体"/>
                <w:spacing w:val="2"/>
                <w:szCs w:val="21"/>
              </w:rPr>
            </w:pPr>
            <w:r>
              <w:rPr>
                <w:rFonts w:hint="eastAsia" w:ascii="宋体" w:hAnsi="宋体" w:cs="宋体"/>
                <w:spacing w:val="2"/>
                <w:szCs w:val="21"/>
              </w:rPr>
              <w:t>3.重大危险源档案。</w:t>
            </w:r>
          </w:p>
        </w:tc>
        <w:tc>
          <w:tcPr>
            <w:tcW w:w="1701" w:type="dxa"/>
          </w:tcPr>
          <w:p>
            <w:pPr>
              <w:spacing w:line="280" w:lineRule="exact"/>
              <w:rPr>
                <w:rFonts w:ascii="宋体" w:hAnsi="宋体" w:cs="宋体"/>
                <w:spacing w:val="2"/>
                <w:szCs w:val="21"/>
              </w:rPr>
            </w:pPr>
            <w:r>
              <w:rPr>
                <w:rFonts w:hint="eastAsia" w:ascii="宋体" w:hAnsi="宋体" w:cs="宋体"/>
                <w:b/>
                <w:bCs/>
                <w:spacing w:val="2"/>
                <w:szCs w:val="21"/>
              </w:rPr>
              <w:t>未建立重大危险源管理制度，或未辨识、确定重大危险源，扣100分（A级要素否决项）。</w:t>
            </w:r>
          </w:p>
        </w:tc>
        <w:tc>
          <w:tcPr>
            <w:tcW w:w="2268" w:type="dxa"/>
          </w:tcPr>
          <w:p>
            <w:pPr>
              <w:spacing w:line="280" w:lineRule="exact"/>
              <w:rPr>
                <w:rFonts w:ascii="宋体" w:hAnsi="宋体" w:cs="宋体"/>
                <w:spacing w:val="2"/>
                <w:szCs w:val="21"/>
              </w:rPr>
            </w:pPr>
            <w:r>
              <w:rPr>
                <w:rFonts w:hint="eastAsia" w:ascii="宋体" w:hAnsi="宋体" w:cs="宋体"/>
                <w:spacing w:val="2"/>
                <w:szCs w:val="21"/>
              </w:rPr>
              <w:t>1.每遗漏一处扣5分；</w:t>
            </w:r>
          </w:p>
          <w:p>
            <w:pPr>
              <w:spacing w:line="280" w:lineRule="exact"/>
              <w:rPr>
                <w:rFonts w:ascii="宋体" w:hAnsi="宋体" w:cs="宋体"/>
                <w:spacing w:val="2"/>
                <w:szCs w:val="21"/>
              </w:rPr>
            </w:pPr>
            <w:r>
              <w:rPr>
                <w:rFonts w:hint="eastAsia" w:ascii="宋体" w:hAnsi="宋体" w:cs="宋体"/>
                <w:spacing w:val="2"/>
                <w:szCs w:val="21"/>
              </w:rPr>
              <w:t>2.未建立重大危险源档案，扣5分；</w:t>
            </w:r>
          </w:p>
          <w:p>
            <w:pPr>
              <w:spacing w:line="280" w:lineRule="exact"/>
              <w:rPr>
                <w:rFonts w:ascii="宋体" w:hAnsi="宋体" w:cs="宋体"/>
                <w:spacing w:val="2"/>
                <w:szCs w:val="21"/>
              </w:rPr>
            </w:pPr>
            <w:r>
              <w:rPr>
                <w:rFonts w:hint="eastAsia" w:ascii="宋体" w:hAnsi="宋体" w:cs="宋体"/>
                <w:spacing w:val="2"/>
                <w:szCs w:val="21"/>
              </w:rPr>
              <w:t>3.档案内容，每遗漏一项或一项不符合扣1分。</w:t>
            </w:r>
          </w:p>
          <w:p>
            <w:pPr>
              <w:spacing w:line="280" w:lineRule="exact"/>
              <w:rPr>
                <w:rFonts w:ascii="宋体" w:hAnsi="宋体" w:cs="宋体"/>
                <w:spacing w:val="2"/>
                <w:szCs w:val="21"/>
              </w:rPr>
            </w:pPr>
          </w:p>
        </w:tc>
        <w:tc>
          <w:tcPr>
            <w:tcW w:w="1165" w:type="dxa"/>
            <w:vAlign w:val="center"/>
          </w:tcPr>
          <w:p>
            <w:pPr>
              <w:jc w:val="center"/>
              <w:rPr>
                <w:rFonts w:ascii="宋体" w:hAnsi="宋体" w:cs="宋体"/>
                <w:szCs w:val="21"/>
              </w:rPr>
            </w:pPr>
            <w:r>
              <w:rPr>
                <w:rFonts w:hint="eastAsia" w:ascii="宋体" w:hAnsi="宋体" w:cs="宋体"/>
                <w:szCs w:val="21"/>
              </w:rPr>
              <w:t>符合要求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771" w:type="dxa"/>
            <w:vMerge w:val="continue"/>
          </w:tcPr>
          <w:p>
            <w:pPr>
              <w:spacing w:line="280" w:lineRule="exact"/>
              <w:rPr>
                <w:rFonts w:ascii="宋体" w:hAnsi="宋体" w:cs="宋体"/>
                <w:b/>
                <w:bCs/>
                <w:szCs w:val="21"/>
              </w:rPr>
            </w:pPr>
          </w:p>
        </w:tc>
        <w:tc>
          <w:tcPr>
            <w:tcW w:w="709" w:type="dxa"/>
            <w:vMerge w:val="continue"/>
          </w:tcPr>
          <w:p>
            <w:pPr>
              <w:spacing w:line="280" w:lineRule="exact"/>
              <w:rPr>
                <w:rFonts w:ascii="宋体" w:hAnsi="宋体" w:cs="宋体"/>
                <w:b/>
                <w:bCs/>
                <w:szCs w:val="21"/>
              </w:rPr>
            </w:pPr>
          </w:p>
        </w:tc>
        <w:tc>
          <w:tcPr>
            <w:tcW w:w="2409" w:type="dxa"/>
          </w:tcPr>
          <w:p>
            <w:pPr>
              <w:spacing w:line="280" w:lineRule="exact"/>
              <w:rPr>
                <w:rFonts w:ascii="宋体" w:hAnsi="宋体" w:cs="宋体"/>
                <w:spacing w:val="2"/>
                <w:szCs w:val="21"/>
              </w:rPr>
            </w:pPr>
            <w:r>
              <w:rPr>
                <w:rFonts w:hint="eastAsia" w:ascii="宋体" w:hAnsi="宋体" w:cs="宋体"/>
                <w:spacing w:val="2"/>
                <w:szCs w:val="21"/>
              </w:rPr>
              <w:t>2.企业应按照有关规定对重大危险源设置安全监控报警系统。</w:t>
            </w:r>
          </w:p>
        </w:tc>
        <w:tc>
          <w:tcPr>
            <w:tcW w:w="2268" w:type="dxa"/>
          </w:tcPr>
          <w:p>
            <w:pPr>
              <w:spacing w:line="280" w:lineRule="exact"/>
              <w:rPr>
                <w:rFonts w:ascii="宋体" w:hAnsi="宋体" w:cs="宋体"/>
                <w:spacing w:val="2"/>
                <w:szCs w:val="21"/>
              </w:rPr>
            </w:pPr>
            <w:r>
              <w:rPr>
                <w:rFonts w:hint="eastAsia" w:ascii="宋体" w:hAnsi="宋体" w:cs="宋体"/>
                <w:spacing w:val="2"/>
                <w:szCs w:val="21"/>
              </w:rPr>
              <w:t>1.重大危险源涉及的压力、温度、液位、泄漏报警等重要参数的测量要有远传和连续记录；</w:t>
            </w:r>
          </w:p>
          <w:p>
            <w:pPr>
              <w:spacing w:line="280" w:lineRule="exact"/>
              <w:rPr>
                <w:rFonts w:ascii="宋体" w:hAnsi="宋体" w:cs="宋体"/>
                <w:spacing w:val="2"/>
                <w:szCs w:val="21"/>
              </w:rPr>
            </w:pPr>
            <w:r>
              <w:rPr>
                <w:rFonts w:hint="eastAsia" w:ascii="宋体" w:hAnsi="宋体" w:cs="宋体"/>
                <w:spacing w:val="2"/>
                <w:szCs w:val="21"/>
              </w:rPr>
              <w:t>2.对毒性气体、剧毒液体和易燃气体等重点设施应设置紧急切断装置；</w:t>
            </w:r>
          </w:p>
          <w:p>
            <w:pPr>
              <w:spacing w:line="280" w:lineRule="exact"/>
              <w:rPr>
                <w:rFonts w:ascii="宋体" w:hAnsi="宋体" w:cs="宋体"/>
                <w:spacing w:val="2"/>
                <w:szCs w:val="21"/>
              </w:rPr>
            </w:pPr>
            <w:r>
              <w:rPr>
                <w:rFonts w:hint="eastAsia" w:ascii="宋体" w:hAnsi="宋体" w:cs="宋体"/>
                <w:spacing w:val="2"/>
                <w:szCs w:val="21"/>
              </w:rPr>
              <w:t>3.毒性气体应设置泄漏物紧急处置装置，独立的安全仪表系统；</w:t>
            </w:r>
          </w:p>
          <w:p>
            <w:pPr>
              <w:spacing w:line="280" w:lineRule="exact"/>
              <w:rPr>
                <w:rFonts w:ascii="宋体" w:hAnsi="宋体" w:cs="宋体"/>
                <w:spacing w:val="2"/>
                <w:szCs w:val="21"/>
              </w:rPr>
            </w:pPr>
            <w:r>
              <w:rPr>
                <w:rFonts w:hint="eastAsia" w:ascii="宋体" w:hAnsi="宋体" w:cs="宋体"/>
                <w:spacing w:val="2"/>
                <w:szCs w:val="21"/>
              </w:rPr>
              <w:t>4.设置必要的视频监控系统。</w:t>
            </w:r>
          </w:p>
        </w:tc>
        <w:tc>
          <w:tcPr>
            <w:tcW w:w="2268" w:type="dxa"/>
          </w:tcPr>
          <w:p>
            <w:pPr>
              <w:spacing w:line="280" w:lineRule="exact"/>
              <w:rPr>
                <w:rFonts w:ascii="宋体" w:hAnsi="宋体" w:cs="宋体"/>
                <w:spacing w:val="2"/>
                <w:szCs w:val="21"/>
              </w:rPr>
            </w:pPr>
            <w:r>
              <w:rPr>
                <w:rFonts w:hint="eastAsia" w:ascii="宋体" w:hAnsi="宋体" w:cs="宋体"/>
                <w:spacing w:val="2"/>
                <w:szCs w:val="21"/>
              </w:rPr>
              <w:t>查文件：</w:t>
            </w:r>
          </w:p>
          <w:p>
            <w:pPr>
              <w:spacing w:line="280" w:lineRule="exact"/>
              <w:rPr>
                <w:rFonts w:ascii="宋体" w:hAnsi="宋体" w:cs="宋体"/>
                <w:spacing w:val="2"/>
                <w:szCs w:val="21"/>
              </w:rPr>
            </w:pPr>
            <w:r>
              <w:rPr>
                <w:rFonts w:hint="eastAsia" w:ascii="宋体" w:hAnsi="宋体" w:cs="宋体"/>
                <w:spacing w:val="2"/>
                <w:szCs w:val="21"/>
              </w:rPr>
              <w:t>安全监控报警设施台账。</w:t>
            </w:r>
          </w:p>
          <w:p>
            <w:pPr>
              <w:spacing w:line="280" w:lineRule="exact"/>
              <w:rPr>
                <w:rFonts w:ascii="宋体" w:hAnsi="宋体" w:cs="宋体"/>
                <w:spacing w:val="2"/>
                <w:szCs w:val="21"/>
              </w:rPr>
            </w:pPr>
            <w:r>
              <w:rPr>
                <w:rFonts w:hint="eastAsia" w:ascii="宋体" w:hAnsi="宋体" w:cs="宋体"/>
                <w:spacing w:val="2"/>
                <w:szCs w:val="21"/>
              </w:rPr>
              <w:t>现场检查：</w:t>
            </w:r>
          </w:p>
          <w:p>
            <w:pPr>
              <w:spacing w:line="280" w:lineRule="exact"/>
              <w:rPr>
                <w:rFonts w:ascii="宋体" w:hAnsi="宋体" w:cs="宋体"/>
                <w:spacing w:val="2"/>
                <w:szCs w:val="21"/>
              </w:rPr>
            </w:pPr>
            <w:r>
              <w:rPr>
                <w:rFonts w:hint="eastAsia" w:ascii="宋体" w:hAnsi="宋体" w:cs="宋体"/>
                <w:spacing w:val="2"/>
                <w:szCs w:val="21"/>
              </w:rPr>
              <w:t>1.重大危险源安全监控报警系统，重要参数远传和连续记录、视频监控系统等；</w:t>
            </w:r>
          </w:p>
          <w:p>
            <w:pPr>
              <w:spacing w:line="280" w:lineRule="exact"/>
              <w:rPr>
                <w:rFonts w:ascii="宋体" w:hAnsi="宋体" w:cs="宋体"/>
                <w:spacing w:val="2"/>
                <w:szCs w:val="21"/>
              </w:rPr>
            </w:pPr>
            <w:r>
              <w:rPr>
                <w:rFonts w:hint="eastAsia" w:ascii="宋体" w:hAnsi="宋体" w:cs="宋体"/>
                <w:spacing w:val="2"/>
                <w:szCs w:val="21"/>
              </w:rPr>
              <w:t>2.毒性气体、剧毒液体和易燃气体等重点设施紧急切断装置；</w:t>
            </w:r>
          </w:p>
          <w:p>
            <w:pPr>
              <w:spacing w:line="280" w:lineRule="exact"/>
              <w:rPr>
                <w:rFonts w:ascii="宋体" w:hAnsi="宋体" w:cs="宋体"/>
                <w:spacing w:val="2"/>
                <w:szCs w:val="21"/>
              </w:rPr>
            </w:pPr>
            <w:r>
              <w:rPr>
                <w:rFonts w:hint="eastAsia" w:ascii="宋体" w:hAnsi="宋体" w:cs="宋体"/>
                <w:spacing w:val="2"/>
                <w:szCs w:val="21"/>
              </w:rPr>
              <w:t>3.毒性气体泄漏物紧急处置装置及安全仪表系统</w:t>
            </w:r>
          </w:p>
        </w:tc>
        <w:tc>
          <w:tcPr>
            <w:tcW w:w="1701" w:type="dxa"/>
          </w:tcPr>
          <w:p>
            <w:pPr>
              <w:spacing w:line="280" w:lineRule="exact"/>
              <w:rPr>
                <w:rFonts w:ascii="宋体" w:hAnsi="宋体" w:cs="宋体"/>
                <w:spacing w:val="2"/>
                <w:szCs w:val="21"/>
              </w:rPr>
            </w:pPr>
          </w:p>
        </w:tc>
        <w:tc>
          <w:tcPr>
            <w:tcW w:w="2268" w:type="dxa"/>
          </w:tcPr>
          <w:p>
            <w:pPr>
              <w:spacing w:line="280" w:lineRule="exact"/>
              <w:rPr>
                <w:rFonts w:ascii="宋体" w:hAnsi="宋体" w:cs="宋体"/>
                <w:spacing w:val="2"/>
                <w:szCs w:val="21"/>
              </w:rPr>
            </w:pPr>
            <w:r>
              <w:rPr>
                <w:rFonts w:hint="eastAsia" w:ascii="宋体" w:hAnsi="宋体" w:cs="宋体"/>
                <w:spacing w:val="2"/>
                <w:szCs w:val="21"/>
              </w:rPr>
              <w:t>1.未按有关规定设置安全监控报警系统，一项不符合扣2分；安全监测监控报警系统不符合国家标准或行业标准，一项不符合扣2分；</w:t>
            </w:r>
          </w:p>
          <w:p>
            <w:pPr>
              <w:spacing w:line="280" w:lineRule="exact"/>
              <w:rPr>
                <w:rFonts w:ascii="宋体" w:hAnsi="宋体" w:cs="宋体"/>
                <w:spacing w:val="2"/>
                <w:szCs w:val="21"/>
              </w:rPr>
            </w:pPr>
            <w:r>
              <w:rPr>
                <w:rFonts w:hint="eastAsia" w:ascii="宋体" w:hAnsi="宋体" w:cs="宋体"/>
                <w:spacing w:val="2"/>
                <w:szCs w:val="21"/>
              </w:rPr>
              <w:t>2.毒性气体、剧毒液体和易燃气体等重点设施未设置紧急切断装置扣2分；</w:t>
            </w:r>
          </w:p>
          <w:p>
            <w:pPr>
              <w:spacing w:line="280" w:lineRule="exact"/>
              <w:rPr>
                <w:rFonts w:ascii="宋体" w:hAnsi="宋体" w:cs="宋体"/>
                <w:spacing w:val="2"/>
                <w:szCs w:val="21"/>
              </w:rPr>
            </w:pPr>
            <w:r>
              <w:rPr>
                <w:rFonts w:hint="eastAsia" w:ascii="宋体" w:hAnsi="宋体" w:cs="宋体"/>
                <w:spacing w:val="2"/>
                <w:szCs w:val="21"/>
              </w:rPr>
              <w:t>3.毒性气体未设置泄漏物紧急处置装置及独立的安全仪表系统，一项不符合扣2分。</w:t>
            </w:r>
          </w:p>
        </w:tc>
        <w:tc>
          <w:tcPr>
            <w:tcW w:w="1165" w:type="dxa"/>
            <w:vAlign w:val="center"/>
          </w:tcPr>
          <w:p>
            <w:pPr>
              <w:jc w:val="center"/>
              <w:rPr>
                <w:rFonts w:ascii="宋体" w:hAnsi="宋体" w:cs="宋体"/>
                <w:szCs w:val="21"/>
              </w:rPr>
            </w:pPr>
            <w:r>
              <w:rPr>
                <w:rFonts w:hint="eastAsia" w:ascii="宋体" w:hAnsi="宋体" w:cs="宋体"/>
                <w:szCs w:val="21"/>
              </w:rPr>
              <w:t>符合要求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771" w:type="dxa"/>
            <w:vMerge w:val="continue"/>
          </w:tcPr>
          <w:p>
            <w:pPr>
              <w:spacing w:line="280" w:lineRule="exact"/>
              <w:rPr>
                <w:rFonts w:ascii="宋体" w:hAnsi="宋体" w:cs="宋体"/>
                <w:b/>
                <w:bCs/>
                <w:szCs w:val="21"/>
              </w:rPr>
            </w:pPr>
          </w:p>
        </w:tc>
        <w:tc>
          <w:tcPr>
            <w:tcW w:w="709" w:type="dxa"/>
            <w:vMerge w:val="continue"/>
          </w:tcPr>
          <w:p>
            <w:pPr>
              <w:spacing w:line="280" w:lineRule="exact"/>
              <w:rPr>
                <w:rFonts w:ascii="宋体" w:hAnsi="宋体" w:cs="宋体"/>
                <w:b/>
                <w:bCs/>
                <w:szCs w:val="21"/>
              </w:rPr>
            </w:pPr>
          </w:p>
        </w:tc>
        <w:tc>
          <w:tcPr>
            <w:tcW w:w="2409" w:type="dxa"/>
          </w:tcPr>
          <w:p>
            <w:pPr>
              <w:spacing w:line="280" w:lineRule="exact"/>
              <w:rPr>
                <w:rFonts w:ascii="宋体" w:hAnsi="宋体" w:cs="宋体"/>
                <w:spacing w:val="2"/>
                <w:szCs w:val="21"/>
              </w:rPr>
            </w:pPr>
            <w:r>
              <w:rPr>
                <w:rFonts w:hint="eastAsia" w:ascii="宋体" w:hAnsi="宋体" w:cs="宋体"/>
                <w:spacing w:val="2"/>
                <w:szCs w:val="21"/>
              </w:rPr>
              <w:t>3.企业应按照国家有关规定，定期对重大危险源进行安全评估。</w:t>
            </w:r>
          </w:p>
        </w:tc>
        <w:tc>
          <w:tcPr>
            <w:tcW w:w="2268" w:type="dxa"/>
          </w:tcPr>
          <w:p>
            <w:pPr>
              <w:spacing w:line="280" w:lineRule="exact"/>
              <w:rPr>
                <w:rFonts w:ascii="宋体" w:hAnsi="宋体" w:cs="宋体"/>
                <w:spacing w:val="2"/>
                <w:szCs w:val="21"/>
              </w:rPr>
            </w:pPr>
            <w:r>
              <w:rPr>
                <w:rFonts w:hint="eastAsia" w:ascii="宋体" w:hAnsi="宋体" w:cs="宋体"/>
                <w:spacing w:val="2"/>
                <w:szCs w:val="21"/>
              </w:rPr>
              <w:t>1.建立、明确定期评估的时限和要求等；</w:t>
            </w:r>
          </w:p>
          <w:p>
            <w:pPr>
              <w:spacing w:line="280" w:lineRule="exact"/>
              <w:rPr>
                <w:rFonts w:ascii="宋体" w:hAnsi="宋体" w:cs="宋体"/>
                <w:spacing w:val="2"/>
                <w:szCs w:val="21"/>
              </w:rPr>
            </w:pPr>
            <w:r>
              <w:rPr>
                <w:rFonts w:hint="eastAsia" w:ascii="宋体" w:hAnsi="宋体" w:cs="宋体"/>
                <w:spacing w:val="2"/>
                <w:szCs w:val="21"/>
              </w:rPr>
              <w:t>2.定期对重大危险源进行安全评估。</w:t>
            </w:r>
          </w:p>
        </w:tc>
        <w:tc>
          <w:tcPr>
            <w:tcW w:w="2268" w:type="dxa"/>
          </w:tcPr>
          <w:p>
            <w:pPr>
              <w:spacing w:line="280" w:lineRule="exact"/>
              <w:rPr>
                <w:rFonts w:ascii="宋体" w:hAnsi="宋体" w:cs="宋体"/>
                <w:spacing w:val="2"/>
                <w:szCs w:val="21"/>
              </w:rPr>
            </w:pPr>
            <w:r>
              <w:rPr>
                <w:rFonts w:hint="eastAsia" w:ascii="宋体" w:hAnsi="宋体" w:cs="宋体"/>
                <w:spacing w:val="2"/>
                <w:szCs w:val="21"/>
              </w:rPr>
              <w:t>查文件：</w:t>
            </w:r>
          </w:p>
          <w:p>
            <w:pPr>
              <w:spacing w:line="280" w:lineRule="exact"/>
              <w:rPr>
                <w:rFonts w:ascii="宋体" w:hAnsi="宋体" w:cs="宋体"/>
                <w:spacing w:val="2"/>
                <w:szCs w:val="21"/>
              </w:rPr>
            </w:pPr>
            <w:r>
              <w:rPr>
                <w:rFonts w:hint="eastAsia" w:ascii="宋体" w:hAnsi="宋体" w:cs="宋体"/>
                <w:spacing w:val="2"/>
                <w:szCs w:val="21"/>
              </w:rPr>
              <w:t>1.重大危险源定期评估制；</w:t>
            </w:r>
          </w:p>
          <w:p>
            <w:pPr>
              <w:spacing w:line="280" w:lineRule="exact"/>
              <w:rPr>
                <w:rFonts w:ascii="宋体" w:hAnsi="宋体" w:cs="宋体"/>
                <w:spacing w:val="2"/>
                <w:szCs w:val="21"/>
              </w:rPr>
            </w:pPr>
            <w:r>
              <w:rPr>
                <w:rFonts w:hint="eastAsia" w:ascii="宋体" w:hAnsi="宋体" w:cs="宋体"/>
                <w:spacing w:val="2"/>
                <w:szCs w:val="21"/>
              </w:rPr>
              <w:t>2.定期安全评估报告。</w:t>
            </w:r>
          </w:p>
        </w:tc>
        <w:tc>
          <w:tcPr>
            <w:tcW w:w="1701" w:type="dxa"/>
          </w:tcPr>
          <w:p>
            <w:pPr>
              <w:spacing w:line="280" w:lineRule="exact"/>
              <w:rPr>
                <w:rFonts w:ascii="宋体" w:hAnsi="宋体" w:cs="宋体"/>
                <w:spacing w:val="2"/>
                <w:szCs w:val="21"/>
              </w:rPr>
            </w:pPr>
          </w:p>
        </w:tc>
        <w:tc>
          <w:tcPr>
            <w:tcW w:w="2268" w:type="dxa"/>
          </w:tcPr>
          <w:p>
            <w:pPr>
              <w:spacing w:line="280" w:lineRule="exact"/>
              <w:rPr>
                <w:rFonts w:ascii="宋体" w:hAnsi="宋体" w:cs="宋体"/>
                <w:spacing w:val="2"/>
                <w:szCs w:val="21"/>
              </w:rPr>
            </w:pPr>
            <w:r>
              <w:rPr>
                <w:rFonts w:hint="eastAsia" w:ascii="宋体" w:hAnsi="宋体" w:cs="宋体"/>
                <w:spacing w:val="2"/>
                <w:szCs w:val="21"/>
              </w:rPr>
              <w:t>1.未建立重大危险源定期评估制度或要求，扣10分；</w:t>
            </w:r>
          </w:p>
          <w:p>
            <w:pPr>
              <w:spacing w:line="280" w:lineRule="exact"/>
              <w:rPr>
                <w:rFonts w:ascii="宋体" w:hAnsi="宋体" w:cs="宋体"/>
                <w:spacing w:val="2"/>
                <w:szCs w:val="21"/>
              </w:rPr>
            </w:pPr>
            <w:r>
              <w:rPr>
                <w:rFonts w:hint="eastAsia" w:ascii="宋体" w:hAnsi="宋体" w:cs="宋体"/>
                <w:spacing w:val="2"/>
                <w:szCs w:val="21"/>
              </w:rPr>
              <w:t>2．未按要求定期评估，扣10分；</w:t>
            </w:r>
          </w:p>
          <w:p>
            <w:pPr>
              <w:spacing w:line="280" w:lineRule="exact"/>
              <w:rPr>
                <w:rFonts w:ascii="宋体" w:hAnsi="宋体" w:cs="宋体"/>
                <w:spacing w:val="2"/>
                <w:szCs w:val="21"/>
              </w:rPr>
            </w:pPr>
            <w:r>
              <w:rPr>
                <w:rFonts w:hint="eastAsia" w:ascii="宋体" w:hAnsi="宋体" w:cs="宋体"/>
                <w:spacing w:val="2"/>
                <w:szCs w:val="21"/>
              </w:rPr>
              <w:t>3.无重大危险源安全评估报告，扣2分。</w:t>
            </w:r>
          </w:p>
        </w:tc>
        <w:tc>
          <w:tcPr>
            <w:tcW w:w="1165" w:type="dxa"/>
            <w:vAlign w:val="center"/>
          </w:tcPr>
          <w:p>
            <w:pPr>
              <w:jc w:val="center"/>
              <w:rPr>
                <w:rFonts w:ascii="宋体" w:hAnsi="宋体" w:cs="宋体"/>
                <w:szCs w:val="21"/>
              </w:rPr>
            </w:pPr>
            <w:r>
              <w:rPr>
                <w:rFonts w:hint="eastAsia" w:ascii="宋体" w:hAnsi="宋体" w:cs="宋体"/>
                <w:szCs w:val="21"/>
              </w:rPr>
              <w:t>符合要求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771" w:type="dxa"/>
            <w:vMerge w:val="continue"/>
          </w:tcPr>
          <w:p>
            <w:pPr>
              <w:spacing w:line="280" w:lineRule="exact"/>
              <w:rPr>
                <w:rFonts w:ascii="宋体" w:hAnsi="宋体" w:cs="宋体"/>
                <w:b/>
                <w:bCs/>
                <w:szCs w:val="21"/>
              </w:rPr>
            </w:pPr>
          </w:p>
        </w:tc>
        <w:tc>
          <w:tcPr>
            <w:tcW w:w="709" w:type="dxa"/>
            <w:vMerge w:val="continue"/>
          </w:tcPr>
          <w:p>
            <w:pPr>
              <w:spacing w:line="280" w:lineRule="exact"/>
              <w:rPr>
                <w:rFonts w:ascii="宋体" w:hAnsi="宋体" w:cs="宋体"/>
                <w:b/>
                <w:bCs/>
                <w:szCs w:val="21"/>
              </w:rPr>
            </w:pPr>
          </w:p>
        </w:tc>
        <w:tc>
          <w:tcPr>
            <w:tcW w:w="2409" w:type="dxa"/>
          </w:tcPr>
          <w:p>
            <w:pPr>
              <w:spacing w:line="280" w:lineRule="exact"/>
              <w:rPr>
                <w:rFonts w:ascii="宋体" w:hAnsi="宋体" w:cs="宋体"/>
                <w:spacing w:val="2"/>
                <w:szCs w:val="21"/>
              </w:rPr>
            </w:pPr>
            <w:r>
              <w:rPr>
                <w:rFonts w:hint="eastAsia" w:ascii="宋体" w:hAnsi="宋体" w:cs="宋体"/>
                <w:spacing w:val="2"/>
                <w:szCs w:val="21"/>
              </w:rPr>
              <w:t>4.企业应对重大危险源的设备、设施定期检查、检验，并做好记录。</w:t>
            </w:r>
          </w:p>
        </w:tc>
        <w:tc>
          <w:tcPr>
            <w:tcW w:w="2268" w:type="dxa"/>
          </w:tcPr>
          <w:p>
            <w:pPr>
              <w:spacing w:line="280" w:lineRule="exact"/>
              <w:rPr>
                <w:rFonts w:ascii="宋体" w:hAnsi="宋体" w:cs="宋体"/>
                <w:spacing w:val="2"/>
                <w:szCs w:val="21"/>
              </w:rPr>
            </w:pPr>
            <w:r>
              <w:rPr>
                <w:rFonts w:hint="eastAsia" w:ascii="宋体" w:hAnsi="宋体" w:cs="宋体"/>
                <w:spacing w:val="2"/>
                <w:szCs w:val="21"/>
              </w:rPr>
              <w:t>1.定期检查、维护重大危险源的设备、设施，包括检测仪表、附属设备及配件；</w:t>
            </w:r>
          </w:p>
          <w:p>
            <w:pPr>
              <w:spacing w:line="280" w:lineRule="exact"/>
              <w:rPr>
                <w:rFonts w:ascii="宋体" w:hAnsi="宋体" w:cs="宋体"/>
                <w:spacing w:val="2"/>
                <w:szCs w:val="21"/>
              </w:rPr>
            </w:pPr>
            <w:r>
              <w:rPr>
                <w:rFonts w:hint="eastAsia" w:ascii="宋体" w:hAnsi="宋体" w:cs="宋体"/>
                <w:spacing w:val="2"/>
                <w:szCs w:val="21"/>
              </w:rPr>
              <w:t>2.按国家有关规定进行定期检测、检验，取得检验合格证。</w:t>
            </w:r>
          </w:p>
        </w:tc>
        <w:tc>
          <w:tcPr>
            <w:tcW w:w="2268" w:type="dxa"/>
          </w:tcPr>
          <w:p>
            <w:pPr>
              <w:spacing w:line="280" w:lineRule="exact"/>
              <w:rPr>
                <w:rFonts w:ascii="宋体" w:hAnsi="宋体" w:cs="宋体"/>
                <w:spacing w:val="2"/>
                <w:szCs w:val="21"/>
              </w:rPr>
            </w:pPr>
            <w:r>
              <w:rPr>
                <w:rFonts w:hint="eastAsia" w:ascii="宋体" w:hAnsi="宋体" w:cs="宋体"/>
                <w:spacing w:val="2"/>
                <w:szCs w:val="21"/>
              </w:rPr>
              <w:t>查文件：</w:t>
            </w:r>
          </w:p>
          <w:p>
            <w:pPr>
              <w:spacing w:line="280" w:lineRule="exact"/>
              <w:rPr>
                <w:rFonts w:ascii="宋体" w:hAnsi="宋体" w:cs="宋体"/>
                <w:spacing w:val="2"/>
                <w:szCs w:val="21"/>
              </w:rPr>
            </w:pPr>
            <w:r>
              <w:rPr>
                <w:rFonts w:hint="eastAsia" w:ascii="宋体" w:hAnsi="宋体" w:cs="宋体"/>
                <w:spacing w:val="2"/>
                <w:szCs w:val="21"/>
              </w:rPr>
              <w:t>1.重大危险源的设备、设施定期检查记录；</w:t>
            </w:r>
          </w:p>
          <w:p>
            <w:pPr>
              <w:spacing w:line="280" w:lineRule="exact"/>
              <w:rPr>
                <w:rFonts w:ascii="宋体" w:hAnsi="宋体" w:cs="宋体"/>
                <w:spacing w:val="2"/>
                <w:szCs w:val="21"/>
              </w:rPr>
            </w:pPr>
            <w:r>
              <w:rPr>
                <w:rFonts w:hint="eastAsia" w:ascii="宋体" w:hAnsi="宋体" w:cs="宋体"/>
                <w:spacing w:val="2"/>
                <w:szCs w:val="21"/>
              </w:rPr>
              <w:t>2.设备、设施的检验报告或检验合格证。</w:t>
            </w:r>
          </w:p>
          <w:p>
            <w:pPr>
              <w:spacing w:line="280" w:lineRule="exact"/>
              <w:rPr>
                <w:rFonts w:ascii="宋体" w:hAnsi="宋体" w:cs="宋体"/>
                <w:spacing w:val="2"/>
                <w:szCs w:val="21"/>
              </w:rPr>
            </w:pPr>
            <w:r>
              <w:rPr>
                <w:rFonts w:hint="eastAsia" w:ascii="宋体" w:hAnsi="宋体" w:cs="宋体"/>
                <w:spacing w:val="2"/>
                <w:szCs w:val="21"/>
              </w:rPr>
              <w:t>现场检查：</w:t>
            </w:r>
          </w:p>
          <w:p>
            <w:pPr>
              <w:spacing w:line="280" w:lineRule="exact"/>
              <w:rPr>
                <w:rFonts w:ascii="宋体" w:hAnsi="宋体" w:cs="宋体"/>
                <w:spacing w:val="2"/>
                <w:szCs w:val="21"/>
              </w:rPr>
            </w:pPr>
            <w:r>
              <w:rPr>
                <w:rFonts w:hint="eastAsia" w:ascii="宋体" w:hAnsi="宋体" w:cs="宋体"/>
                <w:spacing w:val="2"/>
                <w:szCs w:val="21"/>
              </w:rPr>
              <w:t>重大危险源的设备、设施的完整性和有效性。</w:t>
            </w:r>
          </w:p>
        </w:tc>
        <w:tc>
          <w:tcPr>
            <w:tcW w:w="1701" w:type="dxa"/>
          </w:tcPr>
          <w:p>
            <w:pPr>
              <w:spacing w:line="280" w:lineRule="exact"/>
              <w:rPr>
                <w:rFonts w:ascii="宋体" w:hAnsi="宋体" w:cs="宋体"/>
                <w:spacing w:val="2"/>
                <w:szCs w:val="21"/>
              </w:rPr>
            </w:pPr>
            <w:r>
              <w:rPr>
                <w:rFonts w:hint="eastAsia" w:ascii="宋体" w:hAnsi="宋体" w:cs="宋体"/>
                <w:b/>
                <w:bCs/>
                <w:spacing w:val="2"/>
                <w:szCs w:val="21"/>
              </w:rPr>
              <w:t>重大危险源有重大事故隐患，且未采取安全防范措施的，扣100分，（A级要素否决项）。</w:t>
            </w:r>
          </w:p>
        </w:tc>
        <w:tc>
          <w:tcPr>
            <w:tcW w:w="2268" w:type="dxa"/>
          </w:tcPr>
          <w:p>
            <w:pPr>
              <w:spacing w:line="280" w:lineRule="exact"/>
              <w:rPr>
                <w:rFonts w:ascii="宋体" w:hAnsi="宋体" w:cs="宋体"/>
                <w:spacing w:val="2"/>
                <w:szCs w:val="21"/>
              </w:rPr>
            </w:pPr>
            <w:r>
              <w:rPr>
                <w:rFonts w:hint="eastAsia" w:ascii="宋体" w:hAnsi="宋体" w:cs="宋体"/>
                <w:spacing w:val="2"/>
                <w:szCs w:val="21"/>
              </w:rPr>
              <w:t>1.未定期检查、维护，扣2分；</w:t>
            </w:r>
          </w:p>
          <w:p>
            <w:pPr>
              <w:spacing w:line="280" w:lineRule="exact"/>
              <w:rPr>
                <w:rFonts w:ascii="宋体" w:hAnsi="宋体" w:cs="宋体"/>
                <w:spacing w:val="2"/>
                <w:szCs w:val="21"/>
              </w:rPr>
            </w:pPr>
            <w:r>
              <w:rPr>
                <w:rFonts w:hint="eastAsia" w:ascii="宋体" w:hAnsi="宋体" w:cs="宋体"/>
                <w:spacing w:val="2"/>
                <w:szCs w:val="21"/>
              </w:rPr>
              <w:t>2.未定期检验，1台次扣2分；检验不合格仍在使用，扣2分；</w:t>
            </w:r>
          </w:p>
          <w:p>
            <w:pPr>
              <w:spacing w:line="280" w:lineRule="exact"/>
              <w:rPr>
                <w:rFonts w:ascii="宋体" w:hAnsi="宋体" w:cs="宋体"/>
                <w:spacing w:val="2"/>
                <w:szCs w:val="21"/>
              </w:rPr>
            </w:pPr>
            <w:r>
              <w:rPr>
                <w:rFonts w:hint="eastAsia" w:ascii="宋体" w:hAnsi="宋体" w:cs="宋体"/>
                <w:spacing w:val="2"/>
                <w:szCs w:val="21"/>
              </w:rPr>
              <w:t>3.无检验报告或检验合格证，1份扣2分。</w:t>
            </w:r>
          </w:p>
          <w:p>
            <w:pPr>
              <w:spacing w:line="280" w:lineRule="exact"/>
              <w:rPr>
                <w:rFonts w:ascii="宋体" w:hAnsi="宋体" w:cs="宋体"/>
                <w:spacing w:val="2"/>
                <w:szCs w:val="21"/>
              </w:rPr>
            </w:pPr>
            <w:r>
              <w:rPr>
                <w:rFonts w:hint="eastAsia" w:ascii="宋体" w:hAnsi="宋体" w:cs="宋体"/>
                <w:spacing w:val="2"/>
                <w:szCs w:val="21"/>
              </w:rPr>
              <w:t>4.设备、设施完整性或有效性一处不符合，扣2分。</w:t>
            </w:r>
          </w:p>
        </w:tc>
        <w:tc>
          <w:tcPr>
            <w:tcW w:w="1165" w:type="dxa"/>
            <w:vAlign w:val="center"/>
          </w:tcPr>
          <w:p>
            <w:pPr>
              <w:jc w:val="center"/>
              <w:rPr>
                <w:rFonts w:ascii="宋体" w:hAnsi="宋体" w:cs="宋体"/>
                <w:szCs w:val="21"/>
              </w:rPr>
            </w:pPr>
            <w:r>
              <w:rPr>
                <w:rFonts w:hint="eastAsia" w:ascii="宋体" w:hAnsi="宋体" w:cs="宋体"/>
                <w:szCs w:val="21"/>
              </w:rPr>
              <w:t>符合要求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771" w:type="dxa"/>
            <w:vMerge w:val="continue"/>
          </w:tcPr>
          <w:p>
            <w:pPr>
              <w:spacing w:line="280" w:lineRule="exact"/>
              <w:rPr>
                <w:rFonts w:ascii="宋体" w:hAnsi="宋体" w:cs="宋体"/>
                <w:b/>
                <w:bCs/>
                <w:szCs w:val="21"/>
              </w:rPr>
            </w:pPr>
          </w:p>
        </w:tc>
        <w:tc>
          <w:tcPr>
            <w:tcW w:w="709" w:type="dxa"/>
            <w:vMerge w:val="continue"/>
          </w:tcPr>
          <w:p>
            <w:pPr>
              <w:spacing w:line="280" w:lineRule="exact"/>
              <w:rPr>
                <w:rFonts w:ascii="宋体" w:hAnsi="宋体" w:cs="宋体"/>
                <w:b/>
                <w:bCs/>
                <w:szCs w:val="21"/>
              </w:rPr>
            </w:pPr>
          </w:p>
        </w:tc>
        <w:tc>
          <w:tcPr>
            <w:tcW w:w="2409" w:type="dxa"/>
          </w:tcPr>
          <w:p>
            <w:pPr>
              <w:spacing w:line="280" w:lineRule="exact"/>
              <w:rPr>
                <w:rFonts w:ascii="宋体" w:hAnsi="宋体" w:cs="宋体"/>
                <w:spacing w:val="2"/>
                <w:szCs w:val="21"/>
              </w:rPr>
            </w:pPr>
            <w:r>
              <w:rPr>
                <w:rFonts w:hint="eastAsia" w:ascii="宋体" w:hAnsi="宋体" w:cs="宋体"/>
                <w:spacing w:val="2"/>
                <w:szCs w:val="21"/>
              </w:rPr>
              <w:t>5.企业应制定重大危险源应急救援预案，配备必要的救援器材、装备，每年至少进行1次重大危险源应急救援预案演练。</w:t>
            </w:r>
          </w:p>
        </w:tc>
        <w:tc>
          <w:tcPr>
            <w:tcW w:w="2268" w:type="dxa"/>
          </w:tcPr>
          <w:p>
            <w:pPr>
              <w:spacing w:line="280" w:lineRule="exact"/>
              <w:rPr>
                <w:rFonts w:ascii="宋体" w:hAnsi="宋体" w:cs="宋体"/>
                <w:spacing w:val="2"/>
                <w:szCs w:val="21"/>
              </w:rPr>
            </w:pPr>
            <w:r>
              <w:rPr>
                <w:rFonts w:hint="eastAsia" w:ascii="宋体" w:hAnsi="宋体" w:cs="宋体"/>
                <w:spacing w:val="2"/>
                <w:szCs w:val="21"/>
              </w:rPr>
              <w:t>1.按要求编制重大危险源应急救援预案；</w:t>
            </w:r>
          </w:p>
          <w:p>
            <w:pPr>
              <w:spacing w:line="280" w:lineRule="exact"/>
              <w:rPr>
                <w:rFonts w:ascii="宋体" w:hAnsi="宋体" w:cs="宋体"/>
                <w:spacing w:val="2"/>
                <w:szCs w:val="21"/>
              </w:rPr>
            </w:pPr>
            <w:r>
              <w:rPr>
                <w:rFonts w:hint="eastAsia" w:ascii="宋体" w:hAnsi="宋体" w:cs="宋体"/>
                <w:spacing w:val="2"/>
                <w:szCs w:val="21"/>
              </w:rPr>
              <w:t>2.根据重大危险源的危险特性配备必要的救援器材、装备；</w:t>
            </w:r>
          </w:p>
          <w:p>
            <w:pPr>
              <w:spacing w:line="280" w:lineRule="exact"/>
              <w:rPr>
                <w:rFonts w:ascii="宋体" w:hAnsi="宋体" w:cs="宋体"/>
                <w:spacing w:val="2"/>
                <w:szCs w:val="21"/>
              </w:rPr>
            </w:pPr>
            <w:r>
              <w:rPr>
                <w:rFonts w:hint="eastAsia" w:ascii="宋体" w:hAnsi="宋体" w:cs="宋体"/>
                <w:spacing w:val="2"/>
                <w:szCs w:val="21"/>
              </w:rPr>
              <w:t>3.涉及吸入性有毒、有害气体的重大危险源，应配备便携式浓度检测设备、空气呼吸器、化学防护服、堵漏器材等；</w:t>
            </w:r>
          </w:p>
          <w:p>
            <w:pPr>
              <w:spacing w:line="280" w:lineRule="exact"/>
              <w:rPr>
                <w:rFonts w:ascii="宋体" w:hAnsi="宋体" w:cs="宋体"/>
                <w:spacing w:val="2"/>
                <w:szCs w:val="21"/>
              </w:rPr>
            </w:pPr>
            <w:r>
              <w:rPr>
                <w:rFonts w:hint="eastAsia" w:ascii="宋体" w:hAnsi="宋体" w:cs="宋体"/>
                <w:spacing w:val="2"/>
                <w:szCs w:val="21"/>
              </w:rPr>
              <w:t>4.涉及剧毒气体的的重大危险源，应配备两套以上气密性化学防护服；</w:t>
            </w:r>
          </w:p>
          <w:p>
            <w:pPr>
              <w:spacing w:line="280" w:lineRule="exact"/>
              <w:rPr>
                <w:rFonts w:ascii="宋体" w:hAnsi="宋体" w:cs="宋体"/>
                <w:spacing w:val="2"/>
                <w:szCs w:val="21"/>
              </w:rPr>
            </w:pPr>
            <w:r>
              <w:rPr>
                <w:rFonts w:hint="eastAsia" w:ascii="宋体" w:hAnsi="宋体" w:cs="宋体"/>
                <w:spacing w:val="2"/>
                <w:szCs w:val="21"/>
              </w:rPr>
              <w:t>5.重大危险源应急救援预案演练按规定频次进行。</w:t>
            </w:r>
          </w:p>
        </w:tc>
        <w:tc>
          <w:tcPr>
            <w:tcW w:w="2268" w:type="dxa"/>
          </w:tcPr>
          <w:p>
            <w:pPr>
              <w:spacing w:line="280" w:lineRule="exact"/>
              <w:rPr>
                <w:rFonts w:ascii="宋体" w:hAnsi="宋体" w:cs="宋体"/>
                <w:spacing w:val="2"/>
                <w:szCs w:val="21"/>
              </w:rPr>
            </w:pPr>
            <w:r>
              <w:rPr>
                <w:rFonts w:hint="eastAsia" w:ascii="宋体" w:hAnsi="宋体" w:cs="宋体"/>
                <w:spacing w:val="2"/>
                <w:szCs w:val="21"/>
              </w:rPr>
              <w:t>查文件：</w:t>
            </w:r>
          </w:p>
          <w:p>
            <w:pPr>
              <w:spacing w:line="280" w:lineRule="exact"/>
              <w:rPr>
                <w:rFonts w:ascii="宋体" w:hAnsi="宋体" w:cs="宋体"/>
                <w:spacing w:val="2"/>
                <w:szCs w:val="21"/>
              </w:rPr>
            </w:pPr>
            <w:r>
              <w:rPr>
                <w:rFonts w:hint="eastAsia" w:ascii="宋体" w:hAnsi="宋体" w:cs="宋体"/>
                <w:spacing w:val="2"/>
                <w:szCs w:val="21"/>
              </w:rPr>
              <w:t>1.重大危险源应急救援预案；</w:t>
            </w:r>
          </w:p>
          <w:p>
            <w:pPr>
              <w:spacing w:line="280" w:lineRule="exact"/>
              <w:rPr>
                <w:rFonts w:ascii="宋体" w:hAnsi="宋体" w:cs="宋体"/>
                <w:spacing w:val="2"/>
                <w:szCs w:val="21"/>
              </w:rPr>
            </w:pPr>
            <w:r>
              <w:rPr>
                <w:rFonts w:hint="eastAsia" w:ascii="宋体" w:hAnsi="宋体" w:cs="宋体"/>
                <w:spacing w:val="2"/>
                <w:szCs w:val="21"/>
              </w:rPr>
              <w:t xml:space="preserve">2.重大危险源应急预案演练记录； </w:t>
            </w:r>
          </w:p>
          <w:p>
            <w:pPr>
              <w:spacing w:line="280" w:lineRule="exact"/>
              <w:rPr>
                <w:rFonts w:ascii="宋体" w:hAnsi="宋体" w:cs="宋体"/>
                <w:spacing w:val="2"/>
                <w:szCs w:val="21"/>
              </w:rPr>
            </w:pPr>
            <w:r>
              <w:rPr>
                <w:rFonts w:hint="eastAsia" w:ascii="宋体" w:hAnsi="宋体" w:cs="宋体"/>
                <w:spacing w:val="2"/>
                <w:szCs w:val="21"/>
              </w:rPr>
              <w:t>3.应急救援器材台账。</w:t>
            </w:r>
          </w:p>
          <w:p>
            <w:pPr>
              <w:spacing w:line="280" w:lineRule="exact"/>
              <w:rPr>
                <w:rFonts w:ascii="宋体" w:hAnsi="宋体" w:cs="宋体"/>
                <w:spacing w:val="2"/>
                <w:szCs w:val="21"/>
              </w:rPr>
            </w:pPr>
            <w:r>
              <w:rPr>
                <w:rFonts w:hint="eastAsia" w:ascii="宋体" w:hAnsi="宋体" w:cs="宋体"/>
                <w:spacing w:val="2"/>
                <w:szCs w:val="21"/>
              </w:rPr>
              <w:t>询问：</w:t>
            </w:r>
          </w:p>
          <w:p>
            <w:pPr>
              <w:spacing w:line="280" w:lineRule="exact"/>
              <w:rPr>
                <w:rFonts w:ascii="宋体" w:hAnsi="宋体" w:cs="宋体"/>
                <w:spacing w:val="2"/>
                <w:szCs w:val="21"/>
              </w:rPr>
            </w:pPr>
            <w:r>
              <w:rPr>
                <w:rFonts w:hint="eastAsia" w:ascii="宋体" w:hAnsi="宋体" w:cs="宋体"/>
                <w:spacing w:val="2"/>
                <w:szCs w:val="21"/>
              </w:rPr>
              <w:t>抽查有关人员对应急救援预案的掌握情况、对应急援救器材、装备使用情况。</w:t>
            </w:r>
          </w:p>
          <w:p>
            <w:pPr>
              <w:spacing w:line="280" w:lineRule="exact"/>
              <w:rPr>
                <w:rFonts w:ascii="宋体" w:hAnsi="宋体" w:cs="宋体"/>
                <w:spacing w:val="2"/>
                <w:szCs w:val="21"/>
              </w:rPr>
            </w:pPr>
            <w:r>
              <w:rPr>
                <w:rFonts w:hint="eastAsia" w:ascii="宋体" w:hAnsi="宋体" w:cs="宋体"/>
                <w:spacing w:val="2"/>
                <w:szCs w:val="21"/>
              </w:rPr>
              <w:t>现场检查：</w:t>
            </w:r>
          </w:p>
          <w:p>
            <w:pPr>
              <w:spacing w:line="280" w:lineRule="exact"/>
              <w:rPr>
                <w:rFonts w:ascii="宋体" w:hAnsi="宋体" w:cs="宋体"/>
                <w:spacing w:val="2"/>
                <w:szCs w:val="21"/>
              </w:rPr>
            </w:pPr>
            <w:r>
              <w:rPr>
                <w:rFonts w:hint="eastAsia" w:ascii="宋体" w:hAnsi="宋体" w:cs="宋体"/>
                <w:spacing w:val="2"/>
                <w:szCs w:val="21"/>
              </w:rPr>
              <w:t>应急救援器材、装备的现场状况。</w:t>
            </w:r>
          </w:p>
        </w:tc>
        <w:tc>
          <w:tcPr>
            <w:tcW w:w="1701" w:type="dxa"/>
          </w:tcPr>
          <w:p>
            <w:pPr>
              <w:spacing w:line="280" w:lineRule="exact"/>
              <w:rPr>
                <w:rFonts w:ascii="宋体" w:hAnsi="宋体" w:cs="宋体"/>
                <w:spacing w:val="2"/>
                <w:szCs w:val="21"/>
              </w:rPr>
            </w:pPr>
          </w:p>
        </w:tc>
        <w:tc>
          <w:tcPr>
            <w:tcW w:w="2268" w:type="dxa"/>
          </w:tcPr>
          <w:p>
            <w:pPr>
              <w:spacing w:line="280" w:lineRule="exact"/>
              <w:rPr>
                <w:rFonts w:ascii="宋体" w:hAnsi="宋体" w:cs="宋体"/>
                <w:spacing w:val="2"/>
                <w:szCs w:val="21"/>
              </w:rPr>
            </w:pPr>
            <w:r>
              <w:rPr>
                <w:rFonts w:hint="eastAsia" w:ascii="宋体" w:hAnsi="宋体" w:cs="宋体"/>
                <w:spacing w:val="2"/>
                <w:szCs w:val="21"/>
              </w:rPr>
              <w:t>1.没有重大危险源应急救援预案，扣2分；</w:t>
            </w:r>
          </w:p>
          <w:p>
            <w:pPr>
              <w:spacing w:line="280" w:lineRule="exact"/>
              <w:rPr>
                <w:rFonts w:ascii="宋体" w:hAnsi="宋体" w:cs="宋体"/>
                <w:spacing w:val="2"/>
                <w:szCs w:val="21"/>
              </w:rPr>
            </w:pPr>
            <w:r>
              <w:rPr>
                <w:rFonts w:hint="eastAsia" w:ascii="宋体" w:hAnsi="宋体" w:cs="宋体"/>
                <w:spacing w:val="2"/>
                <w:szCs w:val="21"/>
              </w:rPr>
              <w:t>2.救援器材装备不符合要求，一项扣2分；</w:t>
            </w:r>
          </w:p>
          <w:p>
            <w:pPr>
              <w:spacing w:line="280" w:lineRule="exact"/>
              <w:rPr>
                <w:rFonts w:ascii="宋体" w:hAnsi="宋体" w:cs="宋体"/>
                <w:spacing w:val="2"/>
                <w:szCs w:val="21"/>
              </w:rPr>
            </w:pPr>
            <w:r>
              <w:rPr>
                <w:rFonts w:hint="eastAsia" w:ascii="宋体" w:hAnsi="宋体" w:cs="宋体"/>
                <w:spacing w:val="2"/>
                <w:szCs w:val="21"/>
              </w:rPr>
              <w:t>3.从业人员对应急救援预案不清楚，1人次扣2分。</w:t>
            </w:r>
          </w:p>
        </w:tc>
        <w:tc>
          <w:tcPr>
            <w:tcW w:w="1165" w:type="dxa"/>
            <w:vAlign w:val="center"/>
          </w:tcPr>
          <w:p>
            <w:pPr>
              <w:jc w:val="center"/>
              <w:rPr>
                <w:rFonts w:ascii="宋体" w:hAnsi="宋体" w:cs="宋体"/>
                <w:szCs w:val="21"/>
              </w:rPr>
            </w:pPr>
            <w:r>
              <w:rPr>
                <w:rFonts w:hint="eastAsia" w:ascii="宋体" w:hAnsi="宋体" w:cs="宋体"/>
                <w:szCs w:val="21"/>
              </w:rPr>
              <w:t>符合要求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771" w:type="dxa"/>
            <w:vMerge w:val="continue"/>
          </w:tcPr>
          <w:p>
            <w:pPr>
              <w:spacing w:line="280" w:lineRule="exact"/>
              <w:rPr>
                <w:rFonts w:ascii="宋体" w:hAnsi="宋体" w:cs="宋体"/>
                <w:b/>
                <w:bCs/>
                <w:szCs w:val="21"/>
              </w:rPr>
            </w:pPr>
          </w:p>
        </w:tc>
        <w:tc>
          <w:tcPr>
            <w:tcW w:w="709" w:type="dxa"/>
            <w:vMerge w:val="continue"/>
          </w:tcPr>
          <w:p>
            <w:pPr>
              <w:spacing w:line="280" w:lineRule="exact"/>
              <w:rPr>
                <w:rFonts w:ascii="宋体" w:hAnsi="宋体" w:cs="宋体"/>
                <w:b/>
                <w:bCs/>
                <w:szCs w:val="21"/>
              </w:rPr>
            </w:pPr>
          </w:p>
        </w:tc>
        <w:tc>
          <w:tcPr>
            <w:tcW w:w="2409" w:type="dxa"/>
          </w:tcPr>
          <w:p>
            <w:pPr>
              <w:spacing w:line="280" w:lineRule="exact"/>
              <w:rPr>
                <w:rFonts w:ascii="宋体" w:hAnsi="宋体" w:cs="宋体"/>
                <w:szCs w:val="21"/>
              </w:rPr>
            </w:pPr>
            <w:r>
              <w:rPr>
                <w:rFonts w:hint="eastAsia" w:ascii="宋体" w:hAnsi="宋体" w:cs="宋体"/>
                <w:szCs w:val="21"/>
              </w:rPr>
              <w:t>6.企业应将重大危险源及相关安全措施、应急措施报送当地县级以上人民政府安全生产监督管理部门和有关部门备案。</w:t>
            </w:r>
          </w:p>
        </w:tc>
        <w:tc>
          <w:tcPr>
            <w:tcW w:w="2268" w:type="dxa"/>
          </w:tcPr>
          <w:p>
            <w:pPr>
              <w:spacing w:line="280" w:lineRule="exact"/>
              <w:rPr>
                <w:rFonts w:ascii="宋体" w:hAnsi="宋体" w:cs="宋体"/>
                <w:szCs w:val="21"/>
              </w:rPr>
            </w:pPr>
            <w:r>
              <w:rPr>
                <w:rFonts w:hint="eastAsia" w:ascii="宋体" w:hAnsi="宋体" w:cs="宋体"/>
                <w:szCs w:val="21"/>
              </w:rPr>
              <w:t>重大危险源及相关安全措施、应急措施形成报告，报所在地县级人民政府安全生产监管部门和有关部门备案。</w:t>
            </w:r>
          </w:p>
        </w:tc>
        <w:tc>
          <w:tcPr>
            <w:tcW w:w="2268" w:type="dxa"/>
          </w:tcPr>
          <w:p>
            <w:pPr>
              <w:spacing w:line="280" w:lineRule="exact"/>
              <w:rPr>
                <w:rFonts w:ascii="宋体" w:hAnsi="宋体" w:cs="宋体"/>
                <w:szCs w:val="21"/>
              </w:rPr>
            </w:pPr>
            <w:r>
              <w:rPr>
                <w:rFonts w:hint="eastAsia" w:ascii="宋体" w:hAnsi="宋体" w:cs="宋体"/>
                <w:szCs w:val="21"/>
              </w:rPr>
              <w:t>查文件：</w:t>
            </w:r>
          </w:p>
          <w:p>
            <w:pPr>
              <w:spacing w:line="280" w:lineRule="exact"/>
              <w:rPr>
                <w:rFonts w:ascii="宋体" w:hAnsi="宋体" w:cs="宋体"/>
                <w:szCs w:val="21"/>
              </w:rPr>
            </w:pPr>
            <w:r>
              <w:rPr>
                <w:rFonts w:hint="eastAsia" w:ascii="宋体" w:hAnsi="宋体" w:cs="宋体"/>
                <w:szCs w:val="21"/>
              </w:rPr>
              <w:t>备案资料。</w:t>
            </w:r>
          </w:p>
        </w:tc>
        <w:tc>
          <w:tcPr>
            <w:tcW w:w="1701" w:type="dxa"/>
          </w:tcPr>
          <w:p>
            <w:pPr>
              <w:spacing w:line="280" w:lineRule="exact"/>
              <w:rPr>
                <w:rFonts w:ascii="宋体" w:hAnsi="宋体" w:cs="宋体"/>
                <w:szCs w:val="21"/>
              </w:rPr>
            </w:pPr>
          </w:p>
        </w:tc>
        <w:tc>
          <w:tcPr>
            <w:tcW w:w="2268" w:type="dxa"/>
          </w:tcPr>
          <w:p>
            <w:pPr>
              <w:spacing w:line="280" w:lineRule="exact"/>
              <w:rPr>
                <w:rFonts w:ascii="宋体" w:hAnsi="宋体" w:cs="宋体"/>
                <w:szCs w:val="21"/>
              </w:rPr>
            </w:pPr>
            <w:r>
              <w:rPr>
                <w:rFonts w:hint="eastAsia" w:ascii="宋体" w:hAnsi="宋体" w:cs="宋体"/>
                <w:szCs w:val="21"/>
              </w:rPr>
              <w:t>未备案或备案内容不符合要求，一项扣2分。</w:t>
            </w:r>
          </w:p>
        </w:tc>
        <w:tc>
          <w:tcPr>
            <w:tcW w:w="1165" w:type="dxa"/>
            <w:vAlign w:val="center"/>
          </w:tcPr>
          <w:p>
            <w:pPr>
              <w:jc w:val="center"/>
              <w:rPr>
                <w:rFonts w:ascii="宋体" w:hAnsi="宋体" w:cs="宋体"/>
                <w:szCs w:val="21"/>
              </w:rPr>
            </w:pPr>
            <w:r>
              <w:rPr>
                <w:rFonts w:hint="eastAsia" w:ascii="宋体" w:hAnsi="宋体" w:cs="宋体"/>
                <w:szCs w:val="21"/>
              </w:rPr>
              <w:t>符合要求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4" w:hRule="atLeast"/>
          <w:jc w:val="center"/>
        </w:trPr>
        <w:tc>
          <w:tcPr>
            <w:tcW w:w="771" w:type="dxa"/>
            <w:vMerge w:val="continue"/>
          </w:tcPr>
          <w:p>
            <w:pPr>
              <w:spacing w:line="280" w:lineRule="exact"/>
              <w:rPr>
                <w:rFonts w:ascii="宋体" w:hAnsi="宋体" w:cs="宋体"/>
                <w:b/>
                <w:bCs/>
                <w:szCs w:val="21"/>
              </w:rPr>
            </w:pPr>
          </w:p>
        </w:tc>
        <w:tc>
          <w:tcPr>
            <w:tcW w:w="709" w:type="dxa"/>
            <w:vMerge w:val="continue"/>
          </w:tcPr>
          <w:p>
            <w:pPr>
              <w:spacing w:line="280" w:lineRule="exact"/>
              <w:rPr>
                <w:rFonts w:ascii="宋体" w:hAnsi="宋体" w:cs="宋体"/>
                <w:b/>
                <w:bCs/>
                <w:szCs w:val="21"/>
              </w:rPr>
            </w:pPr>
          </w:p>
        </w:tc>
        <w:tc>
          <w:tcPr>
            <w:tcW w:w="2409" w:type="dxa"/>
          </w:tcPr>
          <w:p>
            <w:pPr>
              <w:spacing w:line="280" w:lineRule="exact"/>
              <w:rPr>
                <w:rFonts w:ascii="宋体" w:hAnsi="宋体" w:cs="宋体"/>
                <w:szCs w:val="21"/>
              </w:rPr>
            </w:pPr>
            <w:r>
              <w:rPr>
                <w:rFonts w:hint="eastAsia" w:ascii="宋体" w:hAnsi="宋体" w:cs="宋体"/>
                <w:szCs w:val="21"/>
              </w:rPr>
              <w:t>7.企业重大危险源的防护距离应满足国家标准或规定。不符合国家标准或规定的，应采取切实可行的防范措施，并在规定期限内进行整改。</w:t>
            </w:r>
          </w:p>
        </w:tc>
        <w:tc>
          <w:tcPr>
            <w:tcW w:w="2268" w:type="dxa"/>
          </w:tcPr>
          <w:p>
            <w:pPr>
              <w:spacing w:line="280" w:lineRule="exact"/>
              <w:rPr>
                <w:rFonts w:ascii="宋体" w:hAnsi="宋体" w:cs="宋体"/>
                <w:szCs w:val="21"/>
              </w:rPr>
            </w:pPr>
            <w:r>
              <w:rPr>
                <w:rFonts w:hint="eastAsia" w:ascii="宋体" w:hAnsi="宋体" w:cs="宋体"/>
                <w:szCs w:val="21"/>
              </w:rPr>
              <w:t>1.危险化学品的生产装置和储存危险化学品数量构成重大危险源的储存设施的防护距离应满足国家规定要求；</w:t>
            </w:r>
          </w:p>
          <w:p>
            <w:pPr>
              <w:spacing w:line="280" w:lineRule="exact"/>
              <w:rPr>
                <w:rFonts w:ascii="宋体" w:hAnsi="宋体" w:cs="宋体"/>
                <w:szCs w:val="21"/>
              </w:rPr>
            </w:pPr>
            <w:r>
              <w:rPr>
                <w:rFonts w:hint="eastAsia" w:ascii="宋体" w:hAnsi="宋体" w:cs="宋体"/>
                <w:szCs w:val="21"/>
              </w:rPr>
              <w:t>2.防护距离不符合国家规定要求的，应采取切实可行的防范措施，并在规定期限内进行整改。</w:t>
            </w:r>
          </w:p>
        </w:tc>
        <w:tc>
          <w:tcPr>
            <w:tcW w:w="2268" w:type="dxa"/>
          </w:tcPr>
          <w:p>
            <w:pPr>
              <w:spacing w:line="280" w:lineRule="exact"/>
              <w:rPr>
                <w:rFonts w:ascii="宋体" w:hAnsi="宋体" w:cs="宋体"/>
                <w:szCs w:val="21"/>
              </w:rPr>
            </w:pPr>
            <w:r>
              <w:rPr>
                <w:rFonts w:hint="eastAsia" w:ascii="宋体" w:hAnsi="宋体" w:cs="宋体"/>
                <w:szCs w:val="21"/>
              </w:rPr>
              <w:t>查文件：</w:t>
            </w:r>
          </w:p>
          <w:p>
            <w:pPr>
              <w:spacing w:line="280" w:lineRule="exact"/>
              <w:rPr>
                <w:rFonts w:ascii="宋体" w:hAnsi="宋体" w:cs="宋体"/>
                <w:szCs w:val="21"/>
              </w:rPr>
            </w:pPr>
            <w:r>
              <w:rPr>
                <w:rFonts w:hint="eastAsia" w:ascii="宋体" w:hAnsi="宋体" w:cs="宋体"/>
                <w:szCs w:val="21"/>
              </w:rPr>
              <w:t>1.重大危险源安全评估报告；</w:t>
            </w:r>
          </w:p>
          <w:p>
            <w:pPr>
              <w:spacing w:line="280" w:lineRule="exact"/>
              <w:rPr>
                <w:rFonts w:ascii="宋体" w:hAnsi="宋体" w:cs="宋体"/>
                <w:szCs w:val="21"/>
              </w:rPr>
            </w:pPr>
            <w:r>
              <w:rPr>
                <w:rFonts w:hint="eastAsia" w:ascii="宋体" w:hAnsi="宋体" w:cs="宋体"/>
                <w:szCs w:val="21"/>
              </w:rPr>
              <w:t>2.重大危险源防护距离存在问题的整改计划、措施，包括防范措施。</w:t>
            </w:r>
          </w:p>
          <w:p>
            <w:pPr>
              <w:spacing w:line="280" w:lineRule="exact"/>
              <w:rPr>
                <w:rFonts w:ascii="宋体" w:hAnsi="宋体" w:cs="宋体"/>
                <w:szCs w:val="21"/>
              </w:rPr>
            </w:pPr>
            <w:r>
              <w:rPr>
                <w:rFonts w:hint="eastAsia" w:ascii="宋体" w:hAnsi="宋体" w:cs="宋体"/>
                <w:szCs w:val="21"/>
              </w:rPr>
              <w:t>现场检查：</w:t>
            </w:r>
          </w:p>
          <w:p>
            <w:pPr>
              <w:spacing w:line="280" w:lineRule="exact"/>
              <w:rPr>
                <w:rFonts w:ascii="宋体" w:hAnsi="宋体" w:cs="宋体"/>
                <w:szCs w:val="21"/>
              </w:rPr>
            </w:pPr>
            <w:r>
              <w:rPr>
                <w:rFonts w:hint="eastAsia" w:ascii="宋体" w:hAnsi="宋体" w:cs="宋体"/>
                <w:szCs w:val="21"/>
              </w:rPr>
              <w:t>1.重大危险源现场测量防护距离；</w:t>
            </w:r>
          </w:p>
          <w:p>
            <w:pPr>
              <w:spacing w:line="280" w:lineRule="exact"/>
              <w:rPr>
                <w:rFonts w:ascii="宋体" w:hAnsi="宋体" w:cs="宋体"/>
                <w:szCs w:val="21"/>
              </w:rPr>
            </w:pPr>
            <w:r>
              <w:rPr>
                <w:rFonts w:hint="eastAsia" w:ascii="宋体" w:hAnsi="宋体" w:cs="宋体"/>
                <w:szCs w:val="21"/>
              </w:rPr>
              <w:t>2.重大危险源防范措施的落实情况。</w:t>
            </w:r>
          </w:p>
        </w:tc>
        <w:tc>
          <w:tcPr>
            <w:tcW w:w="1701" w:type="dxa"/>
          </w:tcPr>
          <w:p>
            <w:pPr>
              <w:spacing w:line="280" w:lineRule="exact"/>
              <w:rPr>
                <w:rFonts w:ascii="宋体" w:hAnsi="宋体" w:cs="宋体"/>
                <w:szCs w:val="21"/>
              </w:rPr>
            </w:pPr>
            <w:r>
              <w:rPr>
                <w:rFonts w:hint="eastAsia" w:ascii="宋体" w:hAnsi="宋体" w:cs="宋体"/>
                <w:szCs w:val="21"/>
              </w:rPr>
              <w:t>防护距离不符合规定要求，且无防范措施，一处扣20分（B级要素否决项）；</w:t>
            </w:r>
          </w:p>
          <w:p>
            <w:pPr>
              <w:spacing w:line="280" w:lineRule="exact"/>
              <w:rPr>
                <w:rFonts w:ascii="宋体" w:hAnsi="宋体" w:cs="宋体"/>
                <w:szCs w:val="21"/>
              </w:rPr>
            </w:pPr>
          </w:p>
        </w:tc>
        <w:tc>
          <w:tcPr>
            <w:tcW w:w="2268" w:type="dxa"/>
          </w:tcPr>
          <w:p>
            <w:pPr>
              <w:spacing w:line="280" w:lineRule="exact"/>
              <w:rPr>
                <w:rFonts w:ascii="宋体" w:hAnsi="宋体" w:cs="宋体"/>
                <w:szCs w:val="21"/>
              </w:rPr>
            </w:pPr>
            <w:r>
              <w:rPr>
                <w:rFonts w:hint="eastAsia" w:ascii="宋体" w:hAnsi="宋体" w:cs="宋体"/>
                <w:szCs w:val="21"/>
              </w:rPr>
              <w:t>1.整改计划、措施不符合要求，一项扣2分；</w:t>
            </w:r>
          </w:p>
          <w:p>
            <w:pPr>
              <w:spacing w:line="280" w:lineRule="exact"/>
              <w:rPr>
                <w:rFonts w:ascii="宋体" w:hAnsi="宋体" w:cs="宋体"/>
                <w:szCs w:val="21"/>
              </w:rPr>
            </w:pPr>
            <w:r>
              <w:rPr>
                <w:rFonts w:hint="eastAsia" w:ascii="宋体" w:hAnsi="宋体" w:cs="宋体"/>
                <w:szCs w:val="21"/>
              </w:rPr>
              <w:t>2.未按期整改或防范措施不落实，一项扣4分。</w:t>
            </w:r>
          </w:p>
        </w:tc>
        <w:tc>
          <w:tcPr>
            <w:tcW w:w="1165" w:type="dxa"/>
            <w:vAlign w:val="center"/>
          </w:tcPr>
          <w:p>
            <w:pPr>
              <w:jc w:val="center"/>
              <w:rPr>
                <w:rFonts w:ascii="宋体" w:hAnsi="宋体" w:cs="宋体"/>
                <w:szCs w:val="21"/>
              </w:rPr>
            </w:pPr>
            <w:r>
              <w:rPr>
                <w:rFonts w:hint="eastAsia" w:ascii="宋体" w:hAnsi="宋体" w:cs="宋体"/>
                <w:szCs w:val="21"/>
              </w:rPr>
              <w:t>符合要求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771" w:type="dxa"/>
            <w:vMerge w:val="continue"/>
          </w:tcPr>
          <w:p>
            <w:pPr>
              <w:spacing w:line="280" w:lineRule="exact"/>
              <w:rPr>
                <w:rFonts w:ascii="宋体" w:hAnsi="宋体" w:cs="宋体"/>
                <w:b/>
                <w:bCs/>
                <w:szCs w:val="21"/>
              </w:rPr>
            </w:pPr>
          </w:p>
        </w:tc>
        <w:tc>
          <w:tcPr>
            <w:tcW w:w="709" w:type="dxa"/>
            <w:vMerge w:val="continue"/>
          </w:tcPr>
          <w:p>
            <w:pPr>
              <w:spacing w:line="280" w:lineRule="exact"/>
              <w:rPr>
                <w:rFonts w:ascii="宋体" w:hAnsi="宋体" w:cs="宋体"/>
                <w:b/>
                <w:bCs/>
                <w:szCs w:val="21"/>
              </w:rPr>
            </w:pPr>
          </w:p>
        </w:tc>
        <w:tc>
          <w:tcPr>
            <w:tcW w:w="2409" w:type="dxa"/>
          </w:tcPr>
          <w:p>
            <w:pPr>
              <w:spacing w:line="280" w:lineRule="exact"/>
              <w:rPr>
                <w:rFonts w:ascii="宋体" w:hAnsi="宋体" w:cs="宋体"/>
                <w:szCs w:val="21"/>
              </w:rPr>
            </w:pPr>
          </w:p>
        </w:tc>
        <w:tc>
          <w:tcPr>
            <w:tcW w:w="2268" w:type="dxa"/>
          </w:tcPr>
          <w:p>
            <w:pPr>
              <w:spacing w:line="280" w:lineRule="exact"/>
              <w:rPr>
                <w:rFonts w:ascii="宋体" w:hAnsi="宋体" w:cs="宋体"/>
                <w:szCs w:val="21"/>
              </w:rPr>
            </w:pPr>
            <w:r>
              <w:rPr>
                <w:rFonts w:hint="eastAsia" w:ascii="宋体" w:hAnsi="宋体" w:cs="宋体"/>
                <w:szCs w:val="21"/>
              </w:rPr>
              <w:t>二级企业应符合本要素要求，不得失分。</w:t>
            </w:r>
          </w:p>
        </w:tc>
        <w:tc>
          <w:tcPr>
            <w:tcW w:w="2268" w:type="dxa"/>
          </w:tcPr>
          <w:p>
            <w:pPr>
              <w:spacing w:line="280" w:lineRule="exact"/>
              <w:rPr>
                <w:rFonts w:ascii="宋体" w:hAnsi="宋体" w:cs="宋体"/>
                <w:szCs w:val="21"/>
              </w:rPr>
            </w:pPr>
            <w:r>
              <w:rPr>
                <w:rFonts w:hint="eastAsia" w:ascii="宋体" w:hAnsi="宋体" w:cs="宋体"/>
                <w:szCs w:val="21"/>
              </w:rPr>
              <w:t>按照以上评审方法。</w:t>
            </w:r>
          </w:p>
        </w:tc>
        <w:tc>
          <w:tcPr>
            <w:tcW w:w="1701" w:type="dxa"/>
          </w:tcPr>
          <w:p>
            <w:pPr>
              <w:spacing w:line="280" w:lineRule="exact"/>
              <w:rPr>
                <w:rFonts w:ascii="宋体" w:hAnsi="宋体" w:cs="宋体"/>
                <w:szCs w:val="21"/>
              </w:rPr>
            </w:pPr>
            <w:r>
              <w:rPr>
                <w:rFonts w:hint="eastAsia" w:ascii="宋体" w:hAnsi="宋体" w:cs="宋体"/>
                <w:szCs w:val="21"/>
              </w:rPr>
              <w:t>若失分，扣100分（A级要素否决项）。</w:t>
            </w:r>
          </w:p>
        </w:tc>
        <w:tc>
          <w:tcPr>
            <w:tcW w:w="2268" w:type="dxa"/>
          </w:tcPr>
          <w:p>
            <w:pPr>
              <w:spacing w:line="280" w:lineRule="exact"/>
              <w:rPr>
                <w:rFonts w:ascii="宋体" w:hAnsi="宋体" w:cs="宋体"/>
                <w:szCs w:val="21"/>
              </w:rPr>
            </w:pPr>
          </w:p>
        </w:tc>
        <w:tc>
          <w:tcPr>
            <w:tcW w:w="1165" w:type="dxa"/>
            <w:vAlign w:val="center"/>
          </w:tcPr>
          <w:p>
            <w:pPr>
              <w:jc w:val="center"/>
              <w:rPr>
                <w:rFonts w:ascii="宋体" w:hAnsi="宋体" w:cs="宋体"/>
                <w:bCs/>
                <w:szCs w:val="21"/>
              </w:rPr>
            </w:pPr>
            <w:r>
              <w:rPr>
                <w:rFonts w:hint="eastAsia" w:ascii="宋体" w:hAnsi="宋体" w:cs="宋体"/>
                <w:bCs/>
                <w:szCs w:val="21"/>
              </w:rPr>
              <w:t>不涉及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771" w:type="dxa"/>
            <w:vMerge w:val="continue"/>
          </w:tcPr>
          <w:p>
            <w:pPr>
              <w:spacing w:line="280" w:lineRule="exact"/>
              <w:rPr>
                <w:rFonts w:ascii="宋体" w:hAnsi="宋体" w:cs="宋体"/>
                <w:b/>
                <w:bCs/>
                <w:szCs w:val="21"/>
              </w:rPr>
            </w:pPr>
          </w:p>
        </w:tc>
        <w:tc>
          <w:tcPr>
            <w:tcW w:w="709" w:type="dxa"/>
            <w:vMerge w:val="restart"/>
          </w:tcPr>
          <w:p>
            <w:pPr>
              <w:spacing w:line="280" w:lineRule="exact"/>
              <w:rPr>
                <w:rFonts w:ascii="宋体" w:hAnsi="宋体" w:cs="宋体"/>
                <w:b/>
                <w:bCs/>
                <w:szCs w:val="21"/>
              </w:rPr>
            </w:pPr>
            <w:r>
              <w:rPr>
                <w:rFonts w:hint="eastAsia" w:ascii="宋体" w:hAnsi="宋体" w:cs="宋体"/>
                <w:b/>
                <w:bCs/>
                <w:szCs w:val="21"/>
              </w:rPr>
              <w:t>3.6</w:t>
            </w:r>
          </w:p>
          <w:p>
            <w:pPr>
              <w:spacing w:line="280" w:lineRule="exact"/>
              <w:rPr>
                <w:rFonts w:ascii="宋体" w:hAnsi="宋体" w:cs="宋体"/>
                <w:b/>
                <w:bCs/>
                <w:szCs w:val="21"/>
              </w:rPr>
            </w:pPr>
            <w:r>
              <w:rPr>
                <w:rFonts w:hint="eastAsia" w:ascii="宋体" w:hAnsi="宋体" w:cs="宋体"/>
                <w:b/>
                <w:bCs/>
                <w:szCs w:val="21"/>
              </w:rPr>
              <w:t>变更</w:t>
            </w:r>
          </w:p>
          <w:p>
            <w:pPr>
              <w:spacing w:line="280" w:lineRule="exact"/>
              <w:rPr>
                <w:rFonts w:ascii="宋体" w:hAnsi="宋体" w:cs="宋体"/>
                <w:b/>
                <w:bCs/>
                <w:szCs w:val="21"/>
              </w:rPr>
            </w:pPr>
            <w:r>
              <w:rPr>
                <w:rFonts w:hint="eastAsia" w:ascii="宋体" w:hAnsi="宋体" w:cs="宋体"/>
                <w:b/>
                <w:bCs/>
                <w:szCs w:val="21"/>
              </w:rPr>
              <w:t>（10分）</w:t>
            </w:r>
          </w:p>
          <w:p>
            <w:pPr>
              <w:spacing w:line="280" w:lineRule="exact"/>
              <w:rPr>
                <w:rFonts w:ascii="宋体" w:hAnsi="宋体" w:cs="宋体"/>
                <w:b/>
                <w:bCs/>
                <w:szCs w:val="21"/>
              </w:rPr>
            </w:pPr>
          </w:p>
          <w:p>
            <w:pPr>
              <w:spacing w:line="280" w:lineRule="exact"/>
              <w:rPr>
                <w:rFonts w:ascii="宋体" w:hAnsi="宋体" w:cs="宋体"/>
                <w:b/>
                <w:bCs/>
                <w:szCs w:val="21"/>
              </w:rPr>
            </w:pPr>
          </w:p>
        </w:tc>
        <w:tc>
          <w:tcPr>
            <w:tcW w:w="2409" w:type="dxa"/>
          </w:tcPr>
          <w:p>
            <w:pPr>
              <w:spacing w:line="280" w:lineRule="exact"/>
              <w:rPr>
                <w:rFonts w:ascii="宋体" w:hAnsi="宋体" w:cs="宋体"/>
                <w:szCs w:val="21"/>
              </w:rPr>
            </w:pPr>
            <w:r>
              <w:rPr>
                <w:rFonts w:hint="eastAsia" w:ascii="宋体" w:hAnsi="宋体" w:cs="宋体"/>
                <w:szCs w:val="21"/>
              </w:rPr>
              <w:t>1.企业应严格执行变更管理制度，履行下列变更程序：</w:t>
            </w:r>
          </w:p>
          <w:p>
            <w:pPr>
              <w:spacing w:line="280" w:lineRule="exact"/>
              <w:rPr>
                <w:rFonts w:ascii="宋体" w:hAnsi="宋体" w:cs="宋体"/>
                <w:szCs w:val="21"/>
              </w:rPr>
            </w:pPr>
            <w:r>
              <w:rPr>
                <w:rFonts w:hint="eastAsia" w:ascii="宋体" w:hAnsi="宋体" w:cs="宋体"/>
                <w:szCs w:val="21"/>
              </w:rPr>
              <w:t>（1) 变更申请：按要求填写变更申请表，由专人进行管理；</w:t>
            </w:r>
          </w:p>
          <w:p>
            <w:pPr>
              <w:spacing w:line="280" w:lineRule="exact"/>
              <w:rPr>
                <w:rFonts w:ascii="宋体" w:hAnsi="宋体" w:cs="宋体"/>
                <w:szCs w:val="21"/>
              </w:rPr>
            </w:pPr>
            <w:r>
              <w:rPr>
                <w:rFonts w:hint="eastAsia" w:ascii="宋体" w:hAnsi="宋体" w:cs="宋体"/>
                <w:szCs w:val="21"/>
              </w:rPr>
              <w:t>（2) 变更审批：变更申请表应逐级上报主管部门，并按管理权限报主管领导审批；</w:t>
            </w:r>
          </w:p>
          <w:p>
            <w:pPr>
              <w:spacing w:line="280" w:lineRule="exact"/>
              <w:rPr>
                <w:rFonts w:ascii="宋体" w:hAnsi="宋体" w:cs="宋体"/>
                <w:szCs w:val="21"/>
              </w:rPr>
            </w:pPr>
            <w:r>
              <w:rPr>
                <w:rFonts w:hint="eastAsia" w:ascii="宋体" w:hAnsi="宋体" w:cs="宋体"/>
                <w:szCs w:val="21"/>
              </w:rPr>
              <w:t>（3) 变更实施：变更批准后，由主管部门负责实施。不经过审查和批准，任何临时性的变更都不得超过原批准范围和期限；</w:t>
            </w:r>
          </w:p>
          <w:p>
            <w:pPr>
              <w:spacing w:line="280" w:lineRule="exact"/>
              <w:rPr>
                <w:rFonts w:ascii="宋体" w:hAnsi="宋体" w:cs="宋体"/>
                <w:szCs w:val="21"/>
              </w:rPr>
            </w:pPr>
            <w:r>
              <w:rPr>
                <w:rFonts w:hint="eastAsia" w:ascii="宋体" w:hAnsi="宋体" w:cs="宋体"/>
                <w:szCs w:val="21"/>
              </w:rPr>
              <w:t>（4) 变更验收：变更实施结束后，变更主管部门应对变更的实施情况进行验收，形成报告，并及时将变更结果通知相关部门和有关人员。</w:t>
            </w:r>
          </w:p>
        </w:tc>
        <w:tc>
          <w:tcPr>
            <w:tcW w:w="2268" w:type="dxa"/>
          </w:tcPr>
          <w:p>
            <w:pPr>
              <w:spacing w:line="280" w:lineRule="exact"/>
              <w:rPr>
                <w:rFonts w:ascii="宋体" w:hAnsi="宋体" w:cs="宋体"/>
                <w:szCs w:val="21"/>
              </w:rPr>
            </w:pPr>
            <w:r>
              <w:rPr>
                <w:rFonts w:hint="eastAsia" w:ascii="宋体" w:hAnsi="宋体" w:cs="宋体"/>
                <w:szCs w:val="21"/>
              </w:rPr>
              <w:t>严格履行以下变更程序及要求：</w:t>
            </w:r>
          </w:p>
          <w:p>
            <w:pPr>
              <w:spacing w:line="280" w:lineRule="exact"/>
              <w:rPr>
                <w:rFonts w:ascii="宋体" w:hAnsi="宋体" w:cs="宋体"/>
                <w:szCs w:val="21"/>
              </w:rPr>
            </w:pPr>
            <w:r>
              <w:rPr>
                <w:rFonts w:hint="eastAsia" w:ascii="宋体" w:hAnsi="宋体" w:cs="宋体"/>
                <w:szCs w:val="21"/>
              </w:rPr>
              <w:t>（1) 变更申请：按要求填写变更申请表，由专人进行管理；</w:t>
            </w:r>
          </w:p>
          <w:p>
            <w:pPr>
              <w:spacing w:line="280" w:lineRule="exact"/>
              <w:rPr>
                <w:rFonts w:ascii="宋体" w:hAnsi="宋体" w:cs="宋体"/>
                <w:szCs w:val="21"/>
              </w:rPr>
            </w:pPr>
            <w:r>
              <w:rPr>
                <w:rFonts w:hint="eastAsia" w:ascii="宋体" w:hAnsi="宋体" w:cs="宋体"/>
                <w:szCs w:val="21"/>
              </w:rPr>
              <w:t>（2) 变更审批：变更申请表应逐级上报主管部门，并按管理权限报主管领导审批；</w:t>
            </w:r>
          </w:p>
          <w:p>
            <w:pPr>
              <w:spacing w:line="280" w:lineRule="exact"/>
              <w:rPr>
                <w:rFonts w:ascii="宋体" w:hAnsi="宋体" w:cs="宋体"/>
                <w:szCs w:val="21"/>
              </w:rPr>
            </w:pPr>
            <w:r>
              <w:rPr>
                <w:rFonts w:hint="eastAsia" w:ascii="宋体" w:hAnsi="宋体" w:cs="宋体"/>
                <w:szCs w:val="21"/>
              </w:rPr>
              <w:t>（3) 变更实施：变更批准后，由主管部门负责实施。不经过审查和批准，任何临时性的变更都不得超过原批准范围和期限；</w:t>
            </w:r>
          </w:p>
          <w:p>
            <w:pPr>
              <w:spacing w:line="280" w:lineRule="exact"/>
              <w:rPr>
                <w:rFonts w:ascii="宋体" w:hAnsi="宋体" w:cs="宋体"/>
                <w:szCs w:val="21"/>
              </w:rPr>
            </w:pPr>
            <w:r>
              <w:rPr>
                <w:rFonts w:hint="eastAsia" w:ascii="宋体" w:hAnsi="宋体" w:cs="宋体"/>
                <w:szCs w:val="21"/>
              </w:rPr>
              <w:t>（4) 变更验收：变更实施结束后，变更主管部门应对变更的实施情况进行验收，形成报告，并及时将变更结果通知相关部门和有关人员。</w:t>
            </w:r>
          </w:p>
        </w:tc>
        <w:tc>
          <w:tcPr>
            <w:tcW w:w="2268" w:type="dxa"/>
          </w:tcPr>
          <w:p>
            <w:pPr>
              <w:spacing w:line="280" w:lineRule="exact"/>
              <w:rPr>
                <w:rFonts w:ascii="宋体" w:hAnsi="宋体" w:cs="宋体"/>
                <w:szCs w:val="21"/>
              </w:rPr>
            </w:pPr>
            <w:r>
              <w:rPr>
                <w:rFonts w:hint="eastAsia" w:ascii="宋体" w:hAnsi="宋体" w:cs="宋体"/>
                <w:szCs w:val="21"/>
              </w:rPr>
              <w:t>查文件：</w:t>
            </w:r>
          </w:p>
          <w:p>
            <w:pPr>
              <w:spacing w:line="280" w:lineRule="exact"/>
              <w:rPr>
                <w:rFonts w:ascii="宋体" w:hAnsi="宋体" w:cs="宋体"/>
                <w:szCs w:val="21"/>
              </w:rPr>
            </w:pPr>
            <w:r>
              <w:rPr>
                <w:rFonts w:hint="eastAsia" w:ascii="宋体" w:hAnsi="宋体" w:cs="宋体"/>
                <w:szCs w:val="21"/>
              </w:rPr>
              <w:t>1.变更管理制度；</w:t>
            </w:r>
          </w:p>
          <w:p>
            <w:pPr>
              <w:spacing w:line="280" w:lineRule="exact"/>
              <w:rPr>
                <w:rFonts w:ascii="宋体" w:hAnsi="宋体" w:cs="宋体"/>
                <w:szCs w:val="21"/>
              </w:rPr>
            </w:pPr>
            <w:r>
              <w:rPr>
                <w:rFonts w:hint="eastAsia" w:ascii="宋体" w:hAnsi="宋体" w:cs="宋体"/>
                <w:szCs w:val="21"/>
              </w:rPr>
              <w:t>2.变更管理记录。</w:t>
            </w:r>
          </w:p>
          <w:p>
            <w:pPr>
              <w:spacing w:line="280" w:lineRule="exact"/>
              <w:rPr>
                <w:rFonts w:ascii="宋体" w:hAnsi="宋体" w:cs="宋体"/>
                <w:szCs w:val="21"/>
              </w:rPr>
            </w:pPr>
            <w:r>
              <w:rPr>
                <w:rFonts w:hint="eastAsia" w:ascii="宋体" w:hAnsi="宋体" w:cs="宋体"/>
                <w:szCs w:val="21"/>
              </w:rPr>
              <w:t>现场检查：</w:t>
            </w:r>
          </w:p>
          <w:p>
            <w:pPr>
              <w:spacing w:line="280" w:lineRule="exact"/>
              <w:rPr>
                <w:rFonts w:ascii="宋体" w:hAnsi="宋体" w:cs="宋体"/>
                <w:szCs w:val="21"/>
              </w:rPr>
            </w:pPr>
            <w:r>
              <w:rPr>
                <w:rFonts w:hint="eastAsia" w:ascii="宋体" w:hAnsi="宋体" w:cs="宋体"/>
                <w:szCs w:val="21"/>
              </w:rPr>
              <w:t>查看变更实施现场。</w:t>
            </w:r>
          </w:p>
        </w:tc>
        <w:tc>
          <w:tcPr>
            <w:tcW w:w="1701" w:type="dxa"/>
          </w:tcPr>
          <w:p>
            <w:pPr>
              <w:spacing w:line="280" w:lineRule="exact"/>
              <w:rPr>
                <w:rFonts w:ascii="宋体" w:hAnsi="宋体" w:cs="宋体"/>
                <w:szCs w:val="21"/>
              </w:rPr>
            </w:pPr>
          </w:p>
        </w:tc>
        <w:tc>
          <w:tcPr>
            <w:tcW w:w="2268" w:type="dxa"/>
          </w:tcPr>
          <w:p>
            <w:pPr>
              <w:spacing w:line="280" w:lineRule="exact"/>
              <w:rPr>
                <w:rFonts w:ascii="宋体" w:hAnsi="宋体" w:cs="宋体"/>
                <w:szCs w:val="21"/>
              </w:rPr>
            </w:pPr>
            <w:r>
              <w:rPr>
                <w:rFonts w:hint="eastAsia" w:ascii="宋体" w:hAnsi="宋体" w:cs="宋体"/>
                <w:szCs w:val="21"/>
              </w:rPr>
              <w:t>1.未按程序实施变更，一项扣5分；</w:t>
            </w:r>
          </w:p>
          <w:p>
            <w:pPr>
              <w:spacing w:line="280" w:lineRule="exact"/>
              <w:rPr>
                <w:rFonts w:ascii="宋体" w:hAnsi="宋体" w:cs="宋体"/>
                <w:szCs w:val="21"/>
              </w:rPr>
            </w:pPr>
            <w:r>
              <w:rPr>
                <w:rFonts w:hint="eastAsia" w:ascii="宋体" w:hAnsi="宋体" w:cs="宋体"/>
                <w:szCs w:val="21"/>
              </w:rPr>
              <w:t>2.履行变更程序过程，一项不符合扣2分；</w:t>
            </w:r>
          </w:p>
          <w:p>
            <w:pPr>
              <w:spacing w:line="280" w:lineRule="exact"/>
              <w:rPr>
                <w:rFonts w:ascii="宋体" w:hAnsi="宋体" w:cs="宋体"/>
                <w:szCs w:val="21"/>
              </w:rPr>
            </w:pPr>
            <w:r>
              <w:rPr>
                <w:rFonts w:hint="eastAsia" w:ascii="宋体" w:hAnsi="宋体" w:cs="宋体"/>
                <w:szCs w:val="21"/>
              </w:rPr>
              <w:t>3.变更实施现场一项不符合，扣2分。</w:t>
            </w:r>
          </w:p>
        </w:tc>
        <w:tc>
          <w:tcPr>
            <w:tcW w:w="1165" w:type="dxa"/>
            <w:vAlign w:val="center"/>
          </w:tcPr>
          <w:p>
            <w:pPr>
              <w:jc w:val="center"/>
              <w:rPr>
                <w:rFonts w:hint="eastAsia" w:ascii="宋体" w:hAnsi="宋体" w:cs="宋体"/>
                <w:szCs w:val="21"/>
              </w:rPr>
            </w:pPr>
            <w:r>
              <w:rPr>
                <w:rFonts w:hint="eastAsia" w:ascii="宋体" w:hAnsi="宋体" w:cs="宋体"/>
                <w:szCs w:val="21"/>
              </w:rPr>
              <w:t>资料不</w:t>
            </w:r>
          </w:p>
          <w:p>
            <w:pPr>
              <w:jc w:val="center"/>
              <w:rPr>
                <w:rFonts w:ascii="宋体" w:hAnsi="宋体" w:cs="宋体"/>
                <w:szCs w:val="21"/>
              </w:rPr>
            </w:pPr>
            <w:r>
              <w:rPr>
                <w:rFonts w:hint="eastAsia" w:ascii="宋体" w:hAnsi="宋体" w:cs="宋体"/>
                <w:szCs w:val="21"/>
              </w:rPr>
              <w:t>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771" w:type="dxa"/>
            <w:vMerge w:val="continue"/>
          </w:tcPr>
          <w:p>
            <w:pPr>
              <w:spacing w:line="280" w:lineRule="exact"/>
              <w:rPr>
                <w:rFonts w:ascii="宋体" w:hAnsi="宋体" w:cs="宋体"/>
                <w:b/>
                <w:bCs/>
                <w:szCs w:val="21"/>
              </w:rPr>
            </w:pPr>
          </w:p>
        </w:tc>
        <w:tc>
          <w:tcPr>
            <w:tcW w:w="709" w:type="dxa"/>
            <w:vMerge w:val="continue"/>
          </w:tcPr>
          <w:p>
            <w:pPr>
              <w:spacing w:line="280" w:lineRule="exact"/>
              <w:rPr>
                <w:rFonts w:ascii="宋体" w:hAnsi="宋体" w:cs="宋体"/>
                <w:b/>
                <w:bCs/>
                <w:szCs w:val="21"/>
              </w:rPr>
            </w:pPr>
          </w:p>
        </w:tc>
        <w:tc>
          <w:tcPr>
            <w:tcW w:w="2409" w:type="dxa"/>
          </w:tcPr>
          <w:p>
            <w:pPr>
              <w:spacing w:line="280" w:lineRule="exact"/>
              <w:rPr>
                <w:rFonts w:ascii="宋体" w:hAnsi="宋体" w:cs="宋体"/>
                <w:szCs w:val="21"/>
              </w:rPr>
            </w:pPr>
            <w:r>
              <w:rPr>
                <w:rFonts w:hint="eastAsia" w:ascii="宋体" w:hAnsi="宋体" w:cs="宋体"/>
                <w:szCs w:val="21"/>
              </w:rPr>
              <w:t>2.企业应对变更过程产生的风险进行分析和控制。</w:t>
            </w:r>
          </w:p>
        </w:tc>
        <w:tc>
          <w:tcPr>
            <w:tcW w:w="2268" w:type="dxa"/>
          </w:tcPr>
          <w:p>
            <w:pPr>
              <w:spacing w:line="280" w:lineRule="exact"/>
              <w:rPr>
                <w:rFonts w:ascii="宋体" w:hAnsi="宋体" w:cs="宋体"/>
                <w:szCs w:val="21"/>
              </w:rPr>
            </w:pPr>
            <w:r>
              <w:rPr>
                <w:rFonts w:hint="eastAsia" w:ascii="宋体" w:hAnsi="宋体" w:cs="宋体"/>
                <w:szCs w:val="21"/>
              </w:rPr>
              <w:t>1.对每项变更过程产生的风险都进行分析，制定控制措施；</w:t>
            </w:r>
          </w:p>
          <w:p>
            <w:pPr>
              <w:spacing w:line="280" w:lineRule="exact"/>
              <w:rPr>
                <w:rFonts w:ascii="宋体" w:hAnsi="宋体" w:cs="宋体"/>
                <w:szCs w:val="21"/>
              </w:rPr>
            </w:pPr>
            <w:r>
              <w:rPr>
                <w:rFonts w:hint="eastAsia" w:ascii="宋体" w:hAnsi="宋体" w:cs="宋体"/>
                <w:szCs w:val="21"/>
              </w:rPr>
              <w:t>2.变更实施过程中，认真落实风险控制措施。</w:t>
            </w:r>
          </w:p>
        </w:tc>
        <w:tc>
          <w:tcPr>
            <w:tcW w:w="2268" w:type="dxa"/>
          </w:tcPr>
          <w:p>
            <w:pPr>
              <w:spacing w:line="280" w:lineRule="exact"/>
              <w:rPr>
                <w:rFonts w:ascii="宋体" w:hAnsi="宋体" w:cs="宋体"/>
                <w:szCs w:val="21"/>
              </w:rPr>
            </w:pPr>
            <w:r>
              <w:rPr>
                <w:rFonts w:hint="eastAsia" w:ascii="宋体" w:hAnsi="宋体" w:cs="宋体"/>
                <w:szCs w:val="21"/>
              </w:rPr>
              <w:t>查文件：</w:t>
            </w:r>
          </w:p>
          <w:p>
            <w:pPr>
              <w:spacing w:line="280" w:lineRule="exact"/>
              <w:rPr>
                <w:rFonts w:ascii="宋体" w:hAnsi="宋体" w:cs="宋体"/>
                <w:szCs w:val="21"/>
              </w:rPr>
            </w:pPr>
            <w:r>
              <w:rPr>
                <w:rFonts w:hint="eastAsia" w:ascii="宋体" w:hAnsi="宋体" w:cs="宋体"/>
                <w:szCs w:val="21"/>
              </w:rPr>
              <w:t>1.变更的风险分析记录；</w:t>
            </w:r>
          </w:p>
          <w:p>
            <w:pPr>
              <w:spacing w:line="280" w:lineRule="exact"/>
              <w:rPr>
                <w:rFonts w:ascii="宋体" w:hAnsi="宋体" w:cs="宋体"/>
                <w:szCs w:val="21"/>
              </w:rPr>
            </w:pPr>
            <w:r>
              <w:rPr>
                <w:rFonts w:hint="eastAsia" w:ascii="宋体" w:hAnsi="宋体" w:cs="宋体"/>
                <w:szCs w:val="21"/>
              </w:rPr>
              <w:t>2.变更风险的控制措施。</w:t>
            </w:r>
          </w:p>
          <w:p>
            <w:pPr>
              <w:spacing w:line="280" w:lineRule="exact"/>
              <w:rPr>
                <w:rFonts w:ascii="宋体" w:hAnsi="宋体" w:cs="宋体"/>
                <w:szCs w:val="21"/>
              </w:rPr>
            </w:pPr>
            <w:r>
              <w:rPr>
                <w:rFonts w:hint="eastAsia" w:ascii="宋体" w:hAnsi="宋体" w:cs="宋体"/>
                <w:szCs w:val="21"/>
              </w:rPr>
              <w:t>3.变更实施验收报告。</w:t>
            </w:r>
          </w:p>
        </w:tc>
        <w:tc>
          <w:tcPr>
            <w:tcW w:w="1701" w:type="dxa"/>
          </w:tcPr>
          <w:p>
            <w:pPr>
              <w:spacing w:line="280" w:lineRule="exact"/>
              <w:rPr>
                <w:rFonts w:ascii="宋体" w:hAnsi="宋体" w:cs="宋体"/>
                <w:szCs w:val="21"/>
              </w:rPr>
            </w:pPr>
          </w:p>
        </w:tc>
        <w:tc>
          <w:tcPr>
            <w:tcW w:w="2268" w:type="dxa"/>
          </w:tcPr>
          <w:p>
            <w:pPr>
              <w:spacing w:line="280" w:lineRule="exact"/>
              <w:rPr>
                <w:rFonts w:ascii="宋体" w:hAnsi="宋体" w:cs="宋体"/>
                <w:szCs w:val="21"/>
              </w:rPr>
            </w:pPr>
            <w:r>
              <w:rPr>
                <w:rFonts w:hint="eastAsia" w:ascii="宋体" w:hAnsi="宋体" w:cs="宋体"/>
                <w:szCs w:val="21"/>
              </w:rPr>
              <w:t>对变更过程的风险未进行分析或控制措施不落实，一项不符合扣2分。</w:t>
            </w:r>
          </w:p>
        </w:tc>
        <w:tc>
          <w:tcPr>
            <w:tcW w:w="1165" w:type="dxa"/>
            <w:vAlign w:val="center"/>
          </w:tcPr>
          <w:p>
            <w:pPr>
              <w:jc w:val="center"/>
              <w:rPr>
                <w:rFonts w:ascii="宋体" w:hAnsi="宋体" w:cs="宋体"/>
                <w:b/>
                <w:bCs/>
                <w:szCs w:val="21"/>
              </w:rPr>
            </w:pPr>
            <w:r>
              <w:rPr>
                <w:rFonts w:hint="eastAsia" w:ascii="宋体" w:hAnsi="宋体" w:cs="宋体"/>
                <w:szCs w:val="21"/>
              </w:rPr>
              <w:t>对变更过程进行的风险分析不规范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771" w:type="dxa"/>
            <w:vMerge w:val="continue"/>
          </w:tcPr>
          <w:p>
            <w:pPr>
              <w:spacing w:line="280" w:lineRule="exact"/>
              <w:rPr>
                <w:rFonts w:ascii="宋体" w:hAnsi="宋体" w:cs="宋体"/>
                <w:b/>
                <w:bCs/>
                <w:szCs w:val="21"/>
              </w:rPr>
            </w:pPr>
          </w:p>
        </w:tc>
        <w:tc>
          <w:tcPr>
            <w:tcW w:w="709" w:type="dxa"/>
            <w:vMerge w:val="restart"/>
          </w:tcPr>
          <w:p>
            <w:pPr>
              <w:spacing w:line="280" w:lineRule="exact"/>
              <w:rPr>
                <w:rFonts w:ascii="宋体" w:hAnsi="宋体" w:cs="宋体"/>
                <w:b/>
                <w:bCs/>
                <w:szCs w:val="21"/>
              </w:rPr>
            </w:pPr>
            <w:r>
              <w:rPr>
                <w:rFonts w:hint="eastAsia" w:ascii="宋体" w:hAnsi="宋体" w:cs="宋体"/>
                <w:b/>
                <w:bCs/>
                <w:szCs w:val="21"/>
              </w:rPr>
              <w:t>3.7风险信息更新</w:t>
            </w:r>
          </w:p>
          <w:p>
            <w:pPr>
              <w:spacing w:line="280" w:lineRule="exact"/>
              <w:rPr>
                <w:rFonts w:ascii="宋体" w:hAnsi="宋体" w:cs="宋体"/>
                <w:b/>
                <w:bCs/>
                <w:szCs w:val="21"/>
              </w:rPr>
            </w:pPr>
            <w:r>
              <w:rPr>
                <w:rFonts w:hint="eastAsia" w:ascii="宋体" w:hAnsi="宋体" w:cs="宋体"/>
                <w:b/>
                <w:bCs/>
                <w:szCs w:val="21"/>
              </w:rPr>
              <w:t>（10分）</w:t>
            </w:r>
          </w:p>
        </w:tc>
        <w:tc>
          <w:tcPr>
            <w:tcW w:w="2409" w:type="dxa"/>
          </w:tcPr>
          <w:p>
            <w:pPr>
              <w:spacing w:line="280" w:lineRule="exact"/>
              <w:rPr>
                <w:rFonts w:ascii="宋体" w:hAnsi="宋体" w:cs="宋体"/>
                <w:szCs w:val="21"/>
              </w:rPr>
            </w:pPr>
            <w:r>
              <w:rPr>
                <w:rFonts w:hint="eastAsia" w:ascii="宋体" w:hAnsi="宋体" w:cs="宋体"/>
                <w:szCs w:val="21"/>
              </w:rPr>
              <w:t>1.企业应适时组织风险评价工作，识别与生产经营活动有关的危险、有害因素和隐患。</w:t>
            </w:r>
          </w:p>
        </w:tc>
        <w:tc>
          <w:tcPr>
            <w:tcW w:w="2268" w:type="dxa"/>
          </w:tcPr>
          <w:p>
            <w:pPr>
              <w:spacing w:line="280" w:lineRule="exact"/>
              <w:rPr>
                <w:rFonts w:ascii="宋体" w:hAnsi="宋体" w:cs="宋体"/>
                <w:szCs w:val="21"/>
              </w:rPr>
            </w:pPr>
            <w:r>
              <w:rPr>
                <w:rFonts w:hint="eastAsia" w:ascii="宋体" w:hAnsi="宋体" w:cs="宋体"/>
                <w:szCs w:val="21"/>
              </w:rPr>
              <w:t>非常规活动及危险性作业实施前，应识别危险、有害因素，排查隐患。</w:t>
            </w:r>
          </w:p>
        </w:tc>
        <w:tc>
          <w:tcPr>
            <w:tcW w:w="2268" w:type="dxa"/>
          </w:tcPr>
          <w:p>
            <w:pPr>
              <w:spacing w:line="280" w:lineRule="exact"/>
              <w:rPr>
                <w:rFonts w:ascii="宋体" w:hAnsi="宋体" w:cs="宋体"/>
                <w:szCs w:val="21"/>
              </w:rPr>
            </w:pPr>
            <w:r>
              <w:rPr>
                <w:rFonts w:hint="eastAsia" w:ascii="宋体" w:hAnsi="宋体" w:cs="宋体"/>
                <w:szCs w:val="21"/>
              </w:rPr>
              <w:t>查文件：</w:t>
            </w:r>
          </w:p>
          <w:p>
            <w:pPr>
              <w:spacing w:line="280" w:lineRule="exact"/>
              <w:rPr>
                <w:rFonts w:ascii="宋体" w:hAnsi="宋体" w:cs="宋体"/>
                <w:szCs w:val="21"/>
              </w:rPr>
            </w:pPr>
            <w:r>
              <w:rPr>
                <w:rFonts w:hint="eastAsia" w:ascii="宋体" w:hAnsi="宋体" w:cs="宋体"/>
                <w:szCs w:val="21"/>
              </w:rPr>
              <w:t>1.风险评价记录或报告；</w:t>
            </w:r>
          </w:p>
          <w:p>
            <w:pPr>
              <w:spacing w:line="280" w:lineRule="exact"/>
              <w:rPr>
                <w:rFonts w:ascii="宋体" w:hAnsi="宋体" w:cs="宋体"/>
                <w:szCs w:val="21"/>
              </w:rPr>
            </w:pPr>
            <w:r>
              <w:rPr>
                <w:rFonts w:hint="eastAsia" w:ascii="宋体" w:hAnsi="宋体" w:cs="宋体"/>
                <w:szCs w:val="21"/>
              </w:rPr>
              <w:t>2.作业许可证。</w:t>
            </w:r>
          </w:p>
          <w:p>
            <w:pPr>
              <w:spacing w:line="280" w:lineRule="exact"/>
              <w:rPr>
                <w:rFonts w:ascii="宋体" w:hAnsi="宋体" w:cs="宋体"/>
                <w:szCs w:val="21"/>
              </w:rPr>
            </w:pPr>
          </w:p>
        </w:tc>
        <w:tc>
          <w:tcPr>
            <w:tcW w:w="1701" w:type="dxa"/>
          </w:tcPr>
          <w:p>
            <w:pPr>
              <w:spacing w:line="280" w:lineRule="exact"/>
              <w:rPr>
                <w:rFonts w:ascii="宋体" w:hAnsi="宋体" w:cs="宋体"/>
                <w:szCs w:val="21"/>
              </w:rPr>
            </w:pPr>
          </w:p>
        </w:tc>
        <w:tc>
          <w:tcPr>
            <w:tcW w:w="2268" w:type="dxa"/>
          </w:tcPr>
          <w:p>
            <w:pPr>
              <w:spacing w:line="280" w:lineRule="exact"/>
              <w:rPr>
                <w:rFonts w:ascii="宋体" w:hAnsi="宋体" w:cs="宋体"/>
                <w:szCs w:val="21"/>
              </w:rPr>
            </w:pPr>
            <w:r>
              <w:rPr>
                <w:rFonts w:hint="eastAsia" w:ascii="宋体" w:hAnsi="宋体" w:cs="宋体"/>
                <w:szCs w:val="21"/>
              </w:rPr>
              <w:t>未按规定进行危险、有害因素识别，一项扣2分；识别不充分，一项不符合扣1分。</w:t>
            </w:r>
          </w:p>
        </w:tc>
        <w:tc>
          <w:tcPr>
            <w:tcW w:w="1165" w:type="dxa"/>
            <w:vAlign w:val="center"/>
          </w:tcPr>
          <w:p>
            <w:pPr>
              <w:jc w:val="center"/>
              <w:rPr>
                <w:rFonts w:ascii="宋体" w:hAnsi="宋体" w:cs="宋体"/>
                <w:b/>
                <w:bCs/>
                <w:szCs w:val="21"/>
              </w:rPr>
            </w:pPr>
            <w:r>
              <w:rPr>
                <w:rFonts w:hint="eastAsia" w:ascii="宋体" w:hAnsi="宋体" w:cs="宋体"/>
                <w:szCs w:val="21"/>
              </w:rPr>
              <w:t>符合要求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771" w:type="dxa"/>
            <w:vMerge w:val="continue"/>
          </w:tcPr>
          <w:p>
            <w:pPr>
              <w:spacing w:line="280" w:lineRule="exact"/>
              <w:rPr>
                <w:rFonts w:ascii="宋体" w:hAnsi="宋体" w:cs="宋体"/>
                <w:b/>
                <w:bCs/>
                <w:szCs w:val="21"/>
              </w:rPr>
            </w:pPr>
          </w:p>
        </w:tc>
        <w:tc>
          <w:tcPr>
            <w:tcW w:w="709" w:type="dxa"/>
            <w:vMerge w:val="continue"/>
          </w:tcPr>
          <w:p>
            <w:pPr>
              <w:spacing w:line="280" w:lineRule="exact"/>
              <w:rPr>
                <w:rFonts w:ascii="宋体" w:hAnsi="宋体" w:cs="宋体"/>
                <w:b/>
                <w:bCs/>
                <w:szCs w:val="21"/>
              </w:rPr>
            </w:pPr>
          </w:p>
        </w:tc>
        <w:tc>
          <w:tcPr>
            <w:tcW w:w="2409" w:type="dxa"/>
          </w:tcPr>
          <w:p>
            <w:pPr>
              <w:spacing w:line="280" w:lineRule="exact"/>
              <w:rPr>
                <w:rFonts w:ascii="宋体" w:hAnsi="宋体" w:cs="宋体"/>
                <w:szCs w:val="21"/>
              </w:rPr>
            </w:pPr>
            <w:r>
              <w:rPr>
                <w:rFonts w:hint="eastAsia" w:ascii="宋体" w:hAnsi="宋体" w:cs="宋体"/>
                <w:szCs w:val="21"/>
              </w:rPr>
              <w:t>2.企业应定期评审或检查风险评价结果和风险控制效果。</w:t>
            </w:r>
          </w:p>
        </w:tc>
        <w:tc>
          <w:tcPr>
            <w:tcW w:w="2268" w:type="dxa"/>
          </w:tcPr>
          <w:p>
            <w:pPr>
              <w:spacing w:line="280" w:lineRule="exact"/>
              <w:rPr>
                <w:rFonts w:ascii="宋体" w:hAnsi="宋体" w:cs="宋体"/>
                <w:szCs w:val="21"/>
              </w:rPr>
            </w:pPr>
            <w:r>
              <w:rPr>
                <w:rFonts w:hint="eastAsia" w:ascii="宋体" w:hAnsi="宋体" w:cs="宋体"/>
                <w:szCs w:val="21"/>
              </w:rPr>
              <w:t>每年评审或检查风险评价结果和风险控制效果。</w:t>
            </w:r>
          </w:p>
        </w:tc>
        <w:tc>
          <w:tcPr>
            <w:tcW w:w="2268" w:type="dxa"/>
          </w:tcPr>
          <w:p>
            <w:pPr>
              <w:spacing w:line="280" w:lineRule="exact"/>
              <w:rPr>
                <w:rFonts w:ascii="宋体" w:hAnsi="宋体" w:cs="宋体"/>
                <w:szCs w:val="21"/>
              </w:rPr>
            </w:pPr>
            <w:r>
              <w:rPr>
                <w:rFonts w:hint="eastAsia" w:ascii="宋体" w:hAnsi="宋体" w:cs="宋体"/>
                <w:szCs w:val="21"/>
              </w:rPr>
              <w:t>查文件：</w:t>
            </w:r>
          </w:p>
          <w:p>
            <w:pPr>
              <w:spacing w:line="280" w:lineRule="exact"/>
              <w:rPr>
                <w:rFonts w:ascii="宋体" w:hAnsi="宋体" w:cs="宋体"/>
                <w:szCs w:val="21"/>
              </w:rPr>
            </w:pPr>
            <w:r>
              <w:rPr>
                <w:rFonts w:hint="eastAsia" w:ascii="宋体" w:hAnsi="宋体" w:cs="宋体"/>
                <w:szCs w:val="21"/>
              </w:rPr>
              <w:t>年度评审或检查报告，或者评审记录。</w:t>
            </w:r>
          </w:p>
        </w:tc>
        <w:tc>
          <w:tcPr>
            <w:tcW w:w="1701" w:type="dxa"/>
          </w:tcPr>
          <w:p>
            <w:pPr>
              <w:spacing w:line="280" w:lineRule="exact"/>
              <w:rPr>
                <w:rFonts w:ascii="宋体" w:hAnsi="宋体" w:cs="宋体"/>
                <w:szCs w:val="21"/>
              </w:rPr>
            </w:pPr>
          </w:p>
        </w:tc>
        <w:tc>
          <w:tcPr>
            <w:tcW w:w="2268" w:type="dxa"/>
          </w:tcPr>
          <w:p>
            <w:pPr>
              <w:spacing w:line="280" w:lineRule="exact"/>
              <w:rPr>
                <w:rFonts w:ascii="宋体" w:hAnsi="宋体" w:cs="宋体"/>
                <w:szCs w:val="21"/>
              </w:rPr>
            </w:pPr>
            <w:r>
              <w:rPr>
                <w:rFonts w:hint="eastAsia" w:ascii="宋体" w:hAnsi="宋体" w:cs="宋体"/>
                <w:szCs w:val="21"/>
              </w:rPr>
              <w:t>未定期对风险评价结果和风险控制效果进行评审或检查，扣2分。</w:t>
            </w:r>
          </w:p>
        </w:tc>
        <w:tc>
          <w:tcPr>
            <w:tcW w:w="1165" w:type="dxa"/>
            <w:vAlign w:val="center"/>
          </w:tcPr>
          <w:p>
            <w:pPr>
              <w:jc w:val="center"/>
              <w:rPr>
                <w:rFonts w:ascii="宋体" w:hAnsi="宋体" w:cs="宋体"/>
                <w:b/>
                <w:bCs/>
                <w:szCs w:val="21"/>
              </w:rPr>
            </w:pPr>
            <w:r>
              <w:rPr>
                <w:rFonts w:hint="eastAsia" w:ascii="宋体" w:hAnsi="宋体" w:cs="宋体"/>
                <w:szCs w:val="21"/>
              </w:rPr>
              <w:t>评审记录不完善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771" w:type="dxa"/>
            <w:vMerge w:val="continue"/>
          </w:tcPr>
          <w:p>
            <w:pPr>
              <w:spacing w:line="280" w:lineRule="exact"/>
              <w:rPr>
                <w:rFonts w:ascii="宋体" w:hAnsi="宋体" w:cs="宋体"/>
                <w:b/>
                <w:bCs/>
                <w:szCs w:val="21"/>
              </w:rPr>
            </w:pPr>
          </w:p>
        </w:tc>
        <w:tc>
          <w:tcPr>
            <w:tcW w:w="709" w:type="dxa"/>
            <w:vMerge w:val="continue"/>
          </w:tcPr>
          <w:p>
            <w:pPr>
              <w:spacing w:line="280" w:lineRule="exact"/>
              <w:rPr>
                <w:rFonts w:ascii="宋体" w:hAnsi="宋体" w:cs="宋体"/>
                <w:b/>
                <w:bCs/>
                <w:szCs w:val="21"/>
              </w:rPr>
            </w:pPr>
          </w:p>
        </w:tc>
        <w:tc>
          <w:tcPr>
            <w:tcW w:w="2409" w:type="dxa"/>
          </w:tcPr>
          <w:p>
            <w:pPr>
              <w:spacing w:line="280" w:lineRule="exact"/>
              <w:rPr>
                <w:rFonts w:ascii="宋体" w:hAnsi="宋体" w:cs="宋体"/>
                <w:szCs w:val="21"/>
              </w:rPr>
            </w:pPr>
            <w:r>
              <w:rPr>
                <w:rFonts w:hint="eastAsia" w:ascii="宋体" w:hAnsi="宋体" w:cs="宋体"/>
                <w:szCs w:val="21"/>
              </w:rPr>
              <w:t>3.企业应在下列情形发生时及时进行风险评价：</w:t>
            </w:r>
          </w:p>
          <w:p>
            <w:pPr>
              <w:spacing w:line="280" w:lineRule="exact"/>
              <w:rPr>
                <w:rFonts w:ascii="宋体" w:hAnsi="宋体" w:cs="宋体"/>
                <w:szCs w:val="21"/>
              </w:rPr>
            </w:pPr>
            <w:r>
              <w:rPr>
                <w:rFonts w:hint="eastAsia" w:ascii="宋体" w:hAnsi="宋体" w:cs="宋体"/>
                <w:szCs w:val="21"/>
              </w:rPr>
              <w:t>1）新的或变更的法律法规或其他要求；</w:t>
            </w:r>
          </w:p>
          <w:p>
            <w:pPr>
              <w:spacing w:line="280" w:lineRule="exact"/>
              <w:rPr>
                <w:rFonts w:ascii="宋体" w:hAnsi="宋体" w:cs="宋体"/>
                <w:szCs w:val="21"/>
              </w:rPr>
            </w:pPr>
            <w:r>
              <w:rPr>
                <w:rFonts w:hint="eastAsia" w:ascii="宋体" w:hAnsi="宋体" w:cs="宋体"/>
                <w:szCs w:val="21"/>
              </w:rPr>
              <w:t>2）操作条件变化或工艺改变；</w:t>
            </w:r>
          </w:p>
          <w:p>
            <w:pPr>
              <w:spacing w:line="280" w:lineRule="exact"/>
              <w:rPr>
                <w:rFonts w:ascii="宋体" w:hAnsi="宋体" w:cs="宋体"/>
                <w:szCs w:val="21"/>
              </w:rPr>
            </w:pPr>
            <w:r>
              <w:rPr>
                <w:rFonts w:hint="eastAsia" w:ascii="宋体" w:hAnsi="宋体" w:cs="宋体"/>
                <w:szCs w:val="21"/>
              </w:rPr>
              <w:t>3）技术改造项目；</w:t>
            </w:r>
          </w:p>
          <w:p>
            <w:pPr>
              <w:spacing w:line="280" w:lineRule="exact"/>
              <w:rPr>
                <w:rFonts w:ascii="宋体" w:hAnsi="宋体" w:cs="宋体"/>
                <w:szCs w:val="21"/>
              </w:rPr>
            </w:pPr>
            <w:r>
              <w:rPr>
                <w:rFonts w:hint="eastAsia" w:ascii="宋体" w:hAnsi="宋体" w:cs="宋体"/>
                <w:szCs w:val="21"/>
              </w:rPr>
              <w:t>4）有对事件、事故或其他信息的新认识；</w:t>
            </w:r>
          </w:p>
          <w:p>
            <w:pPr>
              <w:spacing w:line="280" w:lineRule="exact"/>
              <w:rPr>
                <w:rFonts w:ascii="宋体" w:hAnsi="宋体" w:cs="宋体"/>
                <w:szCs w:val="21"/>
              </w:rPr>
            </w:pPr>
            <w:r>
              <w:rPr>
                <w:rFonts w:hint="eastAsia" w:ascii="宋体" w:hAnsi="宋体" w:cs="宋体"/>
                <w:szCs w:val="21"/>
              </w:rPr>
              <w:t>5）组织机构发生大的调整。</w:t>
            </w:r>
          </w:p>
        </w:tc>
        <w:tc>
          <w:tcPr>
            <w:tcW w:w="2268" w:type="dxa"/>
          </w:tcPr>
          <w:p>
            <w:pPr>
              <w:spacing w:line="280" w:lineRule="exact"/>
              <w:rPr>
                <w:rFonts w:ascii="宋体" w:hAnsi="宋体" w:cs="宋体"/>
                <w:szCs w:val="21"/>
              </w:rPr>
            </w:pPr>
            <w:r>
              <w:rPr>
                <w:rFonts w:hint="eastAsia" w:ascii="宋体" w:hAnsi="宋体" w:cs="宋体"/>
                <w:szCs w:val="21"/>
              </w:rPr>
              <w:t>在标准规定情形发生时，应及时进行风险评价。</w:t>
            </w:r>
          </w:p>
        </w:tc>
        <w:tc>
          <w:tcPr>
            <w:tcW w:w="2268" w:type="dxa"/>
          </w:tcPr>
          <w:p>
            <w:pPr>
              <w:spacing w:line="280" w:lineRule="exact"/>
              <w:rPr>
                <w:rFonts w:ascii="宋体" w:hAnsi="宋体" w:cs="宋体"/>
                <w:szCs w:val="21"/>
              </w:rPr>
            </w:pPr>
            <w:r>
              <w:rPr>
                <w:rFonts w:hint="eastAsia" w:ascii="宋体" w:hAnsi="宋体" w:cs="宋体"/>
                <w:szCs w:val="21"/>
              </w:rPr>
              <w:t>查文件：</w:t>
            </w:r>
          </w:p>
          <w:p>
            <w:pPr>
              <w:spacing w:line="280" w:lineRule="exact"/>
              <w:rPr>
                <w:rFonts w:ascii="宋体" w:hAnsi="宋体" w:cs="宋体"/>
                <w:szCs w:val="21"/>
              </w:rPr>
            </w:pPr>
            <w:r>
              <w:rPr>
                <w:rFonts w:hint="eastAsia" w:ascii="宋体" w:hAnsi="宋体" w:cs="宋体"/>
                <w:szCs w:val="21"/>
              </w:rPr>
              <w:t>风险评价报告、记录。</w:t>
            </w:r>
          </w:p>
        </w:tc>
        <w:tc>
          <w:tcPr>
            <w:tcW w:w="1701" w:type="dxa"/>
          </w:tcPr>
          <w:p>
            <w:pPr>
              <w:spacing w:line="280" w:lineRule="exact"/>
              <w:rPr>
                <w:rFonts w:ascii="宋体" w:hAnsi="宋体" w:cs="宋体"/>
                <w:szCs w:val="21"/>
              </w:rPr>
            </w:pPr>
          </w:p>
        </w:tc>
        <w:tc>
          <w:tcPr>
            <w:tcW w:w="2268" w:type="dxa"/>
          </w:tcPr>
          <w:p>
            <w:pPr>
              <w:spacing w:line="280" w:lineRule="exact"/>
              <w:rPr>
                <w:rFonts w:ascii="宋体" w:hAnsi="宋体" w:cs="宋体"/>
                <w:szCs w:val="21"/>
              </w:rPr>
            </w:pPr>
            <w:r>
              <w:rPr>
                <w:rFonts w:hint="eastAsia" w:ascii="宋体" w:hAnsi="宋体" w:cs="宋体"/>
                <w:szCs w:val="21"/>
              </w:rPr>
              <w:t>未及时进行风险评价，一项不符合扣2分。</w:t>
            </w:r>
          </w:p>
        </w:tc>
        <w:tc>
          <w:tcPr>
            <w:tcW w:w="1165" w:type="dxa"/>
            <w:vAlign w:val="center"/>
          </w:tcPr>
          <w:p>
            <w:pPr>
              <w:jc w:val="center"/>
              <w:rPr>
                <w:rFonts w:ascii="宋体" w:hAnsi="宋体" w:cs="宋体"/>
                <w:b/>
                <w:bCs/>
                <w:szCs w:val="21"/>
              </w:rPr>
            </w:pPr>
            <w:r>
              <w:rPr>
                <w:rFonts w:hint="eastAsia" w:ascii="宋体" w:hAnsi="宋体" w:cs="宋体"/>
                <w:szCs w:val="21"/>
              </w:rPr>
              <w:t>不涉及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771" w:type="dxa"/>
            <w:vMerge w:val="continue"/>
          </w:tcPr>
          <w:p>
            <w:pPr>
              <w:spacing w:line="280" w:lineRule="exact"/>
              <w:rPr>
                <w:rFonts w:ascii="宋体" w:hAnsi="宋体" w:cs="宋体"/>
                <w:b/>
                <w:bCs/>
                <w:szCs w:val="21"/>
              </w:rPr>
            </w:pPr>
          </w:p>
        </w:tc>
        <w:tc>
          <w:tcPr>
            <w:tcW w:w="709" w:type="dxa"/>
          </w:tcPr>
          <w:p>
            <w:pPr>
              <w:spacing w:line="280" w:lineRule="exact"/>
              <w:rPr>
                <w:rFonts w:ascii="宋体" w:hAnsi="宋体" w:cs="宋体"/>
                <w:b/>
                <w:bCs/>
                <w:szCs w:val="21"/>
              </w:rPr>
            </w:pPr>
            <w:r>
              <w:rPr>
                <w:rFonts w:hint="eastAsia" w:ascii="宋体" w:hAnsi="宋体" w:cs="宋体"/>
                <w:b/>
                <w:bCs/>
                <w:szCs w:val="21"/>
              </w:rPr>
              <w:t>3.8</w:t>
            </w:r>
          </w:p>
          <w:p>
            <w:pPr>
              <w:spacing w:line="280" w:lineRule="exact"/>
              <w:rPr>
                <w:rFonts w:ascii="宋体" w:hAnsi="宋体" w:cs="宋体"/>
                <w:b/>
                <w:bCs/>
                <w:szCs w:val="21"/>
              </w:rPr>
            </w:pPr>
            <w:r>
              <w:rPr>
                <w:rFonts w:hint="eastAsia" w:ascii="宋体" w:hAnsi="宋体" w:cs="宋体"/>
                <w:b/>
                <w:bCs/>
                <w:szCs w:val="21"/>
              </w:rPr>
              <w:t>供应商</w:t>
            </w:r>
          </w:p>
          <w:p>
            <w:pPr>
              <w:spacing w:line="280" w:lineRule="exact"/>
              <w:rPr>
                <w:rFonts w:ascii="宋体" w:hAnsi="宋体" w:cs="宋体"/>
                <w:b/>
                <w:bCs/>
                <w:szCs w:val="21"/>
              </w:rPr>
            </w:pPr>
            <w:r>
              <w:rPr>
                <w:rFonts w:hint="eastAsia" w:ascii="宋体" w:hAnsi="宋体" w:cs="宋体"/>
                <w:b/>
                <w:bCs/>
                <w:szCs w:val="21"/>
              </w:rPr>
              <w:t>（5分）</w:t>
            </w:r>
          </w:p>
          <w:p>
            <w:pPr>
              <w:spacing w:line="280" w:lineRule="exact"/>
              <w:rPr>
                <w:rFonts w:ascii="宋体" w:hAnsi="宋体" w:cs="宋体"/>
                <w:b/>
                <w:bCs/>
                <w:szCs w:val="21"/>
              </w:rPr>
            </w:pPr>
          </w:p>
          <w:p>
            <w:pPr>
              <w:spacing w:line="280" w:lineRule="exact"/>
              <w:rPr>
                <w:rFonts w:ascii="宋体" w:hAnsi="宋体" w:cs="宋体"/>
                <w:b/>
                <w:bCs/>
                <w:szCs w:val="21"/>
              </w:rPr>
            </w:pPr>
          </w:p>
        </w:tc>
        <w:tc>
          <w:tcPr>
            <w:tcW w:w="2409" w:type="dxa"/>
          </w:tcPr>
          <w:p>
            <w:pPr>
              <w:spacing w:line="280" w:lineRule="exact"/>
              <w:rPr>
                <w:rFonts w:ascii="宋体" w:hAnsi="宋体" w:cs="宋体"/>
                <w:szCs w:val="21"/>
              </w:rPr>
            </w:pPr>
            <w:r>
              <w:rPr>
                <w:rFonts w:hint="eastAsia" w:ascii="宋体" w:hAnsi="宋体" w:cs="宋体"/>
                <w:szCs w:val="21"/>
              </w:rPr>
              <w:t>企业应严格执行供应商管理制度，对供应商资格预审、选用和续用等过程进行管理，并定期识别与采购有关的风险。</w:t>
            </w:r>
          </w:p>
        </w:tc>
        <w:tc>
          <w:tcPr>
            <w:tcW w:w="2268" w:type="dxa"/>
          </w:tcPr>
          <w:p>
            <w:pPr>
              <w:spacing w:line="280" w:lineRule="exact"/>
              <w:rPr>
                <w:rFonts w:ascii="宋体" w:hAnsi="宋体" w:cs="宋体"/>
                <w:szCs w:val="21"/>
              </w:rPr>
            </w:pPr>
            <w:r>
              <w:rPr>
                <w:rFonts w:hint="eastAsia" w:ascii="宋体" w:hAnsi="宋体" w:cs="宋体"/>
                <w:szCs w:val="21"/>
              </w:rPr>
              <w:t>1.建立供应商名录、档案（包括资格预审、业绩评价等资料）；</w:t>
            </w:r>
          </w:p>
          <w:p>
            <w:pPr>
              <w:spacing w:line="280" w:lineRule="exact"/>
              <w:rPr>
                <w:rFonts w:ascii="宋体" w:hAnsi="宋体" w:cs="宋体"/>
                <w:szCs w:val="21"/>
              </w:rPr>
            </w:pPr>
            <w:r>
              <w:rPr>
                <w:rFonts w:hint="eastAsia" w:ascii="宋体" w:hAnsi="宋体" w:cs="宋体"/>
                <w:szCs w:val="21"/>
              </w:rPr>
              <w:t>2.对供应商资格预审、选用、续用进行管理；</w:t>
            </w:r>
          </w:p>
          <w:p>
            <w:pPr>
              <w:spacing w:line="280" w:lineRule="exact"/>
              <w:rPr>
                <w:rFonts w:ascii="宋体" w:hAnsi="宋体" w:cs="宋体"/>
                <w:szCs w:val="21"/>
              </w:rPr>
            </w:pPr>
            <w:r>
              <w:rPr>
                <w:rFonts w:hint="eastAsia" w:ascii="宋体" w:hAnsi="宋体" w:cs="宋体"/>
                <w:szCs w:val="21"/>
              </w:rPr>
              <w:t>3.定期识别与采购有关的风险。</w:t>
            </w:r>
          </w:p>
        </w:tc>
        <w:tc>
          <w:tcPr>
            <w:tcW w:w="2268" w:type="dxa"/>
          </w:tcPr>
          <w:p>
            <w:pPr>
              <w:spacing w:line="280" w:lineRule="exact"/>
              <w:rPr>
                <w:rFonts w:ascii="宋体" w:hAnsi="宋体" w:cs="宋体"/>
                <w:szCs w:val="21"/>
              </w:rPr>
            </w:pPr>
            <w:r>
              <w:rPr>
                <w:rFonts w:hint="eastAsia" w:ascii="宋体" w:hAnsi="宋体" w:cs="宋体"/>
                <w:szCs w:val="21"/>
              </w:rPr>
              <w:t>查文件：</w:t>
            </w:r>
          </w:p>
          <w:p>
            <w:pPr>
              <w:spacing w:line="280" w:lineRule="exact"/>
              <w:rPr>
                <w:rFonts w:ascii="宋体" w:hAnsi="宋体" w:cs="宋体"/>
                <w:szCs w:val="21"/>
              </w:rPr>
            </w:pPr>
            <w:r>
              <w:rPr>
                <w:rFonts w:hint="eastAsia" w:ascii="宋体" w:hAnsi="宋体" w:cs="宋体"/>
                <w:szCs w:val="21"/>
              </w:rPr>
              <w:t>1.供应商管理制度；</w:t>
            </w:r>
          </w:p>
          <w:p>
            <w:pPr>
              <w:spacing w:line="280" w:lineRule="exact"/>
              <w:rPr>
                <w:rFonts w:ascii="宋体" w:hAnsi="宋体" w:cs="宋体"/>
                <w:szCs w:val="21"/>
              </w:rPr>
            </w:pPr>
            <w:r>
              <w:rPr>
                <w:rFonts w:hint="eastAsia" w:ascii="宋体" w:hAnsi="宋体" w:cs="宋体"/>
                <w:szCs w:val="21"/>
              </w:rPr>
              <w:t>2.合格供应商名录、档案；</w:t>
            </w:r>
          </w:p>
          <w:p>
            <w:pPr>
              <w:spacing w:line="280" w:lineRule="exact"/>
              <w:rPr>
                <w:rFonts w:ascii="宋体" w:hAnsi="宋体" w:cs="宋体"/>
                <w:szCs w:val="21"/>
              </w:rPr>
            </w:pPr>
            <w:r>
              <w:rPr>
                <w:rFonts w:hint="eastAsia" w:ascii="宋体" w:hAnsi="宋体" w:cs="宋体"/>
                <w:szCs w:val="21"/>
              </w:rPr>
              <w:t>3.供应商选用、续用、评价记录；</w:t>
            </w:r>
          </w:p>
          <w:p>
            <w:pPr>
              <w:spacing w:line="280" w:lineRule="exact"/>
              <w:rPr>
                <w:rFonts w:ascii="宋体" w:hAnsi="宋体" w:cs="宋体"/>
                <w:szCs w:val="21"/>
              </w:rPr>
            </w:pPr>
            <w:r>
              <w:rPr>
                <w:rFonts w:hint="eastAsia" w:ascii="宋体" w:hAnsi="宋体" w:cs="宋体"/>
                <w:szCs w:val="21"/>
              </w:rPr>
              <w:t>4.与采购有关的风险信息。</w:t>
            </w:r>
          </w:p>
        </w:tc>
        <w:tc>
          <w:tcPr>
            <w:tcW w:w="1701" w:type="dxa"/>
          </w:tcPr>
          <w:p>
            <w:pPr>
              <w:spacing w:line="280" w:lineRule="exact"/>
              <w:rPr>
                <w:rFonts w:ascii="宋体" w:hAnsi="宋体" w:cs="宋体"/>
                <w:szCs w:val="21"/>
              </w:rPr>
            </w:pPr>
          </w:p>
        </w:tc>
        <w:tc>
          <w:tcPr>
            <w:tcW w:w="2268" w:type="dxa"/>
          </w:tcPr>
          <w:p>
            <w:pPr>
              <w:spacing w:line="280" w:lineRule="exact"/>
              <w:rPr>
                <w:rFonts w:ascii="宋体" w:hAnsi="宋体" w:cs="宋体"/>
                <w:szCs w:val="21"/>
              </w:rPr>
            </w:pPr>
            <w:r>
              <w:rPr>
                <w:rFonts w:hint="eastAsia" w:ascii="宋体" w:hAnsi="宋体" w:cs="宋体"/>
                <w:szCs w:val="21"/>
              </w:rPr>
              <w:t>1.未建立合格供应商名录、档案，一项扣2分；</w:t>
            </w:r>
          </w:p>
          <w:p>
            <w:pPr>
              <w:spacing w:line="280" w:lineRule="exact"/>
              <w:rPr>
                <w:rFonts w:ascii="宋体" w:hAnsi="宋体" w:cs="宋体"/>
                <w:szCs w:val="21"/>
              </w:rPr>
            </w:pPr>
            <w:r>
              <w:rPr>
                <w:rFonts w:hint="eastAsia" w:ascii="宋体" w:hAnsi="宋体" w:cs="宋体"/>
                <w:szCs w:val="21"/>
              </w:rPr>
              <w:t>2.未对供应商进行规范管理，一项不符合扣1分；</w:t>
            </w:r>
          </w:p>
          <w:p>
            <w:pPr>
              <w:spacing w:line="280" w:lineRule="exact"/>
              <w:rPr>
                <w:rFonts w:ascii="宋体" w:hAnsi="宋体" w:cs="宋体"/>
                <w:szCs w:val="21"/>
              </w:rPr>
            </w:pPr>
            <w:r>
              <w:rPr>
                <w:rFonts w:hint="eastAsia" w:ascii="宋体" w:hAnsi="宋体" w:cs="宋体"/>
                <w:szCs w:val="21"/>
              </w:rPr>
              <w:t>3.未定期识别与采购有关的风险，1次扣2分。</w:t>
            </w:r>
          </w:p>
        </w:tc>
        <w:tc>
          <w:tcPr>
            <w:tcW w:w="1165" w:type="dxa"/>
            <w:vAlign w:val="center"/>
          </w:tcPr>
          <w:p>
            <w:pPr>
              <w:jc w:val="center"/>
              <w:rPr>
                <w:rFonts w:ascii="宋体" w:hAnsi="宋体" w:cs="宋体"/>
                <w:szCs w:val="21"/>
              </w:rPr>
            </w:pPr>
            <w:r>
              <w:rPr>
                <w:rFonts w:hint="eastAsia" w:ascii="宋体" w:hAnsi="宋体" w:cs="宋体"/>
                <w:szCs w:val="21"/>
              </w:rPr>
              <w:t>符合要求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771" w:type="dxa"/>
            <w:vMerge w:val="restart"/>
          </w:tcPr>
          <w:p>
            <w:pPr>
              <w:spacing w:line="280" w:lineRule="exact"/>
              <w:rPr>
                <w:rFonts w:ascii="宋体" w:hAnsi="宋体" w:cs="宋体"/>
                <w:b/>
                <w:bCs/>
                <w:szCs w:val="21"/>
              </w:rPr>
            </w:pPr>
            <w:r>
              <w:rPr>
                <w:rFonts w:hint="eastAsia" w:ascii="宋体" w:hAnsi="宋体" w:cs="宋体"/>
                <w:b/>
                <w:bCs/>
                <w:szCs w:val="21"/>
              </w:rPr>
              <w:t>4 管理制度</w:t>
            </w:r>
          </w:p>
          <w:p>
            <w:pPr>
              <w:spacing w:line="280" w:lineRule="exact"/>
              <w:rPr>
                <w:rFonts w:ascii="宋体" w:hAnsi="宋体" w:cs="宋体"/>
                <w:b/>
                <w:bCs/>
                <w:szCs w:val="21"/>
              </w:rPr>
            </w:pPr>
            <w:r>
              <w:rPr>
                <w:rFonts w:hint="eastAsia" w:ascii="宋体" w:hAnsi="宋体" w:cs="宋体"/>
                <w:b/>
                <w:bCs/>
                <w:szCs w:val="21"/>
              </w:rPr>
              <w:t>（100分）</w:t>
            </w:r>
          </w:p>
        </w:tc>
        <w:tc>
          <w:tcPr>
            <w:tcW w:w="709" w:type="dxa"/>
            <w:vMerge w:val="restart"/>
          </w:tcPr>
          <w:p>
            <w:pPr>
              <w:spacing w:line="280" w:lineRule="exact"/>
              <w:rPr>
                <w:rFonts w:ascii="宋体" w:hAnsi="宋体" w:cs="宋体"/>
                <w:b/>
                <w:bCs/>
                <w:szCs w:val="21"/>
              </w:rPr>
            </w:pPr>
            <w:r>
              <w:rPr>
                <w:rFonts w:hint="eastAsia" w:ascii="宋体" w:hAnsi="宋体" w:cs="宋体"/>
                <w:b/>
                <w:bCs/>
                <w:szCs w:val="21"/>
              </w:rPr>
              <w:t>4.1安全生产规章制度</w:t>
            </w:r>
          </w:p>
          <w:p>
            <w:pPr>
              <w:spacing w:line="280" w:lineRule="exact"/>
              <w:rPr>
                <w:rFonts w:ascii="宋体" w:hAnsi="宋体" w:cs="宋体"/>
                <w:b/>
                <w:bCs/>
                <w:szCs w:val="21"/>
              </w:rPr>
            </w:pPr>
            <w:r>
              <w:rPr>
                <w:rFonts w:hint="eastAsia" w:ascii="宋体" w:hAnsi="宋体" w:cs="宋体"/>
                <w:b/>
                <w:bCs/>
                <w:szCs w:val="21"/>
              </w:rPr>
              <w:t>（40分）</w:t>
            </w:r>
          </w:p>
          <w:p>
            <w:pPr>
              <w:spacing w:line="280" w:lineRule="exact"/>
              <w:rPr>
                <w:rFonts w:ascii="宋体" w:hAnsi="宋体" w:cs="宋体"/>
                <w:b/>
                <w:bCs/>
                <w:szCs w:val="21"/>
              </w:rPr>
            </w:pPr>
          </w:p>
        </w:tc>
        <w:tc>
          <w:tcPr>
            <w:tcW w:w="2409" w:type="dxa"/>
          </w:tcPr>
          <w:p>
            <w:pPr>
              <w:spacing w:line="280" w:lineRule="exact"/>
              <w:rPr>
                <w:rFonts w:ascii="宋体" w:hAnsi="宋体" w:cs="宋体"/>
                <w:szCs w:val="21"/>
              </w:rPr>
            </w:pPr>
            <w:r>
              <w:rPr>
                <w:rFonts w:hint="eastAsia" w:ascii="宋体" w:hAnsi="宋体" w:cs="宋体"/>
                <w:szCs w:val="21"/>
              </w:rPr>
              <w:t>1.企业应制定健全的安全生产规章制度，至少包括下列内容：</w:t>
            </w:r>
          </w:p>
          <w:p>
            <w:pPr>
              <w:spacing w:line="280" w:lineRule="exact"/>
              <w:rPr>
                <w:rFonts w:ascii="宋体" w:hAnsi="宋体" w:cs="宋体"/>
                <w:szCs w:val="21"/>
              </w:rPr>
            </w:pPr>
            <w:r>
              <w:rPr>
                <w:rFonts w:hint="eastAsia" w:ascii="宋体" w:hAnsi="宋体" w:cs="宋体"/>
                <w:szCs w:val="21"/>
              </w:rPr>
              <w:t>（1）安全生产职责；</w:t>
            </w:r>
          </w:p>
          <w:p>
            <w:pPr>
              <w:spacing w:line="280" w:lineRule="exact"/>
              <w:rPr>
                <w:rFonts w:ascii="宋体" w:hAnsi="宋体" w:cs="宋体"/>
                <w:szCs w:val="21"/>
              </w:rPr>
            </w:pPr>
            <w:r>
              <w:rPr>
                <w:rFonts w:hint="eastAsia" w:ascii="宋体" w:hAnsi="宋体" w:cs="宋体"/>
                <w:szCs w:val="21"/>
              </w:rPr>
              <w:t>（2）识别和获取适用的安全生产法律法规、标准及其他要求；</w:t>
            </w:r>
          </w:p>
          <w:p>
            <w:pPr>
              <w:spacing w:line="280" w:lineRule="exact"/>
              <w:rPr>
                <w:rFonts w:ascii="宋体" w:hAnsi="宋体" w:cs="宋体"/>
                <w:szCs w:val="21"/>
              </w:rPr>
            </w:pPr>
            <w:r>
              <w:rPr>
                <w:rFonts w:hint="eastAsia" w:ascii="宋体" w:hAnsi="宋体" w:cs="宋体"/>
                <w:szCs w:val="21"/>
              </w:rPr>
              <w:t xml:space="preserve">（3）安全生产会议管理； </w:t>
            </w:r>
          </w:p>
          <w:p>
            <w:pPr>
              <w:spacing w:line="280" w:lineRule="exact"/>
              <w:rPr>
                <w:rFonts w:ascii="宋体" w:hAnsi="宋体" w:cs="宋体"/>
                <w:szCs w:val="21"/>
              </w:rPr>
            </w:pPr>
            <w:r>
              <w:rPr>
                <w:rFonts w:hint="eastAsia" w:ascii="宋体" w:hAnsi="宋体" w:cs="宋体"/>
                <w:szCs w:val="21"/>
              </w:rPr>
              <w:t xml:space="preserve">（4）安全生产费用； </w:t>
            </w:r>
          </w:p>
          <w:p>
            <w:pPr>
              <w:spacing w:line="280" w:lineRule="exact"/>
              <w:rPr>
                <w:rFonts w:ascii="宋体" w:hAnsi="宋体" w:cs="宋体"/>
                <w:szCs w:val="21"/>
              </w:rPr>
            </w:pPr>
            <w:r>
              <w:rPr>
                <w:rFonts w:hint="eastAsia" w:ascii="宋体" w:hAnsi="宋体" w:cs="宋体"/>
                <w:szCs w:val="21"/>
              </w:rPr>
              <w:t xml:space="preserve">（5）安全生产奖惩管理； </w:t>
            </w:r>
          </w:p>
          <w:p>
            <w:pPr>
              <w:spacing w:line="280" w:lineRule="exact"/>
              <w:rPr>
                <w:rFonts w:ascii="宋体" w:hAnsi="宋体" w:cs="宋体"/>
                <w:szCs w:val="21"/>
              </w:rPr>
            </w:pPr>
            <w:r>
              <w:rPr>
                <w:rFonts w:hint="eastAsia" w:ascii="宋体" w:hAnsi="宋体" w:cs="宋体"/>
                <w:szCs w:val="21"/>
              </w:rPr>
              <w:t xml:space="preserve">（6）管理制度评审和修订； </w:t>
            </w:r>
          </w:p>
          <w:p>
            <w:pPr>
              <w:spacing w:line="280" w:lineRule="exact"/>
              <w:rPr>
                <w:rFonts w:ascii="宋体" w:hAnsi="宋体" w:cs="宋体"/>
                <w:szCs w:val="21"/>
              </w:rPr>
            </w:pPr>
            <w:r>
              <w:rPr>
                <w:rFonts w:hint="eastAsia" w:ascii="宋体" w:hAnsi="宋体" w:cs="宋体"/>
                <w:szCs w:val="21"/>
              </w:rPr>
              <w:t xml:space="preserve">（7）安全培训教育； </w:t>
            </w:r>
          </w:p>
          <w:p>
            <w:pPr>
              <w:spacing w:line="280" w:lineRule="exact"/>
              <w:rPr>
                <w:rFonts w:ascii="宋体" w:hAnsi="宋体" w:cs="宋体"/>
                <w:szCs w:val="21"/>
              </w:rPr>
            </w:pPr>
            <w:r>
              <w:rPr>
                <w:rFonts w:hint="eastAsia" w:ascii="宋体" w:hAnsi="宋体" w:cs="宋体"/>
                <w:szCs w:val="21"/>
              </w:rPr>
              <w:t xml:space="preserve">（8）特种作业人员管理； </w:t>
            </w:r>
          </w:p>
          <w:p>
            <w:pPr>
              <w:spacing w:line="280" w:lineRule="exact"/>
              <w:rPr>
                <w:rFonts w:ascii="宋体" w:hAnsi="宋体" w:cs="宋体"/>
                <w:szCs w:val="21"/>
              </w:rPr>
            </w:pPr>
            <w:r>
              <w:rPr>
                <w:rFonts w:hint="eastAsia" w:ascii="宋体" w:hAnsi="宋体" w:cs="宋体"/>
                <w:szCs w:val="21"/>
              </w:rPr>
              <w:t xml:space="preserve">（9）管理部门、基层班组安全活动管理； </w:t>
            </w:r>
          </w:p>
          <w:p>
            <w:pPr>
              <w:spacing w:line="280" w:lineRule="exact"/>
              <w:rPr>
                <w:rFonts w:ascii="宋体" w:hAnsi="宋体" w:cs="宋体"/>
                <w:szCs w:val="21"/>
              </w:rPr>
            </w:pPr>
            <w:r>
              <w:rPr>
                <w:rFonts w:hint="eastAsia" w:ascii="宋体" w:hAnsi="宋体" w:cs="宋体"/>
                <w:szCs w:val="21"/>
              </w:rPr>
              <w:t>（10）风险评价；</w:t>
            </w:r>
          </w:p>
          <w:p>
            <w:pPr>
              <w:spacing w:line="280" w:lineRule="exact"/>
              <w:rPr>
                <w:rFonts w:ascii="宋体" w:hAnsi="宋体" w:cs="宋体"/>
                <w:szCs w:val="21"/>
              </w:rPr>
            </w:pPr>
            <w:r>
              <w:rPr>
                <w:rFonts w:hint="eastAsia" w:ascii="宋体" w:hAnsi="宋体" w:cs="宋体"/>
                <w:szCs w:val="21"/>
              </w:rPr>
              <w:t xml:space="preserve">（11）隐患排查治理； </w:t>
            </w:r>
          </w:p>
          <w:p>
            <w:pPr>
              <w:spacing w:line="280" w:lineRule="exact"/>
              <w:rPr>
                <w:rFonts w:ascii="宋体" w:hAnsi="宋体" w:cs="宋体"/>
                <w:szCs w:val="21"/>
              </w:rPr>
            </w:pPr>
            <w:r>
              <w:rPr>
                <w:rFonts w:hint="eastAsia" w:ascii="宋体" w:hAnsi="宋体" w:cs="宋体"/>
                <w:szCs w:val="21"/>
              </w:rPr>
              <w:t xml:space="preserve">（12）重大危险源管理； </w:t>
            </w:r>
          </w:p>
          <w:p>
            <w:pPr>
              <w:spacing w:line="280" w:lineRule="exact"/>
              <w:rPr>
                <w:rFonts w:ascii="宋体" w:hAnsi="宋体" w:cs="宋体"/>
                <w:szCs w:val="21"/>
              </w:rPr>
            </w:pPr>
            <w:r>
              <w:rPr>
                <w:rFonts w:hint="eastAsia" w:ascii="宋体" w:hAnsi="宋体" w:cs="宋体"/>
                <w:szCs w:val="21"/>
              </w:rPr>
              <w:t xml:space="preserve">（13）变更管理； </w:t>
            </w:r>
          </w:p>
          <w:p>
            <w:pPr>
              <w:spacing w:line="280" w:lineRule="exact"/>
              <w:rPr>
                <w:rFonts w:ascii="宋体" w:hAnsi="宋体" w:cs="宋体"/>
                <w:szCs w:val="21"/>
              </w:rPr>
            </w:pPr>
            <w:r>
              <w:rPr>
                <w:rFonts w:hint="eastAsia" w:ascii="宋体" w:hAnsi="宋体" w:cs="宋体"/>
                <w:szCs w:val="21"/>
              </w:rPr>
              <w:t xml:space="preserve">（14）事故管理； </w:t>
            </w:r>
          </w:p>
          <w:p>
            <w:pPr>
              <w:spacing w:line="280" w:lineRule="exact"/>
              <w:rPr>
                <w:rFonts w:ascii="宋体" w:hAnsi="宋体" w:cs="宋体"/>
                <w:szCs w:val="21"/>
              </w:rPr>
            </w:pPr>
            <w:r>
              <w:rPr>
                <w:rFonts w:hint="eastAsia" w:ascii="宋体" w:hAnsi="宋体" w:cs="宋体"/>
                <w:szCs w:val="21"/>
              </w:rPr>
              <w:t>（15）防火、防爆管理，包括禁烟管理；</w:t>
            </w:r>
          </w:p>
          <w:p>
            <w:pPr>
              <w:spacing w:line="280" w:lineRule="exact"/>
              <w:rPr>
                <w:rFonts w:ascii="宋体" w:hAnsi="宋体" w:cs="宋体"/>
                <w:szCs w:val="21"/>
              </w:rPr>
            </w:pPr>
            <w:r>
              <w:rPr>
                <w:rFonts w:hint="eastAsia" w:ascii="宋体" w:hAnsi="宋体" w:cs="宋体"/>
                <w:szCs w:val="21"/>
              </w:rPr>
              <w:t>（16）消防管理；</w:t>
            </w:r>
          </w:p>
          <w:p>
            <w:pPr>
              <w:spacing w:line="280" w:lineRule="exact"/>
              <w:rPr>
                <w:rFonts w:ascii="宋体" w:hAnsi="宋体" w:cs="宋体"/>
                <w:szCs w:val="21"/>
              </w:rPr>
            </w:pPr>
            <w:r>
              <w:rPr>
                <w:rFonts w:hint="eastAsia" w:ascii="宋体" w:hAnsi="宋体" w:cs="宋体"/>
                <w:szCs w:val="21"/>
              </w:rPr>
              <w:t xml:space="preserve">（17）仓库、罐区安全管理； </w:t>
            </w:r>
          </w:p>
          <w:p>
            <w:pPr>
              <w:spacing w:line="280" w:lineRule="exact"/>
              <w:rPr>
                <w:rFonts w:ascii="宋体" w:hAnsi="宋体" w:cs="宋体"/>
                <w:szCs w:val="21"/>
              </w:rPr>
            </w:pPr>
            <w:r>
              <w:rPr>
                <w:rFonts w:hint="eastAsia" w:ascii="宋体" w:hAnsi="宋体" w:cs="宋体"/>
                <w:szCs w:val="21"/>
              </w:rPr>
              <w:t>（18）关键装置、重点部位安全管理；</w:t>
            </w:r>
          </w:p>
          <w:p>
            <w:pPr>
              <w:spacing w:line="280" w:lineRule="exact"/>
              <w:rPr>
                <w:rFonts w:ascii="宋体" w:hAnsi="宋体" w:cs="宋体"/>
                <w:szCs w:val="21"/>
              </w:rPr>
            </w:pPr>
            <w:r>
              <w:rPr>
                <w:rFonts w:hint="eastAsia" w:ascii="宋体" w:hAnsi="宋体" w:cs="宋体"/>
                <w:szCs w:val="21"/>
              </w:rPr>
              <w:t xml:space="preserve">（19）生产设施管理，包括安全设施、特种设备等管理； </w:t>
            </w:r>
          </w:p>
          <w:p>
            <w:pPr>
              <w:spacing w:line="280" w:lineRule="exact"/>
              <w:rPr>
                <w:rFonts w:ascii="宋体" w:hAnsi="宋体" w:cs="宋体"/>
                <w:szCs w:val="21"/>
              </w:rPr>
            </w:pPr>
            <w:r>
              <w:rPr>
                <w:rFonts w:hint="eastAsia" w:ascii="宋体" w:hAnsi="宋体" w:cs="宋体"/>
                <w:szCs w:val="21"/>
              </w:rPr>
              <w:t>（20）监视和测量设备管理；</w:t>
            </w:r>
          </w:p>
          <w:p>
            <w:pPr>
              <w:spacing w:line="280" w:lineRule="exact"/>
              <w:rPr>
                <w:rFonts w:ascii="宋体" w:hAnsi="宋体" w:cs="宋体"/>
                <w:szCs w:val="21"/>
              </w:rPr>
            </w:pPr>
            <w:r>
              <w:rPr>
                <w:rFonts w:hint="eastAsia" w:ascii="宋体" w:hAnsi="宋体" w:cs="宋体"/>
                <w:szCs w:val="21"/>
              </w:rPr>
              <w:t>（21）安全作业管理，包括动火作业、进入受限空间作业、临时用电作业、高处作业、起重吊装作业、破土作业、断路作业、设备检维修作业、高温作业、抽堵盲板作业管理等；</w:t>
            </w:r>
          </w:p>
          <w:p>
            <w:pPr>
              <w:spacing w:line="280" w:lineRule="exact"/>
              <w:rPr>
                <w:rFonts w:ascii="宋体" w:hAnsi="宋体" w:cs="宋体"/>
                <w:szCs w:val="21"/>
              </w:rPr>
            </w:pPr>
            <w:r>
              <w:rPr>
                <w:rFonts w:hint="eastAsia" w:ascii="宋体" w:hAnsi="宋体" w:cs="宋体"/>
                <w:szCs w:val="21"/>
              </w:rPr>
              <w:t>（22）危险化学品安全管理，包括剧毒化学品安全管理及危险化学品储存、出入库、运输、装卸等；</w:t>
            </w:r>
          </w:p>
          <w:p>
            <w:pPr>
              <w:spacing w:line="280" w:lineRule="exact"/>
              <w:rPr>
                <w:rFonts w:ascii="宋体" w:hAnsi="宋体" w:cs="宋体"/>
                <w:szCs w:val="21"/>
              </w:rPr>
            </w:pPr>
            <w:r>
              <w:rPr>
                <w:rFonts w:hint="eastAsia" w:ascii="宋体" w:hAnsi="宋体" w:cs="宋体"/>
                <w:szCs w:val="21"/>
              </w:rPr>
              <w:t>（23）检维修管理；</w:t>
            </w:r>
          </w:p>
          <w:p>
            <w:pPr>
              <w:spacing w:line="280" w:lineRule="exact"/>
              <w:rPr>
                <w:rFonts w:ascii="宋体" w:hAnsi="宋体" w:cs="宋体"/>
                <w:szCs w:val="21"/>
              </w:rPr>
            </w:pPr>
            <w:r>
              <w:rPr>
                <w:rFonts w:hint="eastAsia" w:ascii="宋体" w:hAnsi="宋体" w:cs="宋体"/>
                <w:szCs w:val="21"/>
              </w:rPr>
              <w:t xml:space="preserve">（24）生产设施拆除和报废管理；  </w:t>
            </w:r>
          </w:p>
          <w:p>
            <w:pPr>
              <w:spacing w:line="280" w:lineRule="exact"/>
              <w:rPr>
                <w:rFonts w:ascii="宋体" w:hAnsi="宋体" w:cs="宋体"/>
                <w:szCs w:val="21"/>
              </w:rPr>
            </w:pPr>
            <w:r>
              <w:rPr>
                <w:rFonts w:hint="eastAsia" w:ascii="宋体" w:hAnsi="宋体" w:cs="宋体"/>
                <w:szCs w:val="21"/>
              </w:rPr>
              <w:t xml:space="preserve">（25）承包商管理；                   </w:t>
            </w:r>
          </w:p>
          <w:p>
            <w:pPr>
              <w:spacing w:line="280" w:lineRule="exact"/>
              <w:rPr>
                <w:rFonts w:ascii="宋体" w:hAnsi="宋体" w:cs="宋体"/>
                <w:szCs w:val="21"/>
              </w:rPr>
            </w:pPr>
            <w:r>
              <w:rPr>
                <w:rFonts w:hint="eastAsia" w:ascii="宋体" w:hAnsi="宋体" w:cs="宋体"/>
                <w:szCs w:val="21"/>
              </w:rPr>
              <w:t>（26）供应商管理；</w:t>
            </w:r>
          </w:p>
          <w:p>
            <w:pPr>
              <w:spacing w:line="280" w:lineRule="exact"/>
              <w:rPr>
                <w:rFonts w:ascii="宋体" w:hAnsi="宋体" w:cs="宋体"/>
                <w:szCs w:val="21"/>
              </w:rPr>
            </w:pPr>
            <w:r>
              <w:rPr>
                <w:rFonts w:hint="eastAsia" w:ascii="宋体" w:hAnsi="宋体" w:cs="宋体"/>
                <w:szCs w:val="21"/>
              </w:rPr>
              <w:t>（27）职业卫生管理，包括防尘、防毒管理；</w:t>
            </w:r>
          </w:p>
          <w:p>
            <w:pPr>
              <w:spacing w:line="280" w:lineRule="exact"/>
              <w:rPr>
                <w:rFonts w:ascii="宋体" w:hAnsi="宋体" w:cs="宋体"/>
                <w:szCs w:val="21"/>
              </w:rPr>
            </w:pPr>
            <w:r>
              <w:rPr>
                <w:rFonts w:hint="eastAsia" w:ascii="宋体" w:hAnsi="宋体" w:cs="宋体"/>
                <w:szCs w:val="21"/>
              </w:rPr>
              <w:t>（28）劳动防护用品（具）和保健品管理；</w:t>
            </w:r>
          </w:p>
          <w:p>
            <w:pPr>
              <w:spacing w:line="280" w:lineRule="exact"/>
              <w:rPr>
                <w:rFonts w:ascii="宋体" w:hAnsi="宋体" w:cs="宋体"/>
                <w:szCs w:val="21"/>
              </w:rPr>
            </w:pPr>
            <w:r>
              <w:rPr>
                <w:rFonts w:hint="eastAsia" w:ascii="宋体" w:hAnsi="宋体" w:cs="宋体"/>
                <w:szCs w:val="21"/>
              </w:rPr>
              <w:t>(29)作业场所职业危害因素检测管理；</w:t>
            </w:r>
          </w:p>
          <w:p>
            <w:pPr>
              <w:spacing w:line="280" w:lineRule="exact"/>
              <w:rPr>
                <w:rFonts w:ascii="宋体" w:hAnsi="宋体" w:cs="宋体"/>
                <w:szCs w:val="21"/>
              </w:rPr>
            </w:pPr>
            <w:r>
              <w:rPr>
                <w:rFonts w:hint="eastAsia" w:ascii="宋体" w:hAnsi="宋体" w:cs="宋体"/>
                <w:szCs w:val="21"/>
              </w:rPr>
              <w:t>（30）应急救援管理；</w:t>
            </w:r>
          </w:p>
          <w:p>
            <w:pPr>
              <w:spacing w:line="280" w:lineRule="exact"/>
              <w:rPr>
                <w:rFonts w:ascii="宋体" w:hAnsi="宋体" w:cs="宋体"/>
                <w:szCs w:val="21"/>
              </w:rPr>
            </w:pPr>
            <w:r>
              <w:rPr>
                <w:rFonts w:hint="eastAsia" w:ascii="宋体" w:hAnsi="宋体" w:cs="宋体"/>
                <w:szCs w:val="21"/>
              </w:rPr>
              <w:t>（31）安全检查管理；</w:t>
            </w:r>
          </w:p>
          <w:p>
            <w:pPr>
              <w:spacing w:line="280" w:lineRule="exact"/>
              <w:rPr>
                <w:rFonts w:ascii="宋体" w:hAnsi="宋体" w:cs="宋体"/>
                <w:szCs w:val="21"/>
              </w:rPr>
            </w:pPr>
            <w:r>
              <w:rPr>
                <w:rFonts w:hint="eastAsia" w:ascii="宋体" w:hAnsi="宋体" w:cs="宋体"/>
                <w:szCs w:val="21"/>
              </w:rPr>
              <w:t>（32）自评。</w:t>
            </w:r>
          </w:p>
        </w:tc>
        <w:tc>
          <w:tcPr>
            <w:tcW w:w="2268" w:type="dxa"/>
          </w:tcPr>
          <w:p>
            <w:pPr>
              <w:spacing w:line="280" w:lineRule="exact"/>
              <w:rPr>
                <w:rFonts w:ascii="宋体" w:hAnsi="宋体" w:cs="宋体"/>
                <w:szCs w:val="21"/>
              </w:rPr>
            </w:pPr>
            <w:r>
              <w:rPr>
                <w:rFonts w:hint="eastAsia" w:ascii="宋体" w:hAnsi="宋体" w:cs="宋体"/>
                <w:szCs w:val="21"/>
              </w:rPr>
              <w:t>1.通过识别和评估，将适用于本企业的有关法律法规和有关标准规定转化为企业安全生产规章制度或安全操作规程的具体内容，并严格落实；</w:t>
            </w:r>
          </w:p>
          <w:p>
            <w:pPr>
              <w:spacing w:line="280" w:lineRule="exact"/>
              <w:rPr>
                <w:rFonts w:ascii="宋体" w:hAnsi="宋体" w:cs="宋体"/>
                <w:szCs w:val="21"/>
              </w:rPr>
            </w:pPr>
            <w:r>
              <w:rPr>
                <w:rFonts w:hint="eastAsia" w:ascii="宋体" w:hAnsi="宋体" w:cs="宋体"/>
                <w:szCs w:val="21"/>
              </w:rPr>
              <w:t>2.安全生产规章制度内容应符合标准要求；</w:t>
            </w:r>
          </w:p>
          <w:p>
            <w:pPr>
              <w:spacing w:line="280" w:lineRule="exact"/>
              <w:rPr>
                <w:rFonts w:ascii="宋体" w:hAnsi="宋体" w:cs="宋体"/>
                <w:szCs w:val="21"/>
              </w:rPr>
            </w:pPr>
            <w:r>
              <w:rPr>
                <w:rFonts w:hint="eastAsia" w:ascii="宋体" w:hAnsi="宋体" w:cs="宋体"/>
                <w:szCs w:val="21"/>
              </w:rPr>
              <w:t>3.明确责任部门、职责、工作要求；</w:t>
            </w:r>
          </w:p>
          <w:p>
            <w:pPr>
              <w:spacing w:line="280" w:lineRule="exact"/>
              <w:rPr>
                <w:rFonts w:ascii="宋体" w:hAnsi="宋体" w:cs="宋体"/>
                <w:szCs w:val="21"/>
              </w:rPr>
            </w:pPr>
            <w:r>
              <w:rPr>
                <w:rFonts w:hint="eastAsia" w:ascii="宋体" w:hAnsi="宋体" w:cs="宋体"/>
                <w:szCs w:val="21"/>
              </w:rPr>
              <w:t>4.安全生产规章制度应具有可操作性；</w:t>
            </w:r>
          </w:p>
          <w:p>
            <w:pPr>
              <w:spacing w:line="280" w:lineRule="exact"/>
              <w:rPr>
                <w:rFonts w:ascii="宋体" w:hAnsi="宋体" w:cs="宋体"/>
                <w:szCs w:val="21"/>
              </w:rPr>
            </w:pPr>
            <w:r>
              <w:rPr>
                <w:rFonts w:hint="eastAsia" w:ascii="宋体" w:hAnsi="宋体" w:cs="宋体"/>
                <w:szCs w:val="21"/>
              </w:rPr>
              <w:t>5.除制定《通用规范》要求的规章制度以外，还应制定包括以下内容的规章制度：工艺管理、开停车管理、设备管理、建（构）筑物管理、电气管理、公用工程管理、易制毒管理、危险化学品输送管道定期巡线制度、领导干部带班、厂区交通安全、文件、档案管理制度等。</w:t>
            </w:r>
          </w:p>
          <w:p>
            <w:pPr>
              <w:spacing w:line="280" w:lineRule="exact"/>
              <w:rPr>
                <w:rFonts w:ascii="宋体" w:hAnsi="宋体" w:cs="宋体"/>
                <w:szCs w:val="21"/>
              </w:rPr>
            </w:pPr>
            <w:r>
              <w:rPr>
                <w:rFonts w:hint="eastAsia" w:ascii="宋体" w:hAnsi="宋体" w:cs="宋体"/>
                <w:szCs w:val="21"/>
              </w:rPr>
              <w:t>6.企业主要负责人应组织审定并签发安全生产规章制度。</w:t>
            </w:r>
          </w:p>
          <w:p>
            <w:pPr>
              <w:spacing w:line="280" w:lineRule="exact"/>
              <w:rPr>
                <w:rFonts w:ascii="宋体" w:hAnsi="宋体" w:cs="宋体"/>
                <w:szCs w:val="21"/>
              </w:rPr>
            </w:pPr>
          </w:p>
        </w:tc>
        <w:tc>
          <w:tcPr>
            <w:tcW w:w="2268" w:type="dxa"/>
          </w:tcPr>
          <w:p>
            <w:pPr>
              <w:spacing w:line="280" w:lineRule="exact"/>
              <w:rPr>
                <w:rFonts w:ascii="宋体" w:hAnsi="宋体" w:cs="宋体"/>
                <w:szCs w:val="21"/>
              </w:rPr>
            </w:pPr>
            <w:r>
              <w:rPr>
                <w:rFonts w:hint="eastAsia" w:ascii="宋体" w:hAnsi="宋体" w:cs="宋体"/>
                <w:szCs w:val="21"/>
              </w:rPr>
              <w:t>查文件：</w:t>
            </w:r>
          </w:p>
          <w:p>
            <w:pPr>
              <w:spacing w:line="280" w:lineRule="exact"/>
              <w:rPr>
                <w:rFonts w:ascii="宋体" w:hAnsi="宋体" w:cs="宋体"/>
                <w:szCs w:val="21"/>
              </w:rPr>
            </w:pPr>
            <w:r>
              <w:rPr>
                <w:rFonts w:hint="eastAsia" w:ascii="宋体" w:hAnsi="宋体" w:cs="宋体"/>
                <w:szCs w:val="21"/>
              </w:rPr>
              <w:t>1.适用的法律法规和标准、规章制度和安全操作规程清单。</w:t>
            </w:r>
          </w:p>
          <w:p>
            <w:pPr>
              <w:spacing w:line="280" w:lineRule="exact"/>
              <w:rPr>
                <w:rFonts w:ascii="宋体" w:hAnsi="宋体" w:cs="宋体"/>
                <w:szCs w:val="21"/>
              </w:rPr>
            </w:pPr>
            <w:r>
              <w:rPr>
                <w:rFonts w:hint="eastAsia" w:ascii="宋体" w:hAnsi="宋体" w:cs="宋体"/>
                <w:szCs w:val="21"/>
              </w:rPr>
              <w:t>2.企业安全生产规章制度签发文件。</w:t>
            </w:r>
          </w:p>
          <w:p>
            <w:pPr>
              <w:spacing w:line="280" w:lineRule="exact"/>
              <w:rPr>
                <w:rFonts w:ascii="宋体" w:hAnsi="宋体" w:cs="宋体"/>
                <w:szCs w:val="21"/>
              </w:rPr>
            </w:pPr>
            <w:r>
              <w:rPr>
                <w:rFonts w:hint="eastAsia" w:ascii="宋体" w:hAnsi="宋体" w:cs="宋体"/>
                <w:szCs w:val="21"/>
              </w:rPr>
              <w:t>询问：</w:t>
            </w:r>
          </w:p>
          <w:p>
            <w:pPr>
              <w:spacing w:line="280" w:lineRule="exact"/>
              <w:rPr>
                <w:rFonts w:ascii="宋体" w:hAnsi="宋体" w:cs="宋体"/>
                <w:szCs w:val="21"/>
              </w:rPr>
            </w:pPr>
            <w:r>
              <w:rPr>
                <w:rFonts w:hint="eastAsia" w:ascii="宋体" w:hAnsi="宋体" w:cs="宋体"/>
                <w:szCs w:val="21"/>
              </w:rPr>
              <w:t>有关人员对法律、法规和标准规范的了解、掌握情况。</w:t>
            </w:r>
          </w:p>
          <w:p>
            <w:pPr>
              <w:spacing w:line="280" w:lineRule="exact"/>
              <w:rPr>
                <w:rFonts w:ascii="宋体" w:hAnsi="宋体" w:cs="宋体"/>
                <w:szCs w:val="21"/>
              </w:rPr>
            </w:pPr>
            <w:r>
              <w:rPr>
                <w:rFonts w:hint="eastAsia" w:ascii="宋体" w:hAnsi="宋体" w:cs="宋体"/>
                <w:szCs w:val="21"/>
              </w:rPr>
              <w:t>现场检查：</w:t>
            </w:r>
          </w:p>
          <w:p>
            <w:pPr>
              <w:spacing w:line="280" w:lineRule="exact"/>
              <w:rPr>
                <w:rFonts w:ascii="宋体" w:hAnsi="宋体" w:cs="宋体"/>
                <w:szCs w:val="21"/>
              </w:rPr>
            </w:pPr>
            <w:r>
              <w:rPr>
                <w:rFonts w:hint="eastAsia" w:ascii="宋体" w:hAnsi="宋体" w:cs="宋体"/>
                <w:szCs w:val="21"/>
              </w:rPr>
              <w:t>法律、法规和标准的遵守情况。</w:t>
            </w:r>
          </w:p>
        </w:tc>
        <w:tc>
          <w:tcPr>
            <w:tcW w:w="1701" w:type="dxa"/>
          </w:tcPr>
          <w:p>
            <w:pPr>
              <w:spacing w:line="280" w:lineRule="exact"/>
              <w:rPr>
                <w:rFonts w:ascii="宋体" w:hAnsi="宋体" w:cs="宋体"/>
                <w:szCs w:val="21"/>
              </w:rPr>
            </w:pPr>
            <w:r>
              <w:rPr>
                <w:rFonts w:hint="eastAsia" w:ascii="宋体" w:hAnsi="宋体" w:cs="宋体"/>
                <w:szCs w:val="21"/>
              </w:rPr>
              <w:t>1.未制定动火作业管理制度或进入受限空间管理制度，扣100分（A级要素否决项）；</w:t>
            </w:r>
          </w:p>
          <w:p>
            <w:pPr>
              <w:spacing w:line="280" w:lineRule="exact"/>
              <w:rPr>
                <w:rFonts w:ascii="宋体" w:hAnsi="宋体" w:cs="宋体"/>
                <w:szCs w:val="21"/>
              </w:rPr>
            </w:pPr>
            <w:r>
              <w:rPr>
                <w:rFonts w:hint="eastAsia" w:ascii="宋体" w:hAnsi="宋体" w:cs="宋体"/>
                <w:szCs w:val="21"/>
              </w:rPr>
              <w:t>2.未制定以下规章制度之一，扣40分（B级要素否决项）：</w:t>
            </w:r>
          </w:p>
          <w:p>
            <w:pPr>
              <w:spacing w:line="280" w:lineRule="exact"/>
              <w:rPr>
                <w:rFonts w:ascii="宋体" w:hAnsi="宋体" w:cs="宋体"/>
                <w:szCs w:val="21"/>
              </w:rPr>
            </w:pPr>
            <w:r>
              <w:rPr>
                <w:rFonts w:hint="eastAsia" w:ascii="宋体" w:hAnsi="宋体" w:cs="宋体"/>
                <w:szCs w:val="21"/>
              </w:rPr>
              <w:t>变更管理、风险管理、隐患排查治理、临时用电作业、高处作业、起重吊装作业、破土作业、断路作业、设备检维修作业、抽堵盲板作业管理制度及文件档案管理制度。</w:t>
            </w:r>
          </w:p>
          <w:p>
            <w:pPr>
              <w:spacing w:line="280" w:lineRule="exact"/>
              <w:rPr>
                <w:rFonts w:ascii="宋体" w:hAnsi="宋体" w:cs="宋体"/>
                <w:szCs w:val="21"/>
              </w:rPr>
            </w:pPr>
          </w:p>
        </w:tc>
        <w:tc>
          <w:tcPr>
            <w:tcW w:w="2268" w:type="dxa"/>
          </w:tcPr>
          <w:p>
            <w:pPr>
              <w:spacing w:line="280" w:lineRule="exact"/>
              <w:rPr>
                <w:rFonts w:ascii="宋体" w:hAnsi="宋体" w:cs="宋体"/>
                <w:szCs w:val="21"/>
              </w:rPr>
            </w:pPr>
            <w:r>
              <w:rPr>
                <w:rFonts w:hint="eastAsia" w:ascii="宋体" w:hAnsi="宋体" w:cs="宋体"/>
                <w:szCs w:val="21"/>
              </w:rPr>
              <w:t>1.未将法律法规的有关规定和标准的有关要求转化为企业安全生产规章制度或安全操作规程的具体内容，一项不符合扣2分；</w:t>
            </w:r>
          </w:p>
          <w:p>
            <w:pPr>
              <w:spacing w:line="280" w:lineRule="exact"/>
              <w:rPr>
                <w:rFonts w:ascii="宋体" w:hAnsi="宋体" w:cs="宋体"/>
                <w:szCs w:val="21"/>
              </w:rPr>
            </w:pPr>
            <w:r>
              <w:rPr>
                <w:rFonts w:hint="eastAsia" w:ascii="宋体" w:hAnsi="宋体" w:cs="宋体"/>
                <w:szCs w:val="21"/>
              </w:rPr>
              <w:t>2.责任部门、职责、工作要求、可操作性等内容，一项不符合扣1分；</w:t>
            </w:r>
          </w:p>
          <w:p>
            <w:pPr>
              <w:spacing w:line="280" w:lineRule="exact"/>
              <w:rPr>
                <w:rFonts w:ascii="宋体" w:hAnsi="宋体" w:cs="宋体"/>
                <w:szCs w:val="21"/>
              </w:rPr>
            </w:pPr>
            <w:r>
              <w:rPr>
                <w:rFonts w:hint="eastAsia" w:ascii="宋体" w:hAnsi="宋体" w:cs="宋体"/>
                <w:szCs w:val="21"/>
              </w:rPr>
              <w:t>3.缺少相关内容的管理制度，一项扣2分；</w:t>
            </w:r>
          </w:p>
          <w:p>
            <w:pPr>
              <w:spacing w:line="280" w:lineRule="exact"/>
              <w:rPr>
                <w:rFonts w:ascii="宋体" w:hAnsi="宋体" w:cs="宋体"/>
                <w:szCs w:val="21"/>
              </w:rPr>
            </w:pPr>
            <w:r>
              <w:rPr>
                <w:rFonts w:hint="eastAsia" w:ascii="宋体" w:hAnsi="宋体" w:cs="宋体"/>
                <w:szCs w:val="21"/>
              </w:rPr>
              <w:t>4.有关人员不清楚法律、法规和标准规范的相关要求，1人次扣2分；</w:t>
            </w:r>
          </w:p>
          <w:p>
            <w:pPr>
              <w:spacing w:line="280" w:lineRule="exact"/>
              <w:rPr>
                <w:rFonts w:ascii="宋体" w:hAnsi="宋体" w:cs="宋体"/>
                <w:szCs w:val="21"/>
              </w:rPr>
            </w:pPr>
            <w:r>
              <w:rPr>
                <w:rFonts w:hint="eastAsia" w:ascii="宋体" w:hAnsi="宋体" w:cs="宋体"/>
                <w:szCs w:val="21"/>
              </w:rPr>
              <w:t>5.现场发现有未执行和落实法律法规和标准，或企业安全生产管理制度或操作规程的现象，按相关要素评审标准扣分，没有评审标准的，一项不符合扣2分；</w:t>
            </w:r>
          </w:p>
          <w:p>
            <w:pPr>
              <w:spacing w:line="280" w:lineRule="exact"/>
              <w:rPr>
                <w:rFonts w:ascii="宋体" w:hAnsi="宋体" w:cs="宋体"/>
                <w:szCs w:val="21"/>
              </w:rPr>
            </w:pPr>
            <w:r>
              <w:rPr>
                <w:rFonts w:hint="eastAsia" w:ascii="宋体" w:hAnsi="宋体" w:cs="宋体"/>
                <w:szCs w:val="21"/>
              </w:rPr>
              <w:t>6.企业安全生产规章制度未按规定审定或签发，一项扣5分。</w:t>
            </w:r>
          </w:p>
        </w:tc>
        <w:tc>
          <w:tcPr>
            <w:tcW w:w="1165" w:type="dxa"/>
            <w:vAlign w:val="center"/>
          </w:tcPr>
          <w:p>
            <w:pPr>
              <w:jc w:val="center"/>
              <w:rPr>
                <w:rFonts w:ascii="宋体" w:hAnsi="宋体" w:cs="宋体"/>
                <w:szCs w:val="21"/>
              </w:rPr>
            </w:pPr>
            <w:r>
              <w:rPr>
                <w:rFonts w:hint="eastAsia" w:ascii="宋体" w:hAnsi="宋体" w:cs="宋体"/>
                <w:szCs w:val="21"/>
              </w:rPr>
              <w:t>符合要求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771" w:type="dxa"/>
            <w:vMerge w:val="continue"/>
          </w:tcPr>
          <w:p>
            <w:pPr>
              <w:spacing w:line="280" w:lineRule="exact"/>
              <w:rPr>
                <w:rFonts w:ascii="宋体" w:hAnsi="宋体" w:cs="宋体"/>
                <w:b/>
                <w:bCs/>
                <w:szCs w:val="21"/>
              </w:rPr>
            </w:pPr>
          </w:p>
        </w:tc>
        <w:tc>
          <w:tcPr>
            <w:tcW w:w="709" w:type="dxa"/>
            <w:vMerge w:val="continue"/>
          </w:tcPr>
          <w:p>
            <w:pPr>
              <w:spacing w:line="280" w:lineRule="exact"/>
              <w:rPr>
                <w:rFonts w:ascii="宋体" w:hAnsi="宋体" w:cs="宋体"/>
                <w:b/>
                <w:bCs/>
                <w:szCs w:val="21"/>
              </w:rPr>
            </w:pPr>
          </w:p>
        </w:tc>
        <w:tc>
          <w:tcPr>
            <w:tcW w:w="2409" w:type="dxa"/>
          </w:tcPr>
          <w:p>
            <w:pPr>
              <w:spacing w:line="280" w:lineRule="exact"/>
              <w:rPr>
                <w:rFonts w:ascii="宋体" w:hAnsi="宋体" w:cs="宋体"/>
                <w:szCs w:val="21"/>
              </w:rPr>
            </w:pPr>
            <w:r>
              <w:rPr>
                <w:rFonts w:hint="eastAsia" w:ascii="宋体" w:hAnsi="宋体" w:cs="宋体"/>
                <w:szCs w:val="21"/>
              </w:rPr>
              <w:t>2.企业应将安全生产规章制度发放到有关的工作岗位。</w:t>
            </w:r>
          </w:p>
        </w:tc>
        <w:tc>
          <w:tcPr>
            <w:tcW w:w="2268" w:type="dxa"/>
          </w:tcPr>
          <w:p>
            <w:pPr>
              <w:spacing w:line="280" w:lineRule="exact"/>
              <w:rPr>
                <w:rFonts w:ascii="宋体" w:hAnsi="宋体" w:cs="宋体"/>
                <w:szCs w:val="21"/>
              </w:rPr>
            </w:pPr>
            <w:r>
              <w:rPr>
                <w:rFonts w:hint="eastAsia" w:ascii="宋体" w:hAnsi="宋体" w:cs="宋体"/>
                <w:szCs w:val="21"/>
              </w:rPr>
              <w:t>将安全生产规章制度发放到有关的工作岗位。</w:t>
            </w:r>
          </w:p>
        </w:tc>
        <w:tc>
          <w:tcPr>
            <w:tcW w:w="2268" w:type="dxa"/>
          </w:tcPr>
          <w:p>
            <w:pPr>
              <w:spacing w:line="280" w:lineRule="exact"/>
              <w:rPr>
                <w:rFonts w:ascii="宋体" w:hAnsi="宋体" w:cs="宋体"/>
                <w:szCs w:val="21"/>
              </w:rPr>
            </w:pPr>
            <w:r>
              <w:rPr>
                <w:rFonts w:hint="eastAsia" w:ascii="宋体" w:hAnsi="宋体" w:cs="宋体"/>
                <w:szCs w:val="21"/>
              </w:rPr>
              <w:t>查文件：</w:t>
            </w:r>
          </w:p>
          <w:p>
            <w:pPr>
              <w:spacing w:line="280" w:lineRule="exact"/>
              <w:rPr>
                <w:rFonts w:ascii="宋体" w:hAnsi="宋体" w:cs="宋体"/>
                <w:szCs w:val="21"/>
              </w:rPr>
            </w:pPr>
            <w:r>
              <w:rPr>
                <w:rFonts w:hint="eastAsia" w:ascii="宋体" w:hAnsi="宋体" w:cs="宋体"/>
                <w:szCs w:val="21"/>
              </w:rPr>
              <w:t>文件发放记录。</w:t>
            </w:r>
          </w:p>
          <w:p>
            <w:pPr>
              <w:spacing w:line="280" w:lineRule="exact"/>
              <w:rPr>
                <w:rFonts w:ascii="宋体" w:hAnsi="宋体" w:cs="宋体"/>
                <w:szCs w:val="21"/>
              </w:rPr>
            </w:pPr>
            <w:r>
              <w:rPr>
                <w:rFonts w:hint="eastAsia" w:ascii="宋体" w:hAnsi="宋体" w:cs="宋体"/>
                <w:szCs w:val="21"/>
              </w:rPr>
              <w:t>现场检查：</w:t>
            </w:r>
          </w:p>
          <w:p>
            <w:pPr>
              <w:spacing w:line="280" w:lineRule="exact"/>
              <w:rPr>
                <w:rFonts w:ascii="宋体" w:hAnsi="宋体" w:cs="宋体"/>
                <w:szCs w:val="21"/>
              </w:rPr>
            </w:pPr>
            <w:r>
              <w:rPr>
                <w:rFonts w:hint="eastAsia" w:ascii="宋体" w:hAnsi="宋体" w:cs="宋体"/>
                <w:szCs w:val="21"/>
              </w:rPr>
              <w:t>工作岗位是否有有效的规章制度。</w:t>
            </w:r>
          </w:p>
        </w:tc>
        <w:tc>
          <w:tcPr>
            <w:tcW w:w="1701" w:type="dxa"/>
          </w:tcPr>
          <w:p>
            <w:pPr>
              <w:spacing w:line="280" w:lineRule="exact"/>
              <w:rPr>
                <w:rFonts w:ascii="宋体" w:hAnsi="宋体" w:cs="宋体"/>
                <w:szCs w:val="21"/>
              </w:rPr>
            </w:pPr>
          </w:p>
        </w:tc>
        <w:tc>
          <w:tcPr>
            <w:tcW w:w="2268" w:type="dxa"/>
          </w:tcPr>
          <w:p>
            <w:pPr>
              <w:spacing w:line="280" w:lineRule="exact"/>
              <w:rPr>
                <w:rFonts w:ascii="宋体" w:hAnsi="宋体" w:cs="宋体"/>
                <w:szCs w:val="21"/>
              </w:rPr>
            </w:pPr>
            <w:r>
              <w:rPr>
                <w:rFonts w:hint="eastAsia" w:ascii="宋体" w:hAnsi="宋体" w:cs="宋体"/>
                <w:szCs w:val="21"/>
              </w:rPr>
              <w:t>一项不符合扣2分。</w:t>
            </w:r>
          </w:p>
        </w:tc>
        <w:tc>
          <w:tcPr>
            <w:tcW w:w="1165" w:type="dxa"/>
            <w:vAlign w:val="center"/>
          </w:tcPr>
          <w:p>
            <w:pPr>
              <w:jc w:val="center"/>
              <w:rPr>
                <w:rFonts w:ascii="宋体" w:hAnsi="宋体" w:cs="宋体"/>
                <w:b/>
                <w:bCs/>
                <w:szCs w:val="21"/>
              </w:rPr>
            </w:pPr>
            <w:r>
              <w:rPr>
                <w:rFonts w:hint="eastAsia" w:ascii="宋体" w:hAnsi="宋体" w:cs="宋体"/>
                <w:szCs w:val="21"/>
              </w:rPr>
              <w:t>符合要求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771" w:type="dxa"/>
            <w:vMerge w:val="continue"/>
          </w:tcPr>
          <w:p>
            <w:pPr>
              <w:spacing w:line="280" w:lineRule="exact"/>
              <w:rPr>
                <w:rFonts w:ascii="宋体" w:hAnsi="宋体" w:cs="宋体"/>
                <w:b/>
                <w:bCs/>
                <w:szCs w:val="21"/>
              </w:rPr>
            </w:pPr>
          </w:p>
        </w:tc>
        <w:tc>
          <w:tcPr>
            <w:tcW w:w="709" w:type="dxa"/>
            <w:vMerge w:val="restart"/>
          </w:tcPr>
          <w:p>
            <w:pPr>
              <w:spacing w:line="280" w:lineRule="exact"/>
              <w:rPr>
                <w:rFonts w:ascii="宋体" w:hAnsi="宋体" w:cs="宋体"/>
                <w:b/>
                <w:bCs/>
                <w:szCs w:val="21"/>
              </w:rPr>
            </w:pPr>
            <w:r>
              <w:rPr>
                <w:rFonts w:hint="eastAsia" w:ascii="宋体" w:hAnsi="宋体" w:cs="宋体"/>
                <w:b/>
                <w:bCs/>
                <w:szCs w:val="21"/>
              </w:rPr>
              <w:t>4.2操作规程</w:t>
            </w:r>
          </w:p>
          <w:p>
            <w:pPr>
              <w:spacing w:line="280" w:lineRule="exact"/>
              <w:rPr>
                <w:rFonts w:ascii="宋体" w:hAnsi="宋体" w:cs="宋体"/>
                <w:b/>
                <w:bCs/>
                <w:szCs w:val="21"/>
              </w:rPr>
            </w:pPr>
            <w:r>
              <w:rPr>
                <w:rFonts w:hint="eastAsia" w:ascii="宋体" w:hAnsi="宋体" w:cs="宋体"/>
                <w:b/>
                <w:bCs/>
                <w:szCs w:val="21"/>
              </w:rPr>
              <w:t>（40分）</w:t>
            </w:r>
          </w:p>
        </w:tc>
        <w:tc>
          <w:tcPr>
            <w:tcW w:w="2409" w:type="dxa"/>
          </w:tcPr>
          <w:p>
            <w:pPr>
              <w:spacing w:line="280" w:lineRule="exact"/>
              <w:rPr>
                <w:rFonts w:ascii="宋体" w:hAnsi="宋体" w:cs="宋体"/>
                <w:szCs w:val="21"/>
              </w:rPr>
            </w:pPr>
            <w:r>
              <w:rPr>
                <w:rFonts w:hint="eastAsia" w:ascii="宋体" w:hAnsi="宋体" w:cs="宋体"/>
                <w:szCs w:val="21"/>
              </w:rPr>
              <w:t>1.企业应根据生产工艺、技术、设备设施特点和原材料、辅助材料、产品的危险性，编制操作规程,并发放到相关岗位。</w:t>
            </w:r>
          </w:p>
        </w:tc>
        <w:tc>
          <w:tcPr>
            <w:tcW w:w="2268" w:type="dxa"/>
          </w:tcPr>
          <w:p>
            <w:pPr>
              <w:spacing w:line="280" w:lineRule="exact"/>
              <w:rPr>
                <w:rFonts w:ascii="宋体" w:hAnsi="宋体" w:cs="宋体"/>
                <w:szCs w:val="21"/>
              </w:rPr>
            </w:pPr>
            <w:r>
              <w:rPr>
                <w:rFonts w:hint="eastAsia" w:ascii="宋体" w:hAnsi="宋体" w:cs="宋体"/>
                <w:szCs w:val="21"/>
              </w:rPr>
              <w:t>1.以危险、有害因素分析为依据，编制岗位操作规程；</w:t>
            </w:r>
          </w:p>
          <w:p>
            <w:pPr>
              <w:spacing w:line="280" w:lineRule="exact"/>
              <w:rPr>
                <w:rFonts w:ascii="宋体" w:hAnsi="宋体" w:cs="宋体"/>
                <w:szCs w:val="21"/>
              </w:rPr>
            </w:pPr>
            <w:r>
              <w:rPr>
                <w:rFonts w:hint="eastAsia" w:ascii="宋体" w:hAnsi="宋体" w:cs="宋体"/>
                <w:szCs w:val="21"/>
              </w:rPr>
              <w:t>2.发放到相关岗位；</w:t>
            </w:r>
          </w:p>
          <w:p>
            <w:pPr>
              <w:spacing w:line="280" w:lineRule="exact"/>
              <w:rPr>
                <w:rFonts w:ascii="宋体" w:hAnsi="宋体" w:cs="宋体"/>
                <w:szCs w:val="21"/>
              </w:rPr>
            </w:pPr>
            <w:r>
              <w:rPr>
                <w:rFonts w:hint="eastAsia" w:ascii="宋体" w:hAnsi="宋体" w:cs="宋体"/>
                <w:szCs w:val="21"/>
              </w:rPr>
              <w:t>3.企业主要负责人或其指定的技术负责人审定并签发操作规程。</w:t>
            </w:r>
          </w:p>
        </w:tc>
        <w:tc>
          <w:tcPr>
            <w:tcW w:w="2268" w:type="dxa"/>
          </w:tcPr>
          <w:p>
            <w:pPr>
              <w:spacing w:line="280" w:lineRule="exact"/>
              <w:rPr>
                <w:rFonts w:ascii="宋体" w:hAnsi="宋体" w:cs="宋体"/>
                <w:szCs w:val="21"/>
              </w:rPr>
            </w:pPr>
            <w:r>
              <w:rPr>
                <w:rFonts w:hint="eastAsia" w:ascii="宋体" w:hAnsi="宋体" w:cs="宋体"/>
                <w:szCs w:val="21"/>
              </w:rPr>
              <w:t>查文件：</w:t>
            </w:r>
          </w:p>
          <w:p>
            <w:pPr>
              <w:spacing w:line="280" w:lineRule="exact"/>
              <w:rPr>
                <w:rFonts w:ascii="宋体" w:hAnsi="宋体" w:cs="宋体"/>
                <w:szCs w:val="21"/>
              </w:rPr>
            </w:pPr>
            <w:r>
              <w:rPr>
                <w:rFonts w:hint="eastAsia" w:ascii="宋体" w:hAnsi="宋体" w:cs="宋体"/>
                <w:szCs w:val="21"/>
              </w:rPr>
              <w:t>1.岗位操作规程；</w:t>
            </w:r>
          </w:p>
          <w:p>
            <w:pPr>
              <w:spacing w:line="280" w:lineRule="exact"/>
              <w:rPr>
                <w:rFonts w:ascii="宋体" w:hAnsi="宋体" w:cs="宋体"/>
                <w:szCs w:val="21"/>
              </w:rPr>
            </w:pPr>
            <w:r>
              <w:rPr>
                <w:rFonts w:hint="eastAsia" w:ascii="宋体" w:hAnsi="宋体" w:cs="宋体"/>
                <w:szCs w:val="21"/>
              </w:rPr>
              <w:t>2.文件发放记录。</w:t>
            </w:r>
          </w:p>
          <w:p>
            <w:pPr>
              <w:spacing w:line="280" w:lineRule="exact"/>
              <w:rPr>
                <w:rFonts w:ascii="宋体" w:hAnsi="宋体" w:cs="宋体"/>
                <w:szCs w:val="21"/>
              </w:rPr>
            </w:pPr>
            <w:r>
              <w:rPr>
                <w:rFonts w:hint="eastAsia" w:ascii="宋体" w:hAnsi="宋体" w:cs="宋体"/>
                <w:szCs w:val="21"/>
              </w:rPr>
              <w:t>3.操作规程签发文件。</w:t>
            </w:r>
          </w:p>
          <w:p>
            <w:pPr>
              <w:spacing w:line="280" w:lineRule="exact"/>
              <w:rPr>
                <w:rFonts w:ascii="宋体" w:hAnsi="宋体" w:cs="宋体"/>
                <w:szCs w:val="21"/>
              </w:rPr>
            </w:pPr>
            <w:r>
              <w:rPr>
                <w:rFonts w:hint="eastAsia" w:ascii="宋体" w:hAnsi="宋体" w:cs="宋体"/>
                <w:szCs w:val="21"/>
              </w:rPr>
              <w:t>现场检查：</w:t>
            </w:r>
          </w:p>
          <w:p>
            <w:pPr>
              <w:spacing w:line="280" w:lineRule="exact"/>
              <w:rPr>
                <w:rFonts w:ascii="宋体" w:hAnsi="宋体" w:cs="宋体"/>
                <w:szCs w:val="21"/>
              </w:rPr>
            </w:pPr>
            <w:r>
              <w:rPr>
                <w:rFonts w:hint="eastAsia" w:ascii="宋体" w:hAnsi="宋体" w:cs="宋体"/>
                <w:szCs w:val="21"/>
              </w:rPr>
              <w:t>抽查岗位是否有有效的岗位操作规程。</w:t>
            </w:r>
          </w:p>
        </w:tc>
        <w:tc>
          <w:tcPr>
            <w:tcW w:w="1701" w:type="dxa"/>
          </w:tcPr>
          <w:p>
            <w:pPr>
              <w:spacing w:line="280" w:lineRule="exact"/>
              <w:rPr>
                <w:rFonts w:ascii="宋体" w:hAnsi="宋体" w:cs="宋体"/>
                <w:szCs w:val="21"/>
              </w:rPr>
            </w:pPr>
            <w:r>
              <w:rPr>
                <w:rFonts w:hint="eastAsia" w:ascii="宋体" w:hAnsi="宋体" w:cs="宋体"/>
                <w:szCs w:val="21"/>
              </w:rPr>
              <w:t>有岗位未编制操作规程，或岗位无法提供操作规程，扣40分（B级要素否决项）。</w:t>
            </w:r>
          </w:p>
          <w:p>
            <w:pPr>
              <w:spacing w:line="280" w:lineRule="exact"/>
              <w:rPr>
                <w:rFonts w:ascii="宋体" w:hAnsi="宋体" w:cs="宋体"/>
                <w:szCs w:val="21"/>
              </w:rPr>
            </w:pPr>
          </w:p>
        </w:tc>
        <w:tc>
          <w:tcPr>
            <w:tcW w:w="2268" w:type="dxa"/>
          </w:tcPr>
          <w:p>
            <w:pPr>
              <w:spacing w:line="280" w:lineRule="exact"/>
              <w:rPr>
                <w:rFonts w:ascii="宋体" w:hAnsi="宋体" w:cs="宋体"/>
                <w:szCs w:val="21"/>
              </w:rPr>
            </w:pPr>
            <w:r>
              <w:rPr>
                <w:rFonts w:hint="eastAsia" w:ascii="宋体" w:hAnsi="宋体" w:cs="宋体"/>
                <w:szCs w:val="21"/>
              </w:rPr>
              <w:t>1.操作规程内容一项不符合扣1分。</w:t>
            </w:r>
          </w:p>
          <w:p>
            <w:pPr>
              <w:spacing w:line="280" w:lineRule="exact"/>
              <w:rPr>
                <w:rFonts w:ascii="宋体" w:hAnsi="宋体" w:cs="宋体"/>
                <w:szCs w:val="21"/>
              </w:rPr>
            </w:pPr>
            <w:r>
              <w:rPr>
                <w:rFonts w:hint="eastAsia" w:ascii="宋体" w:hAnsi="宋体" w:cs="宋体"/>
                <w:szCs w:val="21"/>
              </w:rPr>
              <w:t>2.安全操作规程未按规定审定或签发，一项扣5分。</w:t>
            </w:r>
          </w:p>
        </w:tc>
        <w:tc>
          <w:tcPr>
            <w:tcW w:w="1165" w:type="dxa"/>
            <w:vAlign w:val="center"/>
          </w:tcPr>
          <w:p>
            <w:pPr>
              <w:jc w:val="center"/>
              <w:rPr>
                <w:rFonts w:ascii="宋体" w:hAnsi="宋体" w:cs="宋体"/>
                <w:b/>
                <w:bCs/>
                <w:szCs w:val="21"/>
              </w:rPr>
            </w:pPr>
            <w:r>
              <w:rPr>
                <w:rFonts w:hint="eastAsia" w:ascii="仿宋" w:hAnsi="仿宋" w:eastAsia="仿宋" w:cs="仿宋"/>
                <w:color w:val="auto"/>
                <w:kern w:val="2"/>
                <w:sz w:val="24"/>
                <w:szCs w:val="24"/>
                <w:lang w:val="en-US" w:eastAsia="zh-CN" w:bidi="ar-SA"/>
              </w:rPr>
              <w:t>操作规程中液氯气化器热水温度不符合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771" w:type="dxa"/>
            <w:vMerge w:val="continue"/>
          </w:tcPr>
          <w:p>
            <w:pPr>
              <w:spacing w:line="280" w:lineRule="exact"/>
              <w:rPr>
                <w:rFonts w:ascii="宋体" w:hAnsi="宋体" w:cs="宋体"/>
                <w:b/>
                <w:bCs/>
                <w:szCs w:val="21"/>
              </w:rPr>
            </w:pPr>
          </w:p>
        </w:tc>
        <w:tc>
          <w:tcPr>
            <w:tcW w:w="709" w:type="dxa"/>
            <w:vMerge w:val="continue"/>
          </w:tcPr>
          <w:p>
            <w:pPr>
              <w:spacing w:line="280" w:lineRule="exact"/>
              <w:rPr>
                <w:rFonts w:ascii="宋体" w:hAnsi="宋体" w:cs="宋体"/>
                <w:b/>
                <w:bCs/>
                <w:szCs w:val="21"/>
              </w:rPr>
            </w:pPr>
          </w:p>
        </w:tc>
        <w:tc>
          <w:tcPr>
            <w:tcW w:w="2409" w:type="dxa"/>
          </w:tcPr>
          <w:p>
            <w:pPr>
              <w:spacing w:line="280" w:lineRule="exact"/>
              <w:rPr>
                <w:rFonts w:ascii="宋体" w:hAnsi="宋体" w:cs="宋体"/>
                <w:szCs w:val="21"/>
              </w:rPr>
            </w:pPr>
            <w:r>
              <w:rPr>
                <w:rFonts w:hint="eastAsia" w:ascii="宋体" w:hAnsi="宋体" w:cs="宋体"/>
                <w:szCs w:val="21"/>
              </w:rPr>
              <w:t>2.企业应在新工艺、新技术、新装置、新产品投产或投用前，组织编制新的操作规程。</w:t>
            </w:r>
          </w:p>
        </w:tc>
        <w:tc>
          <w:tcPr>
            <w:tcW w:w="2268" w:type="dxa"/>
          </w:tcPr>
          <w:p>
            <w:pPr>
              <w:spacing w:line="280" w:lineRule="exact"/>
              <w:rPr>
                <w:rFonts w:ascii="宋体" w:hAnsi="宋体" w:cs="宋体"/>
                <w:szCs w:val="21"/>
              </w:rPr>
            </w:pPr>
            <w:r>
              <w:rPr>
                <w:rFonts w:hint="eastAsia" w:ascii="宋体" w:hAnsi="宋体" w:cs="宋体"/>
                <w:szCs w:val="21"/>
              </w:rPr>
              <w:t>新工艺、新技术、新装置、新产品投产或投用前，应组织编制新的操作规程。</w:t>
            </w:r>
          </w:p>
        </w:tc>
        <w:tc>
          <w:tcPr>
            <w:tcW w:w="2268" w:type="dxa"/>
          </w:tcPr>
          <w:p>
            <w:pPr>
              <w:spacing w:line="280" w:lineRule="exact"/>
              <w:rPr>
                <w:rFonts w:ascii="宋体" w:hAnsi="宋体" w:cs="宋体"/>
                <w:szCs w:val="21"/>
              </w:rPr>
            </w:pPr>
            <w:r>
              <w:rPr>
                <w:rFonts w:hint="eastAsia" w:ascii="宋体" w:hAnsi="宋体" w:cs="宋体"/>
                <w:szCs w:val="21"/>
              </w:rPr>
              <w:t>查文件：</w:t>
            </w:r>
          </w:p>
          <w:p>
            <w:pPr>
              <w:spacing w:line="280" w:lineRule="exact"/>
              <w:rPr>
                <w:rFonts w:ascii="宋体" w:hAnsi="宋体" w:cs="宋体"/>
                <w:szCs w:val="21"/>
              </w:rPr>
            </w:pPr>
            <w:r>
              <w:rPr>
                <w:rFonts w:hint="eastAsia" w:ascii="宋体" w:hAnsi="宋体" w:cs="宋体"/>
                <w:szCs w:val="21"/>
              </w:rPr>
              <w:t>新项目的操作规程。</w:t>
            </w:r>
          </w:p>
        </w:tc>
        <w:tc>
          <w:tcPr>
            <w:tcW w:w="1701" w:type="dxa"/>
          </w:tcPr>
          <w:p>
            <w:pPr>
              <w:spacing w:line="280" w:lineRule="exact"/>
              <w:rPr>
                <w:rFonts w:ascii="宋体" w:hAnsi="宋体" w:cs="宋体"/>
                <w:szCs w:val="21"/>
              </w:rPr>
            </w:pPr>
            <w:r>
              <w:rPr>
                <w:rFonts w:hint="eastAsia" w:ascii="宋体" w:hAnsi="宋体" w:cs="宋体"/>
                <w:szCs w:val="21"/>
              </w:rPr>
              <w:t>投产或投用前未编制操作规程，扣40分（B级要素否决项）。</w:t>
            </w:r>
          </w:p>
        </w:tc>
        <w:tc>
          <w:tcPr>
            <w:tcW w:w="2268" w:type="dxa"/>
          </w:tcPr>
          <w:p>
            <w:pPr>
              <w:spacing w:line="280" w:lineRule="exact"/>
              <w:rPr>
                <w:rFonts w:ascii="宋体" w:hAnsi="宋体" w:cs="宋体"/>
                <w:szCs w:val="21"/>
              </w:rPr>
            </w:pPr>
          </w:p>
        </w:tc>
        <w:tc>
          <w:tcPr>
            <w:tcW w:w="1165" w:type="dxa"/>
            <w:vAlign w:val="center"/>
          </w:tcPr>
          <w:p>
            <w:pPr>
              <w:jc w:val="center"/>
              <w:rPr>
                <w:rFonts w:ascii="宋体" w:hAnsi="宋体" w:cs="宋体"/>
                <w:b/>
                <w:bCs/>
                <w:szCs w:val="21"/>
              </w:rPr>
            </w:pPr>
            <w:r>
              <w:rPr>
                <w:rFonts w:hint="eastAsia" w:ascii="宋体" w:hAnsi="宋体" w:cs="宋体"/>
                <w:szCs w:val="21"/>
              </w:rPr>
              <w:t>符合要求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771" w:type="dxa"/>
            <w:vMerge w:val="continue"/>
          </w:tcPr>
          <w:p>
            <w:pPr>
              <w:spacing w:line="280" w:lineRule="exact"/>
              <w:rPr>
                <w:rFonts w:ascii="宋体" w:hAnsi="宋体" w:cs="宋体"/>
                <w:b/>
                <w:bCs/>
                <w:szCs w:val="21"/>
              </w:rPr>
            </w:pPr>
          </w:p>
        </w:tc>
        <w:tc>
          <w:tcPr>
            <w:tcW w:w="709" w:type="dxa"/>
            <w:vMerge w:val="restart"/>
          </w:tcPr>
          <w:p>
            <w:pPr>
              <w:spacing w:line="280" w:lineRule="exact"/>
              <w:rPr>
                <w:rFonts w:ascii="宋体" w:hAnsi="宋体" w:cs="宋体"/>
                <w:b/>
                <w:bCs/>
                <w:szCs w:val="21"/>
              </w:rPr>
            </w:pPr>
            <w:r>
              <w:rPr>
                <w:rFonts w:hint="eastAsia" w:ascii="宋体" w:hAnsi="宋体" w:cs="宋体"/>
                <w:b/>
                <w:bCs/>
                <w:szCs w:val="21"/>
              </w:rPr>
              <w:t>4.3修订</w:t>
            </w:r>
          </w:p>
          <w:p>
            <w:pPr>
              <w:spacing w:line="280" w:lineRule="exact"/>
              <w:rPr>
                <w:rFonts w:ascii="宋体" w:hAnsi="宋体" w:cs="宋体"/>
                <w:b/>
                <w:bCs/>
                <w:szCs w:val="21"/>
              </w:rPr>
            </w:pPr>
            <w:r>
              <w:rPr>
                <w:rFonts w:hint="eastAsia" w:ascii="宋体" w:hAnsi="宋体" w:cs="宋体"/>
                <w:b/>
                <w:bCs/>
                <w:szCs w:val="21"/>
              </w:rPr>
              <w:t>（20分）</w:t>
            </w:r>
          </w:p>
        </w:tc>
        <w:tc>
          <w:tcPr>
            <w:tcW w:w="2409" w:type="dxa"/>
          </w:tcPr>
          <w:p>
            <w:pPr>
              <w:spacing w:line="280" w:lineRule="exact"/>
              <w:rPr>
                <w:rFonts w:ascii="宋体" w:hAnsi="宋体" w:cs="宋体"/>
                <w:szCs w:val="21"/>
              </w:rPr>
            </w:pPr>
            <w:r>
              <w:rPr>
                <w:rFonts w:hint="eastAsia" w:ascii="宋体" w:hAnsi="宋体" w:cs="宋体"/>
                <w:szCs w:val="21"/>
              </w:rPr>
              <w:t>1.企业应明确评审和修订安全生产规章制度和操作规程的时机和频次，定期进行评审和修订，确保其有效性和适用性。在发生以下情况时，应及时对相关的规章制度或操作规程进行评审、修订：</w:t>
            </w:r>
          </w:p>
          <w:p>
            <w:pPr>
              <w:spacing w:line="280" w:lineRule="exact"/>
              <w:rPr>
                <w:rFonts w:ascii="宋体" w:hAnsi="宋体" w:cs="宋体"/>
                <w:szCs w:val="21"/>
              </w:rPr>
            </w:pPr>
            <w:r>
              <w:rPr>
                <w:rFonts w:hint="eastAsia" w:ascii="宋体" w:hAnsi="宋体" w:cs="宋体"/>
                <w:szCs w:val="21"/>
              </w:rPr>
              <w:t>（1）当国家安全生产法律、法规、规程、标准废止、修订或新颁布时；</w:t>
            </w:r>
          </w:p>
          <w:p>
            <w:pPr>
              <w:spacing w:line="280" w:lineRule="exact"/>
              <w:rPr>
                <w:rFonts w:ascii="宋体" w:hAnsi="宋体" w:cs="宋体"/>
                <w:szCs w:val="21"/>
              </w:rPr>
            </w:pPr>
            <w:r>
              <w:rPr>
                <w:rFonts w:hint="eastAsia" w:ascii="宋体" w:hAnsi="宋体" w:cs="宋体"/>
                <w:szCs w:val="21"/>
              </w:rPr>
              <w:t>（2）当企业归属、体制、规模发生重大变化时；</w:t>
            </w:r>
          </w:p>
          <w:p>
            <w:pPr>
              <w:spacing w:line="280" w:lineRule="exact"/>
              <w:rPr>
                <w:rFonts w:ascii="宋体" w:hAnsi="宋体" w:cs="宋体"/>
                <w:szCs w:val="21"/>
              </w:rPr>
            </w:pPr>
            <w:r>
              <w:rPr>
                <w:rFonts w:hint="eastAsia" w:ascii="宋体" w:hAnsi="宋体" w:cs="宋体"/>
                <w:szCs w:val="21"/>
              </w:rPr>
              <w:t>（3）当生产设施新建、扩建、改建时；</w:t>
            </w:r>
          </w:p>
          <w:p>
            <w:pPr>
              <w:spacing w:line="280" w:lineRule="exact"/>
              <w:rPr>
                <w:rFonts w:ascii="宋体" w:hAnsi="宋体" w:cs="宋体"/>
                <w:szCs w:val="21"/>
              </w:rPr>
            </w:pPr>
            <w:r>
              <w:rPr>
                <w:rFonts w:hint="eastAsia" w:ascii="宋体" w:hAnsi="宋体" w:cs="宋体"/>
                <w:szCs w:val="21"/>
              </w:rPr>
              <w:t>（4）当工艺、技术路线和装置设备发生变更时；</w:t>
            </w:r>
          </w:p>
          <w:p>
            <w:pPr>
              <w:spacing w:line="280" w:lineRule="exact"/>
              <w:rPr>
                <w:rFonts w:ascii="宋体" w:hAnsi="宋体" w:cs="宋体"/>
                <w:szCs w:val="21"/>
              </w:rPr>
            </w:pPr>
            <w:r>
              <w:rPr>
                <w:rFonts w:hint="eastAsia" w:ascii="宋体" w:hAnsi="宋体" w:cs="宋体"/>
                <w:szCs w:val="21"/>
              </w:rPr>
              <w:t>（5）当上级安全监督部门提出相关整改意见时；</w:t>
            </w:r>
          </w:p>
          <w:p>
            <w:pPr>
              <w:spacing w:line="280" w:lineRule="exact"/>
              <w:rPr>
                <w:rFonts w:ascii="宋体" w:hAnsi="宋体" w:cs="宋体"/>
                <w:szCs w:val="21"/>
              </w:rPr>
            </w:pPr>
            <w:r>
              <w:rPr>
                <w:rFonts w:hint="eastAsia" w:ascii="宋体" w:hAnsi="宋体" w:cs="宋体"/>
                <w:szCs w:val="21"/>
              </w:rPr>
              <w:t>（6）当安全检查、风险评价过程中发现涉及到规章制度层面的问题时；</w:t>
            </w:r>
          </w:p>
          <w:p>
            <w:pPr>
              <w:spacing w:line="280" w:lineRule="exact"/>
              <w:rPr>
                <w:rFonts w:ascii="宋体" w:hAnsi="宋体" w:cs="宋体"/>
                <w:szCs w:val="21"/>
              </w:rPr>
            </w:pPr>
            <w:r>
              <w:rPr>
                <w:rFonts w:hint="eastAsia" w:ascii="宋体" w:hAnsi="宋体" w:cs="宋体"/>
                <w:szCs w:val="21"/>
              </w:rPr>
              <w:t>（7）当分析重大事故和重复事故原因，发现制度性因素时；</w:t>
            </w:r>
          </w:p>
          <w:p>
            <w:pPr>
              <w:spacing w:line="280" w:lineRule="exact"/>
              <w:rPr>
                <w:rFonts w:ascii="宋体" w:hAnsi="宋体" w:cs="宋体"/>
                <w:szCs w:val="21"/>
              </w:rPr>
            </w:pPr>
            <w:r>
              <w:rPr>
                <w:rFonts w:hint="eastAsia" w:ascii="宋体" w:hAnsi="宋体" w:cs="宋体"/>
                <w:szCs w:val="21"/>
              </w:rPr>
              <w:t>（8）其他相关事项。</w:t>
            </w:r>
          </w:p>
        </w:tc>
        <w:tc>
          <w:tcPr>
            <w:tcW w:w="2268" w:type="dxa"/>
          </w:tcPr>
          <w:p>
            <w:pPr>
              <w:spacing w:line="280" w:lineRule="exact"/>
              <w:rPr>
                <w:rFonts w:ascii="宋体" w:hAnsi="宋体" w:cs="宋体"/>
                <w:szCs w:val="21"/>
              </w:rPr>
            </w:pPr>
            <w:r>
              <w:rPr>
                <w:rFonts w:hint="eastAsia" w:ascii="宋体" w:hAnsi="宋体" w:cs="宋体"/>
                <w:szCs w:val="21"/>
              </w:rPr>
              <w:t>1.规定安全生产规章制度和操作规程评审、修订的时机和频次；</w:t>
            </w:r>
          </w:p>
          <w:p>
            <w:pPr>
              <w:spacing w:line="280" w:lineRule="exact"/>
              <w:rPr>
                <w:rFonts w:ascii="宋体" w:hAnsi="宋体" w:cs="宋体"/>
                <w:szCs w:val="21"/>
              </w:rPr>
            </w:pPr>
            <w:r>
              <w:rPr>
                <w:rFonts w:hint="eastAsia" w:ascii="宋体" w:hAnsi="宋体" w:cs="宋体"/>
                <w:szCs w:val="21"/>
              </w:rPr>
              <w:t>2.安全生产规章制度、安全操作规程至少每3年评审和修订一次；</w:t>
            </w:r>
          </w:p>
          <w:p>
            <w:pPr>
              <w:spacing w:line="280" w:lineRule="exact"/>
              <w:rPr>
                <w:rFonts w:ascii="宋体" w:hAnsi="宋体" w:cs="宋体"/>
                <w:szCs w:val="21"/>
              </w:rPr>
            </w:pPr>
            <w:r>
              <w:rPr>
                <w:rFonts w:hint="eastAsia" w:ascii="宋体" w:hAnsi="宋体" w:cs="宋体"/>
                <w:szCs w:val="21"/>
              </w:rPr>
              <w:t>3.按规定进行评审和修订；</w:t>
            </w:r>
          </w:p>
          <w:p>
            <w:pPr>
              <w:spacing w:line="280" w:lineRule="exact"/>
              <w:rPr>
                <w:rFonts w:ascii="宋体" w:hAnsi="宋体" w:cs="宋体"/>
                <w:szCs w:val="21"/>
              </w:rPr>
            </w:pPr>
            <w:r>
              <w:rPr>
                <w:rFonts w:hint="eastAsia" w:ascii="宋体" w:hAnsi="宋体" w:cs="宋体"/>
                <w:szCs w:val="21"/>
              </w:rPr>
              <w:t>4.在发生有关情况时，应及时评审、修订相关的规章制度或操作规程。</w:t>
            </w:r>
          </w:p>
        </w:tc>
        <w:tc>
          <w:tcPr>
            <w:tcW w:w="2268" w:type="dxa"/>
          </w:tcPr>
          <w:p>
            <w:pPr>
              <w:spacing w:line="280" w:lineRule="exact"/>
              <w:rPr>
                <w:rFonts w:ascii="宋体" w:hAnsi="宋体" w:cs="宋体"/>
                <w:szCs w:val="21"/>
              </w:rPr>
            </w:pPr>
            <w:r>
              <w:rPr>
                <w:rFonts w:hint="eastAsia" w:ascii="宋体" w:hAnsi="宋体" w:cs="宋体"/>
                <w:szCs w:val="21"/>
              </w:rPr>
              <w:t>查文件：</w:t>
            </w:r>
          </w:p>
          <w:p>
            <w:pPr>
              <w:spacing w:line="280" w:lineRule="exact"/>
              <w:rPr>
                <w:rFonts w:ascii="宋体" w:hAnsi="宋体" w:cs="宋体"/>
                <w:szCs w:val="21"/>
              </w:rPr>
            </w:pPr>
            <w:r>
              <w:rPr>
                <w:rFonts w:hint="eastAsia" w:ascii="宋体" w:hAnsi="宋体" w:cs="宋体"/>
                <w:szCs w:val="21"/>
              </w:rPr>
              <w:t>1.管理制度评审和修订制度；</w:t>
            </w:r>
          </w:p>
          <w:p>
            <w:pPr>
              <w:spacing w:line="280" w:lineRule="exact"/>
              <w:rPr>
                <w:rFonts w:ascii="宋体" w:hAnsi="宋体" w:cs="宋体"/>
                <w:szCs w:val="21"/>
              </w:rPr>
            </w:pPr>
            <w:r>
              <w:rPr>
                <w:rFonts w:hint="eastAsia" w:ascii="宋体" w:hAnsi="宋体" w:cs="宋体"/>
                <w:szCs w:val="21"/>
              </w:rPr>
              <w:t>2.安全生产规章制度、操作规程；</w:t>
            </w:r>
          </w:p>
          <w:p>
            <w:pPr>
              <w:spacing w:line="280" w:lineRule="exact"/>
              <w:rPr>
                <w:rFonts w:ascii="宋体" w:hAnsi="宋体" w:cs="宋体"/>
                <w:szCs w:val="21"/>
              </w:rPr>
            </w:pPr>
            <w:r>
              <w:rPr>
                <w:rFonts w:hint="eastAsia" w:ascii="宋体" w:hAnsi="宋体" w:cs="宋体"/>
                <w:szCs w:val="21"/>
              </w:rPr>
              <w:t>3.评审和修订记录。</w:t>
            </w:r>
          </w:p>
        </w:tc>
        <w:tc>
          <w:tcPr>
            <w:tcW w:w="1701" w:type="dxa"/>
          </w:tcPr>
          <w:p>
            <w:pPr>
              <w:spacing w:line="280" w:lineRule="exact"/>
              <w:rPr>
                <w:rFonts w:ascii="宋体" w:hAnsi="宋体" w:cs="宋体"/>
                <w:szCs w:val="21"/>
              </w:rPr>
            </w:pPr>
          </w:p>
        </w:tc>
        <w:tc>
          <w:tcPr>
            <w:tcW w:w="2268" w:type="dxa"/>
          </w:tcPr>
          <w:p>
            <w:pPr>
              <w:spacing w:line="280" w:lineRule="exact"/>
              <w:rPr>
                <w:rFonts w:ascii="宋体" w:hAnsi="宋体" w:cs="宋体"/>
                <w:szCs w:val="21"/>
              </w:rPr>
            </w:pPr>
            <w:r>
              <w:rPr>
                <w:rFonts w:hint="eastAsia" w:ascii="宋体" w:hAnsi="宋体" w:cs="宋体"/>
                <w:szCs w:val="21"/>
              </w:rPr>
              <w:t>1.未规定评审和修订时机和频次，或规定的内容不符合要求，扣3分；</w:t>
            </w:r>
          </w:p>
          <w:p>
            <w:pPr>
              <w:spacing w:line="280" w:lineRule="exact"/>
              <w:rPr>
                <w:rFonts w:ascii="宋体" w:hAnsi="宋体" w:cs="宋体"/>
                <w:szCs w:val="21"/>
              </w:rPr>
            </w:pPr>
            <w:r>
              <w:rPr>
                <w:rFonts w:hint="eastAsia" w:ascii="宋体" w:hAnsi="宋体" w:cs="宋体"/>
                <w:szCs w:val="21"/>
              </w:rPr>
              <w:t>2.未按规定评审和修订扣3分，漏评审一项制度扣1分。</w:t>
            </w:r>
          </w:p>
        </w:tc>
        <w:tc>
          <w:tcPr>
            <w:tcW w:w="1165" w:type="dxa"/>
            <w:vAlign w:val="center"/>
          </w:tcPr>
          <w:p>
            <w:pPr>
              <w:jc w:val="center"/>
              <w:rPr>
                <w:rFonts w:ascii="宋体" w:hAnsi="宋体" w:cs="宋体"/>
                <w:szCs w:val="21"/>
              </w:rPr>
            </w:pPr>
            <w:r>
              <w:rPr>
                <w:rFonts w:hint="eastAsia" w:ascii="宋体" w:hAnsi="宋体" w:cs="宋体"/>
                <w:szCs w:val="21"/>
              </w:rPr>
              <w:t>符合要求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771" w:type="dxa"/>
            <w:vMerge w:val="continue"/>
          </w:tcPr>
          <w:p>
            <w:pPr>
              <w:spacing w:line="280" w:lineRule="exact"/>
              <w:rPr>
                <w:rFonts w:ascii="宋体" w:hAnsi="宋体" w:cs="宋体"/>
                <w:b/>
                <w:bCs/>
                <w:szCs w:val="21"/>
              </w:rPr>
            </w:pPr>
          </w:p>
        </w:tc>
        <w:tc>
          <w:tcPr>
            <w:tcW w:w="709" w:type="dxa"/>
            <w:vMerge w:val="continue"/>
          </w:tcPr>
          <w:p>
            <w:pPr>
              <w:spacing w:line="280" w:lineRule="exact"/>
              <w:rPr>
                <w:rFonts w:ascii="宋体" w:hAnsi="宋体" w:cs="宋体"/>
                <w:b/>
                <w:bCs/>
                <w:szCs w:val="21"/>
              </w:rPr>
            </w:pPr>
          </w:p>
        </w:tc>
        <w:tc>
          <w:tcPr>
            <w:tcW w:w="2409" w:type="dxa"/>
          </w:tcPr>
          <w:p>
            <w:pPr>
              <w:spacing w:line="280" w:lineRule="exact"/>
              <w:rPr>
                <w:rFonts w:ascii="宋体" w:hAnsi="宋体" w:cs="宋体"/>
                <w:szCs w:val="21"/>
              </w:rPr>
            </w:pPr>
            <w:r>
              <w:rPr>
                <w:rFonts w:hint="eastAsia" w:ascii="宋体" w:hAnsi="宋体" w:cs="宋体"/>
                <w:szCs w:val="21"/>
              </w:rPr>
              <w:t>2.企业应组织相关管理人员、技术人员、操作人员和工会代表参加安全生产规章制度和操作规程评审和修订，注明生效日期。</w:t>
            </w:r>
          </w:p>
        </w:tc>
        <w:tc>
          <w:tcPr>
            <w:tcW w:w="2268" w:type="dxa"/>
          </w:tcPr>
          <w:p>
            <w:pPr>
              <w:spacing w:line="280" w:lineRule="exact"/>
              <w:rPr>
                <w:rFonts w:ascii="宋体" w:hAnsi="宋体" w:cs="宋体"/>
                <w:szCs w:val="21"/>
              </w:rPr>
            </w:pPr>
            <w:r>
              <w:rPr>
                <w:rFonts w:hint="eastAsia" w:ascii="宋体" w:hAnsi="宋体" w:cs="宋体"/>
                <w:szCs w:val="21"/>
              </w:rPr>
              <w:t>1.组织相关管理人员、技术人员、操作人员和工会代表参加安全生产规章制度和操作规程评审和修订；</w:t>
            </w:r>
          </w:p>
          <w:p>
            <w:pPr>
              <w:spacing w:line="280" w:lineRule="exact"/>
              <w:rPr>
                <w:rFonts w:ascii="宋体" w:hAnsi="宋体" w:cs="宋体"/>
                <w:szCs w:val="21"/>
              </w:rPr>
            </w:pPr>
            <w:r>
              <w:rPr>
                <w:rFonts w:hint="eastAsia" w:ascii="宋体" w:hAnsi="宋体" w:cs="宋体"/>
                <w:szCs w:val="21"/>
              </w:rPr>
              <w:t>2.修订的安全生产规章制度和操作规程应注明生效日期。</w:t>
            </w:r>
          </w:p>
        </w:tc>
        <w:tc>
          <w:tcPr>
            <w:tcW w:w="2268" w:type="dxa"/>
          </w:tcPr>
          <w:p>
            <w:pPr>
              <w:spacing w:line="280" w:lineRule="exact"/>
              <w:rPr>
                <w:rFonts w:ascii="宋体" w:hAnsi="宋体" w:cs="宋体"/>
                <w:szCs w:val="21"/>
              </w:rPr>
            </w:pPr>
            <w:r>
              <w:rPr>
                <w:rFonts w:hint="eastAsia" w:ascii="宋体" w:hAnsi="宋体" w:cs="宋体"/>
                <w:szCs w:val="21"/>
              </w:rPr>
              <w:t>查文件：</w:t>
            </w:r>
          </w:p>
          <w:p>
            <w:pPr>
              <w:spacing w:line="280" w:lineRule="exact"/>
              <w:rPr>
                <w:rFonts w:ascii="宋体" w:hAnsi="宋体" w:cs="宋体"/>
                <w:szCs w:val="21"/>
              </w:rPr>
            </w:pPr>
            <w:r>
              <w:rPr>
                <w:rFonts w:hint="eastAsia" w:ascii="宋体" w:hAnsi="宋体" w:cs="宋体"/>
                <w:szCs w:val="21"/>
              </w:rPr>
              <w:t>1.评审、修订记录；</w:t>
            </w:r>
          </w:p>
          <w:p>
            <w:pPr>
              <w:spacing w:line="280" w:lineRule="exact"/>
              <w:rPr>
                <w:rFonts w:ascii="宋体" w:hAnsi="宋体" w:cs="宋体"/>
                <w:szCs w:val="21"/>
              </w:rPr>
            </w:pPr>
            <w:r>
              <w:rPr>
                <w:rFonts w:hint="eastAsia" w:ascii="宋体" w:hAnsi="宋体" w:cs="宋体"/>
                <w:szCs w:val="21"/>
              </w:rPr>
              <w:t>2.安全生产规章制度和操作规程；</w:t>
            </w:r>
          </w:p>
          <w:p>
            <w:pPr>
              <w:spacing w:line="280" w:lineRule="exact"/>
              <w:rPr>
                <w:rFonts w:ascii="宋体" w:hAnsi="宋体" w:cs="宋体"/>
                <w:szCs w:val="21"/>
              </w:rPr>
            </w:pPr>
            <w:r>
              <w:rPr>
                <w:rFonts w:hint="eastAsia" w:ascii="宋体" w:hAnsi="宋体" w:cs="宋体"/>
                <w:szCs w:val="21"/>
              </w:rPr>
              <w:t>3.发布修订的安全生产规章制度或操作规程的文件。</w:t>
            </w:r>
          </w:p>
        </w:tc>
        <w:tc>
          <w:tcPr>
            <w:tcW w:w="1701" w:type="dxa"/>
          </w:tcPr>
          <w:p>
            <w:pPr>
              <w:spacing w:line="280" w:lineRule="exact"/>
              <w:rPr>
                <w:rFonts w:ascii="宋体" w:hAnsi="宋体" w:cs="宋体"/>
                <w:szCs w:val="21"/>
              </w:rPr>
            </w:pPr>
          </w:p>
        </w:tc>
        <w:tc>
          <w:tcPr>
            <w:tcW w:w="2268" w:type="dxa"/>
          </w:tcPr>
          <w:p>
            <w:pPr>
              <w:spacing w:line="280" w:lineRule="exact"/>
              <w:rPr>
                <w:rFonts w:ascii="宋体" w:hAnsi="宋体" w:cs="宋体"/>
                <w:szCs w:val="21"/>
              </w:rPr>
            </w:pPr>
            <w:r>
              <w:rPr>
                <w:rFonts w:hint="eastAsia" w:ascii="宋体" w:hAnsi="宋体" w:cs="宋体"/>
                <w:szCs w:val="21"/>
              </w:rPr>
              <w:t>1.相关人员未参加评审和修订，一项不符合扣2分；</w:t>
            </w:r>
          </w:p>
          <w:p>
            <w:pPr>
              <w:spacing w:line="280" w:lineRule="exact"/>
              <w:rPr>
                <w:rFonts w:ascii="宋体" w:hAnsi="宋体" w:cs="宋体"/>
                <w:szCs w:val="21"/>
              </w:rPr>
            </w:pPr>
            <w:r>
              <w:rPr>
                <w:rFonts w:hint="eastAsia" w:ascii="宋体" w:hAnsi="宋体" w:cs="宋体"/>
                <w:szCs w:val="21"/>
              </w:rPr>
              <w:t>2.修订后，未注明生效日期，扣1分。</w:t>
            </w:r>
          </w:p>
        </w:tc>
        <w:tc>
          <w:tcPr>
            <w:tcW w:w="1165" w:type="dxa"/>
            <w:vAlign w:val="center"/>
          </w:tcPr>
          <w:p>
            <w:pPr>
              <w:jc w:val="center"/>
              <w:rPr>
                <w:rFonts w:ascii="宋体" w:hAnsi="宋体" w:cs="宋体"/>
                <w:szCs w:val="21"/>
              </w:rPr>
            </w:pPr>
            <w:r>
              <w:rPr>
                <w:rFonts w:hint="eastAsia" w:ascii="宋体" w:hAnsi="宋体" w:cs="宋体"/>
                <w:szCs w:val="21"/>
              </w:rPr>
              <w:t>符合要求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771" w:type="dxa"/>
            <w:vMerge w:val="continue"/>
          </w:tcPr>
          <w:p>
            <w:pPr>
              <w:spacing w:line="280" w:lineRule="exact"/>
              <w:rPr>
                <w:rFonts w:ascii="宋体" w:hAnsi="宋体" w:cs="宋体"/>
                <w:b/>
                <w:bCs/>
                <w:szCs w:val="21"/>
              </w:rPr>
            </w:pPr>
          </w:p>
        </w:tc>
        <w:tc>
          <w:tcPr>
            <w:tcW w:w="709" w:type="dxa"/>
            <w:vMerge w:val="continue"/>
          </w:tcPr>
          <w:p>
            <w:pPr>
              <w:spacing w:line="280" w:lineRule="exact"/>
              <w:rPr>
                <w:rFonts w:ascii="宋体" w:hAnsi="宋体" w:cs="宋体"/>
                <w:b/>
                <w:bCs/>
                <w:szCs w:val="21"/>
              </w:rPr>
            </w:pPr>
          </w:p>
        </w:tc>
        <w:tc>
          <w:tcPr>
            <w:tcW w:w="2409" w:type="dxa"/>
          </w:tcPr>
          <w:p>
            <w:pPr>
              <w:spacing w:line="280" w:lineRule="exact"/>
              <w:rPr>
                <w:rFonts w:ascii="宋体" w:hAnsi="宋体" w:cs="宋体"/>
                <w:szCs w:val="21"/>
              </w:rPr>
            </w:pPr>
            <w:r>
              <w:rPr>
                <w:rFonts w:hint="eastAsia" w:ascii="宋体" w:hAnsi="宋体" w:cs="宋体"/>
                <w:szCs w:val="21"/>
              </w:rPr>
              <w:t>3.企业应保证使用最新有效版本的安全生产规章制度和操作规程。</w:t>
            </w:r>
          </w:p>
        </w:tc>
        <w:tc>
          <w:tcPr>
            <w:tcW w:w="2268" w:type="dxa"/>
          </w:tcPr>
          <w:p>
            <w:pPr>
              <w:spacing w:line="280" w:lineRule="exact"/>
              <w:rPr>
                <w:rFonts w:ascii="宋体" w:hAnsi="宋体" w:cs="宋体"/>
                <w:szCs w:val="21"/>
              </w:rPr>
            </w:pPr>
            <w:r>
              <w:rPr>
                <w:rFonts w:hint="eastAsia" w:ascii="宋体" w:hAnsi="宋体" w:cs="宋体"/>
                <w:szCs w:val="21"/>
              </w:rPr>
              <w:t>企业现行安全生产规章制度和操作规程是最新有效的版本。</w:t>
            </w:r>
          </w:p>
        </w:tc>
        <w:tc>
          <w:tcPr>
            <w:tcW w:w="2268" w:type="dxa"/>
          </w:tcPr>
          <w:p>
            <w:pPr>
              <w:spacing w:line="280" w:lineRule="exact"/>
              <w:rPr>
                <w:rFonts w:ascii="宋体" w:hAnsi="宋体" w:cs="宋体"/>
                <w:szCs w:val="21"/>
              </w:rPr>
            </w:pPr>
            <w:r>
              <w:rPr>
                <w:rFonts w:hint="eastAsia" w:ascii="宋体" w:hAnsi="宋体" w:cs="宋体"/>
                <w:szCs w:val="21"/>
              </w:rPr>
              <w:t>查文件：</w:t>
            </w:r>
          </w:p>
          <w:p>
            <w:pPr>
              <w:spacing w:line="280" w:lineRule="exact"/>
              <w:rPr>
                <w:rFonts w:ascii="宋体" w:hAnsi="宋体" w:cs="宋体"/>
                <w:szCs w:val="21"/>
              </w:rPr>
            </w:pPr>
            <w:r>
              <w:rPr>
                <w:rFonts w:hint="eastAsia" w:ascii="宋体" w:hAnsi="宋体" w:cs="宋体"/>
                <w:szCs w:val="21"/>
              </w:rPr>
              <w:t>发布最新版本安全生产规章制度或操作规程的文件发放记录。</w:t>
            </w:r>
          </w:p>
          <w:p>
            <w:pPr>
              <w:spacing w:line="280" w:lineRule="exact"/>
              <w:rPr>
                <w:rFonts w:ascii="宋体" w:hAnsi="宋体" w:cs="宋体"/>
                <w:szCs w:val="21"/>
              </w:rPr>
            </w:pPr>
            <w:r>
              <w:rPr>
                <w:rFonts w:hint="eastAsia" w:ascii="宋体" w:hAnsi="宋体" w:cs="宋体"/>
                <w:szCs w:val="21"/>
              </w:rPr>
              <w:t>现场检查：</w:t>
            </w:r>
          </w:p>
          <w:p>
            <w:pPr>
              <w:spacing w:line="280" w:lineRule="exact"/>
              <w:rPr>
                <w:rFonts w:ascii="宋体" w:hAnsi="宋体" w:cs="宋体"/>
                <w:szCs w:val="21"/>
              </w:rPr>
            </w:pPr>
            <w:r>
              <w:rPr>
                <w:rFonts w:hint="eastAsia" w:ascii="宋体" w:hAnsi="宋体" w:cs="宋体"/>
                <w:szCs w:val="21"/>
              </w:rPr>
              <w:t>部门、岗位使用的安全生产规章制度和操作规程是否是最新、有效版本。</w:t>
            </w:r>
          </w:p>
        </w:tc>
        <w:tc>
          <w:tcPr>
            <w:tcW w:w="1701" w:type="dxa"/>
          </w:tcPr>
          <w:p>
            <w:pPr>
              <w:spacing w:line="280" w:lineRule="exact"/>
              <w:rPr>
                <w:rFonts w:ascii="宋体" w:hAnsi="宋体" w:cs="宋体"/>
                <w:szCs w:val="21"/>
              </w:rPr>
            </w:pPr>
          </w:p>
        </w:tc>
        <w:tc>
          <w:tcPr>
            <w:tcW w:w="2268" w:type="dxa"/>
          </w:tcPr>
          <w:p>
            <w:pPr>
              <w:spacing w:line="280" w:lineRule="exact"/>
              <w:rPr>
                <w:rFonts w:ascii="宋体" w:hAnsi="宋体" w:cs="宋体"/>
                <w:szCs w:val="21"/>
              </w:rPr>
            </w:pPr>
            <w:r>
              <w:rPr>
                <w:rFonts w:hint="eastAsia" w:ascii="宋体" w:hAnsi="宋体" w:cs="宋体"/>
                <w:szCs w:val="21"/>
              </w:rPr>
              <w:t>相关岗位使用失效（或已被修订）的安全生产规章制度和操作规程，一个岗位扣5分。</w:t>
            </w:r>
          </w:p>
        </w:tc>
        <w:tc>
          <w:tcPr>
            <w:tcW w:w="1165" w:type="dxa"/>
            <w:vAlign w:val="center"/>
          </w:tcPr>
          <w:p>
            <w:pPr>
              <w:jc w:val="center"/>
              <w:rPr>
                <w:rFonts w:ascii="宋体" w:hAnsi="宋体" w:cs="宋体"/>
                <w:b/>
                <w:bCs/>
                <w:szCs w:val="21"/>
              </w:rPr>
            </w:pPr>
            <w:r>
              <w:rPr>
                <w:rFonts w:hint="eastAsia" w:ascii="宋体" w:hAnsi="宋体" w:cs="宋体"/>
                <w:szCs w:val="21"/>
              </w:rPr>
              <w:t>符合要求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771" w:type="dxa"/>
            <w:vMerge w:val="restart"/>
          </w:tcPr>
          <w:p>
            <w:pPr>
              <w:spacing w:line="280" w:lineRule="exact"/>
              <w:rPr>
                <w:rFonts w:ascii="宋体" w:hAnsi="宋体" w:cs="宋体"/>
                <w:b/>
                <w:bCs/>
                <w:szCs w:val="21"/>
              </w:rPr>
            </w:pPr>
            <w:r>
              <w:rPr>
                <w:rFonts w:hint="eastAsia" w:ascii="宋体" w:hAnsi="宋体" w:cs="宋体"/>
                <w:b/>
                <w:bCs/>
                <w:szCs w:val="21"/>
              </w:rPr>
              <w:t>5培训教育</w:t>
            </w:r>
          </w:p>
          <w:p>
            <w:pPr>
              <w:spacing w:line="280" w:lineRule="exact"/>
              <w:rPr>
                <w:rFonts w:ascii="宋体" w:hAnsi="宋体" w:cs="宋体"/>
                <w:b/>
                <w:bCs/>
                <w:szCs w:val="21"/>
              </w:rPr>
            </w:pPr>
            <w:r>
              <w:rPr>
                <w:rFonts w:hint="eastAsia" w:ascii="宋体" w:hAnsi="宋体" w:cs="宋体"/>
                <w:b/>
                <w:bCs/>
                <w:szCs w:val="21"/>
              </w:rPr>
              <w:t>（100分）</w:t>
            </w:r>
          </w:p>
        </w:tc>
        <w:tc>
          <w:tcPr>
            <w:tcW w:w="709" w:type="dxa"/>
            <w:vMerge w:val="restart"/>
          </w:tcPr>
          <w:p>
            <w:pPr>
              <w:spacing w:line="280" w:lineRule="exact"/>
              <w:rPr>
                <w:rFonts w:ascii="宋体" w:hAnsi="宋体" w:cs="宋体"/>
                <w:b/>
                <w:bCs/>
                <w:szCs w:val="21"/>
              </w:rPr>
            </w:pPr>
            <w:r>
              <w:rPr>
                <w:rFonts w:hint="eastAsia" w:ascii="宋体" w:hAnsi="宋体" w:cs="宋体"/>
                <w:b/>
                <w:bCs/>
                <w:szCs w:val="21"/>
              </w:rPr>
              <w:t>5.1培训教育管理</w:t>
            </w:r>
          </w:p>
          <w:p>
            <w:pPr>
              <w:spacing w:line="280" w:lineRule="exact"/>
              <w:rPr>
                <w:rFonts w:ascii="宋体" w:hAnsi="宋体" w:cs="宋体"/>
                <w:b/>
                <w:bCs/>
                <w:szCs w:val="21"/>
              </w:rPr>
            </w:pPr>
            <w:r>
              <w:rPr>
                <w:rFonts w:hint="eastAsia" w:ascii="宋体" w:hAnsi="宋体" w:cs="宋体"/>
                <w:b/>
                <w:bCs/>
                <w:szCs w:val="21"/>
              </w:rPr>
              <w:t>（20分）</w:t>
            </w:r>
          </w:p>
        </w:tc>
        <w:tc>
          <w:tcPr>
            <w:tcW w:w="2409" w:type="dxa"/>
          </w:tcPr>
          <w:p>
            <w:pPr>
              <w:spacing w:line="280" w:lineRule="exact"/>
              <w:rPr>
                <w:rFonts w:ascii="宋体" w:hAnsi="宋体" w:cs="宋体"/>
                <w:szCs w:val="21"/>
              </w:rPr>
            </w:pPr>
            <w:r>
              <w:rPr>
                <w:rFonts w:hint="eastAsia" w:ascii="宋体" w:hAnsi="宋体" w:cs="宋体"/>
                <w:szCs w:val="21"/>
              </w:rPr>
              <w:t>1.企业应严格执行安全培训教育制度，依据国家、地方及行业规定和岗位需要，制定适宜的安全培训教育目标和要求。根据不断变化的实际情况和培训目标，定期识别安全培训教育需求，制定并实施安全培训教育计划。</w:t>
            </w:r>
          </w:p>
        </w:tc>
        <w:tc>
          <w:tcPr>
            <w:tcW w:w="2268" w:type="dxa"/>
          </w:tcPr>
          <w:p>
            <w:pPr>
              <w:spacing w:line="280" w:lineRule="exact"/>
              <w:rPr>
                <w:rFonts w:ascii="宋体" w:hAnsi="宋体" w:cs="宋体"/>
                <w:szCs w:val="21"/>
              </w:rPr>
            </w:pPr>
            <w:r>
              <w:rPr>
                <w:rFonts w:hint="eastAsia" w:ascii="宋体" w:hAnsi="宋体" w:cs="宋体"/>
                <w:szCs w:val="21"/>
              </w:rPr>
              <w:t>1.制定全员安全培训、教育目标和要求；</w:t>
            </w:r>
          </w:p>
          <w:p>
            <w:pPr>
              <w:spacing w:line="280" w:lineRule="exact"/>
              <w:rPr>
                <w:rFonts w:ascii="宋体" w:hAnsi="宋体" w:cs="宋体"/>
                <w:szCs w:val="21"/>
              </w:rPr>
            </w:pPr>
            <w:r>
              <w:rPr>
                <w:rFonts w:hint="eastAsia" w:ascii="宋体" w:hAnsi="宋体" w:cs="宋体"/>
                <w:szCs w:val="21"/>
              </w:rPr>
              <w:t>2.定期识别安全培训、教育需求；</w:t>
            </w:r>
          </w:p>
          <w:p>
            <w:pPr>
              <w:spacing w:line="280" w:lineRule="exact"/>
              <w:rPr>
                <w:rFonts w:ascii="宋体" w:hAnsi="宋体" w:cs="宋体"/>
                <w:szCs w:val="21"/>
              </w:rPr>
            </w:pPr>
            <w:r>
              <w:rPr>
                <w:rFonts w:hint="eastAsia" w:ascii="宋体" w:hAnsi="宋体" w:cs="宋体"/>
                <w:szCs w:val="21"/>
              </w:rPr>
              <w:t>3.制定安全培训、教育计划并实施。</w:t>
            </w:r>
          </w:p>
        </w:tc>
        <w:tc>
          <w:tcPr>
            <w:tcW w:w="2268" w:type="dxa"/>
          </w:tcPr>
          <w:p>
            <w:pPr>
              <w:spacing w:line="280" w:lineRule="exact"/>
              <w:rPr>
                <w:rFonts w:ascii="宋体" w:hAnsi="宋体" w:cs="宋体"/>
                <w:szCs w:val="21"/>
              </w:rPr>
            </w:pPr>
            <w:r>
              <w:rPr>
                <w:rFonts w:hint="eastAsia" w:ascii="宋体" w:hAnsi="宋体" w:cs="宋体"/>
                <w:szCs w:val="21"/>
              </w:rPr>
              <w:t>查文件：</w:t>
            </w:r>
          </w:p>
          <w:p>
            <w:pPr>
              <w:spacing w:line="280" w:lineRule="exact"/>
              <w:rPr>
                <w:rFonts w:ascii="宋体" w:hAnsi="宋体" w:cs="宋体"/>
                <w:szCs w:val="21"/>
              </w:rPr>
            </w:pPr>
            <w:r>
              <w:rPr>
                <w:rFonts w:hint="eastAsia" w:ascii="宋体" w:hAnsi="宋体" w:cs="宋体"/>
                <w:szCs w:val="21"/>
              </w:rPr>
              <w:t>1.安全培训、教育制度；</w:t>
            </w:r>
          </w:p>
          <w:p>
            <w:pPr>
              <w:spacing w:line="280" w:lineRule="exact"/>
              <w:rPr>
                <w:rFonts w:ascii="宋体" w:hAnsi="宋体" w:cs="宋体"/>
                <w:szCs w:val="21"/>
              </w:rPr>
            </w:pPr>
            <w:r>
              <w:rPr>
                <w:rFonts w:hint="eastAsia" w:ascii="宋体" w:hAnsi="宋体" w:cs="宋体"/>
                <w:szCs w:val="21"/>
              </w:rPr>
              <w:t>2.安全培训、教育需求记录；</w:t>
            </w:r>
          </w:p>
          <w:p>
            <w:pPr>
              <w:spacing w:line="280" w:lineRule="exact"/>
              <w:rPr>
                <w:rFonts w:ascii="宋体" w:hAnsi="宋体" w:cs="宋体"/>
                <w:szCs w:val="21"/>
              </w:rPr>
            </w:pPr>
            <w:r>
              <w:rPr>
                <w:rFonts w:hint="eastAsia" w:ascii="宋体" w:hAnsi="宋体" w:cs="宋体"/>
                <w:szCs w:val="21"/>
              </w:rPr>
              <w:t>3.安全培训教育计划；</w:t>
            </w:r>
          </w:p>
          <w:p>
            <w:pPr>
              <w:spacing w:line="280" w:lineRule="exact"/>
              <w:rPr>
                <w:rFonts w:ascii="宋体" w:hAnsi="宋体" w:cs="宋体"/>
                <w:szCs w:val="21"/>
              </w:rPr>
            </w:pPr>
            <w:r>
              <w:rPr>
                <w:rFonts w:hint="eastAsia" w:ascii="宋体" w:hAnsi="宋体" w:cs="宋体"/>
                <w:szCs w:val="21"/>
              </w:rPr>
              <w:t>4.安全培训、教育记录。</w:t>
            </w:r>
          </w:p>
          <w:p>
            <w:pPr>
              <w:spacing w:line="280" w:lineRule="exact"/>
              <w:rPr>
                <w:rFonts w:ascii="宋体" w:hAnsi="宋体" w:cs="宋体"/>
                <w:szCs w:val="21"/>
              </w:rPr>
            </w:pPr>
            <w:r>
              <w:rPr>
                <w:rFonts w:hint="eastAsia" w:ascii="宋体" w:hAnsi="宋体" w:cs="宋体"/>
                <w:szCs w:val="21"/>
              </w:rPr>
              <w:t>询问：</w:t>
            </w:r>
          </w:p>
          <w:p>
            <w:pPr>
              <w:spacing w:line="280" w:lineRule="exact"/>
              <w:rPr>
                <w:rFonts w:ascii="宋体" w:hAnsi="宋体" w:cs="宋体"/>
                <w:szCs w:val="21"/>
              </w:rPr>
            </w:pPr>
            <w:r>
              <w:rPr>
                <w:rFonts w:hint="eastAsia" w:ascii="宋体" w:hAnsi="宋体" w:cs="宋体"/>
                <w:szCs w:val="21"/>
              </w:rPr>
              <w:t>抽查有关人员参加培训情况。</w:t>
            </w:r>
          </w:p>
        </w:tc>
        <w:tc>
          <w:tcPr>
            <w:tcW w:w="1701" w:type="dxa"/>
          </w:tcPr>
          <w:p>
            <w:pPr>
              <w:spacing w:line="280" w:lineRule="exact"/>
              <w:rPr>
                <w:rFonts w:ascii="宋体" w:hAnsi="宋体" w:cs="宋体"/>
                <w:szCs w:val="21"/>
              </w:rPr>
            </w:pPr>
          </w:p>
        </w:tc>
        <w:tc>
          <w:tcPr>
            <w:tcW w:w="2268" w:type="dxa"/>
          </w:tcPr>
          <w:p>
            <w:pPr>
              <w:spacing w:line="280" w:lineRule="exact"/>
              <w:rPr>
                <w:rFonts w:ascii="宋体" w:hAnsi="宋体" w:cs="宋体"/>
                <w:szCs w:val="21"/>
              </w:rPr>
            </w:pPr>
            <w:r>
              <w:rPr>
                <w:rFonts w:hint="eastAsia" w:ascii="宋体" w:hAnsi="宋体" w:cs="宋体"/>
                <w:szCs w:val="21"/>
              </w:rPr>
              <w:t>1.未制定全员安全培训、教育目标和要求，扣1分；</w:t>
            </w:r>
          </w:p>
          <w:p>
            <w:pPr>
              <w:spacing w:line="280" w:lineRule="exact"/>
              <w:rPr>
                <w:rFonts w:ascii="宋体" w:hAnsi="宋体" w:cs="宋体"/>
                <w:szCs w:val="21"/>
              </w:rPr>
            </w:pPr>
            <w:r>
              <w:rPr>
                <w:rFonts w:hint="eastAsia" w:ascii="宋体" w:hAnsi="宋体" w:cs="宋体"/>
                <w:szCs w:val="21"/>
              </w:rPr>
              <w:t>2.未定期识别培训、教育需求,扣2分；</w:t>
            </w:r>
          </w:p>
          <w:p>
            <w:pPr>
              <w:spacing w:line="280" w:lineRule="exact"/>
              <w:rPr>
                <w:rFonts w:ascii="宋体" w:hAnsi="宋体" w:cs="宋体"/>
                <w:szCs w:val="21"/>
              </w:rPr>
            </w:pPr>
            <w:r>
              <w:rPr>
                <w:rFonts w:hint="eastAsia" w:ascii="宋体" w:hAnsi="宋体" w:cs="宋体"/>
                <w:szCs w:val="21"/>
              </w:rPr>
              <w:t>3.未根据培训需求制定培训计划，扣2分；</w:t>
            </w:r>
          </w:p>
          <w:p>
            <w:pPr>
              <w:spacing w:line="280" w:lineRule="exact"/>
              <w:rPr>
                <w:rFonts w:ascii="宋体" w:hAnsi="宋体" w:cs="宋体"/>
                <w:szCs w:val="21"/>
              </w:rPr>
            </w:pPr>
            <w:r>
              <w:rPr>
                <w:rFonts w:hint="eastAsia" w:ascii="宋体" w:hAnsi="宋体" w:cs="宋体"/>
                <w:szCs w:val="21"/>
              </w:rPr>
              <w:t>4.未按照计划要求实施培训，1次不符合扣1分。</w:t>
            </w:r>
          </w:p>
        </w:tc>
        <w:tc>
          <w:tcPr>
            <w:tcW w:w="1165" w:type="dxa"/>
            <w:vAlign w:val="center"/>
          </w:tcPr>
          <w:p>
            <w:pPr>
              <w:jc w:val="center"/>
              <w:rPr>
                <w:rFonts w:ascii="宋体" w:hAnsi="宋体" w:cs="宋体"/>
                <w:szCs w:val="21"/>
              </w:rPr>
            </w:pPr>
            <w:r>
              <w:rPr>
                <w:rFonts w:hint="eastAsia" w:ascii="宋体" w:hAnsi="宋体" w:cs="宋体"/>
                <w:szCs w:val="21"/>
              </w:rPr>
              <w:t>符合要求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771" w:type="dxa"/>
            <w:vMerge w:val="continue"/>
          </w:tcPr>
          <w:p>
            <w:pPr>
              <w:spacing w:line="280" w:lineRule="exact"/>
              <w:rPr>
                <w:rFonts w:ascii="宋体" w:hAnsi="宋体" w:cs="宋体"/>
                <w:b/>
                <w:bCs/>
                <w:szCs w:val="21"/>
              </w:rPr>
            </w:pPr>
          </w:p>
        </w:tc>
        <w:tc>
          <w:tcPr>
            <w:tcW w:w="709" w:type="dxa"/>
            <w:vMerge w:val="continue"/>
          </w:tcPr>
          <w:p>
            <w:pPr>
              <w:spacing w:line="280" w:lineRule="exact"/>
              <w:rPr>
                <w:rFonts w:ascii="宋体" w:hAnsi="宋体" w:cs="宋体"/>
                <w:b/>
                <w:bCs/>
                <w:szCs w:val="21"/>
              </w:rPr>
            </w:pPr>
          </w:p>
        </w:tc>
        <w:tc>
          <w:tcPr>
            <w:tcW w:w="2409" w:type="dxa"/>
          </w:tcPr>
          <w:p>
            <w:pPr>
              <w:spacing w:line="280" w:lineRule="exact"/>
              <w:rPr>
                <w:rFonts w:ascii="宋体" w:hAnsi="宋体" w:cs="宋体"/>
                <w:szCs w:val="21"/>
              </w:rPr>
            </w:pPr>
            <w:r>
              <w:rPr>
                <w:rFonts w:hint="eastAsia" w:ascii="宋体" w:hAnsi="宋体" w:cs="宋体"/>
                <w:szCs w:val="21"/>
              </w:rPr>
              <w:t>2.企业应组织培训教育，保证安全培训教育所需人员、资金和设施。</w:t>
            </w:r>
          </w:p>
        </w:tc>
        <w:tc>
          <w:tcPr>
            <w:tcW w:w="2268" w:type="dxa"/>
          </w:tcPr>
          <w:p>
            <w:pPr>
              <w:spacing w:line="280" w:lineRule="exact"/>
              <w:rPr>
                <w:rFonts w:ascii="宋体" w:hAnsi="宋体" w:cs="宋体"/>
                <w:szCs w:val="21"/>
              </w:rPr>
            </w:pPr>
            <w:r>
              <w:rPr>
                <w:rFonts w:hint="eastAsia" w:ascii="宋体" w:hAnsi="宋体" w:cs="宋体"/>
                <w:szCs w:val="21"/>
              </w:rPr>
              <w:t>提供培训、教育所需的人员、资金和设施。</w:t>
            </w:r>
          </w:p>
        </w:tc>
        <w:tc>
          <w:tcPr>
            <w:tcW w:w="2268" w:type="dxa"/>
          </w:tcPr>
          <w:p>
            <w:pPr>
              <w:spacing w:line="280" w:lineRule="exact"/>
              <w:rPr>
                <w:rFonts w:ascii="宋体" w:hAnsi="宋体" w:cs="宋体"/>
                <w:szCs w:val="21"/>
              </w:rPr>
            </w:pPr>
            <w:r>
              <w:rPr>
                <w:rFonts w:hint="eastAsia" w:ascii="宋体" w:hAnsi="宋体" w:cs="宋体"/>
                <w:szCs w:val="21"/>
              </w:rPr>
              <w:t>查文件：</w:t>
            </w:r>
          </w:p>
          <w:p>
            <w:pPr>
              <w:spacing w:line="280" w:lineRule="exact"/>
              <w:rPr>
                <w:rFonts w:ascii="宋体" w:hAnsi="宋体" w:cs="宋体"/>
                <w:szCs w:val="21"/>
              </w:rPr>
            </w:pPr>
            <w:r>
              <w:rPr>
                <w:rFonts w:hint="eastAsia" w:ascii="宋体" w:hAnsi="宋体" w:cs="宋体"/>
                <w:szCs w:val="21"/>
              </w:rPr>
              <w:t>1.安全生产费用台账或资金计划；</w:t>
            </w:r>
          </w:p>
          <w:p>
            <w:pPr>
              <w:spacing w:line="280" w:lineRule="exact"/>
              <w:rPr>
                <w:rFonts w:ascii="宋体" w:hAnsi="宋体" w:cs="宋体"/>
                <w:szCs w:val="21"/>
              </w:rPr>
            </w:pPr>
            <w:r>
              <w:rPr>
                <w:rFonts w:hint="eastAsia" w:ascii="宋体" w:hAnsi="宋体" w:cs="宋体"/>
                <w:szCs w:val="21"/>
              </w:rPr>
              <w:t>2.培训教育计划和记录。</w:t>
            </w:r>
          </w:p>
        </w:tc>
        <w:tc>
          <w:tcPr>
            <w:tcW w:w="1701" w:type="dxa"/>
          </w:tcPr>
          <w:p>
            <w:pPr>
              <w:spacing w:line="280" w:lineRule="exact"/>
              <w:rPr>
                <w:rFonts w:ascii="宋体" w:hAnsi="宋体" w:cs="宋体"/>
                <w:szCs w:val="21"/>
              </w:rPr>
            </w:pPr>
          </w:p>
        </w:tc>
        <w:tc>
          <w:tcPr>
            <w:tcW w:w="2268" w:type="dxa"/>
          </w:tcPr>
          <w:p>
            <w:pPr>
              <w:spacing w:line="280" w:lineRule="exact"/>
              <w:rPr>
                <w:rFonts w:ascii="宋体" w:hAnsi="宋体" w:cs="宋体"/>
                <w:szCs w:val="21"/>
              </w:rPr>
            </w:pPr>
            <w:r>
              <w:rPr>
                <w:rFonts w:hint="eastAsia" w:ascii="宋体" w:hAnsi="宋体" w:cs="宋体"/>
                <w:szCs w:val="21"/>
              </w:rPr>
              <w:t>1.无资金计划或资金不落实，扣1分；</w:t>
            </w:r>
          </w:p>
          <w:p>
            <w:pPr>
              <w:spacing w:line="280" w:lineRule="exact"/>
              <w:rPr>
                <w:rFonts w:ascii="宋体" w:hAnsi="宋体" w:cs="宋体"/>
                <w:szCs w:val="21"/>
              </w:rPr>
            </w:pPr>
            <w:r>
              <w:rPr>
                <w:rFonts w:hint="eastAsia" w:ascii="宋体" w:hAnsi="宋体" w:cs="宋体"/>
                <w:szCs w:val="21"/>
              </w:rPr>
              <w:t>2.培训教师不落实或不满足要求，扣1分；</w:t>
            </w:r>
          </w:p>
          <w:p>
            <w:pPr>
              <w:spacing w:line="280" w:lineRule="exact"/>
              <w:rPr>
                <w:rFonts w:ascii="宋体" w:hAnsi="宋体" w:cs="宋体"/>
                <w:szCs w:val="21"/>
              </w:rPr>
            </w:pPr>
            <w:r>
              <w:rPr>
                <w:rFonts w:hint="eastAsia" w:ascii="宋体" w:hAnsi="宋体" w:cs="宋体"/>
                <w:szCs w:val="21"/>
              </w:rPr>
              <w:t>3.培训场所不落实或不满足要求，扣1分。</w:t>
            </w:r>
          </w:p>
        </w:tc>
        <w:tc>
          <w:tcPr>
            <w:tcW w:w="1165" w:type="dxa"/>
            <w:vAlign w:val="center"/>
          </w:tcPr>
          <w:p>
            <w:pPr>
              <w:jc w:val="center"/>
              <w:rPr>
                <w:rFonts w:ascii="宋体" w:hAnsi="宋体" w:cs="宋体"/>
                <w:szCs w:val="21"/>
              </w:rPr>
            </w:pPr>
            <w:r>
              <w:rPr>
                <w:rFonts w:hint="eastAsia" w:ascii="宋体" w:hAnsi="宋体" w:cs="宋体"/>
                <w:szCs w:val="21"/>
              </w:rPr>
              <w:t>符合要求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771" w:type="dxa"/>
            <w:vMerge w:val="continue"/>
          </w:tcPr>
          <w:p>
            <w:pPr>
              <w:spacing w:line="280" w:lineRule="exact"/>
              <w:rPr>
                <w:rFonts w:ascii="宋体" w:hAnsi="宋体" w:cs="宋体"/>
                <w:b/>
                <w:bCs/>
                <w:szCs w:val="21"/>
              </w:rPr>
            </w:pPr>
          </w:p>
        </w:tc>
        <w:tc>
          <w:tcPr>
            <w:tcW w:w="709" w:type="dxa"/>
            <w:vMerge w:val="continue"/>
          </w:tcPr>
          <w:p>
            <w:pPr>
              <w:spacing w:line="280" w:lineRule="exact"/>
              <w:rPr>
                <w:rFonts w:ascii="宋体" w:hAnsi="宋体" w:cs="宋体"/>
                <w:b/>
                <w:bCs/>
                <w:szCs w:val="21"/>
              </w:rPr>
            </w:pPr>
          </w:p>
        </w:tc>
        <w:tc>
          <w:tcPr>
            <w:tcW w:w="2409" w:type="dxa"/>
          </w:tcPr>
          <w:p>
            <w:pPr>
              <w:spacing w:line="280" w:lineRule="exact"/>
              <w:rPr>
                <w:rFonts w:ascii="宋体" w:hAnsi="宋体" w:cs="宋体"/>
                <w:szCs w:val="21"/>
              </w:rPr>
            </w:pPr>
            <w:r>
              <w:rPr>
                <w:rFonts w:hint="eastAsia" w:ascii="宋体" w:hAnsi="宋体" w:cs="宋体"/>
                <w:szCs w:val="21"/>
              </w:rPr>
              <w:t>3.企业应建立从业人员安全培训教育档案。</w:t>
            </w:r>
          </w:p>
        </w:tc>
        <w:tc>
          <w:tcPr>
            <w:tcW w:w="2268" w:type="dxa"/>
          </w:tcPr>
          <w:p>
            <w:pPr>
              <w:spacing w:line="280" w:lineRule="exact"/>
              <w:rPr>
                <w:rFonts w:ascii="宋体" w:hAnsi="宋体" w:cs="宋体"/>
                <w:szCs w:val="21"/>
              </w:rPr>
            </w:pPr>
            <w:r>
              <w:rPr>
                <w:rFonts w:hint="eastAsia" w:ascii="宋体" w:hAnsi="宋体" w:cs="宋体"/>
                <w:szCs w:val="21"/>
              </w:rPr>
              <w:t>建立从业人员安全培训教育档案。</w:t>
            </w:r>
          </w:p>
        </w:tc>
        <w:tc>
          <w:tcPr>
            <w:tcW w:w="2268" w:type="dxa"/>
          </w:tcPr>
          <w:p>
            <w:pPr>
              <w:spacing w:line="280" w:lineRule="exact"/>
              <w:rPr>
                <w:rFonts w:ascii="宋体" w:hAnsi="宋体" w:cs="宋体"/>
                <w:szCs w:val="21"/>
              </w:rPr>
            </w:pPr>
            <w:r>
              <w:rPr>
                <w:rFonts w:hint="eastAsia" w:ascii="宋体" w:hAnsi="宋体" w:cs="宋体"/>
                <w:szCs w:val="21"/>
              </w:rPr>
              <w:t>查文件：</w:t>
            </w:r>
          </w:p>
          <w:p>
            <w:pPr>
              <w:spacing w:line="280" w:lineRule="exact"/>
              <w:rPr>
                <w:rFonts w:ascii="宋体" w:hAnsi="宋体" w:cs="宋体"/>
                <w:szCs w:val="21"/>
              </w:rPr>
            </w:pPr>
            <w:r>
              <w:rPr>
                <w:rFonts w:hint="eastAsia" w:ascii="宋体" w:hAnsi="宋体" w:cs="宋体"/>
                <w:szCs w:val="21"/>
              </w:rPr>
              <w:t>从业人员安全培训教育档案。</w:t>
            </w:r>
          </w:p>
        </w:tc>
        <w:tc>
          <w:tcPr>
            <w:tcW w:w="1701" w:type="dxa"/>
          </w:tcPr>
          <w:p>
            <w:pPr>
              <w:spacing w:line="280" w:lineRule="exact"/>
              <w:rPr>
                <w:rFonts w:ascii="宋体" w:hAnsi="宋体" w:cs="宋体"/>
                <w:szCs w:val="21"/>
              </w:rPr>
            </w:pPr>
          </w:p>
        </w:tc>
        <w:tc>
          <w:tcPr>
            <w:tcW w:w="2268" w:type="dxa"/>
          </w:tcPr>
          <w:p>
            <w:pPr>
              <w:spacing w:line="280" w:lineRule="exact"/>
              <w:rPr>
                <w:rFonts w:ascii="宋体" w:hAnsi="宋体" w:cs="宋体"/>
                <w:szCs w:val="21"/>
              </w:rPr>
            </w:pPr>
            <w:r>
              <w:rPr>
                <w:rFonts w:hint="eastAsia" w:ascii="宋体" w:hAnsi="宋体" w:cs="宋体"/>
                <w:szCs w:val="21"/>
              </w:rPr>
              <w:t>1.未建立档案，扣5分；每少1人档案，扣1分；</w:t>
            </w:r>
          </w:p>
          <w:p>
            <w:pPr>
              <w:spacing w:line="280" w:lineRule="exact"/>
              <w:rPr>
                <w:rFonts w:ascii="宋体" w:hAnsi="宋体" w:cs="宋体"/>
                <w:szCs w:val="21"/>
              </w:rPr>
            </w:pPr>
            <w:r>
              <w:rPr>
                <w:rFonts w:hint="eastAsia" w:ascii="宋体" w:hAnsi="宋体" w:cs="宋体"/>
                <w:szCs w:val="21"/>
              </w:rPr>
              <w:t>2.培训教育档案记录不符合规定要求，一项扣1分。</w:t>
            </w:r>
          </w:p>
        </w:tc>
        <w:tc>
          <w:tcPr>
            <w:tcW w:w="1165" w:type="dxa"/>
            <w:vAlign w:val="center"/>
          </w:tcPr>
          <w:p>
            <w:pPr>
              <w:jc w:val="center"/>
              <w:rPr>
                <w:rFonts w:ascii="宋体" w:hAnsi="宋体" w:cs="宋体"/>
                <w:szCs w:val="21"/>
              </w:rPr>
            </w:pPr>
            <w:r>
              <w:rPr>
                <w:rFonts w:hint="eastAsia" w:ascii="宋体" w:hAnsi="宋体" w:cs="宋体"/>
                <w:szCs w:val="21"/>
              </w:rPr>
              <w:t>符合要求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771" w:type="dxa"/>
            <w:vMerge w:val="continue"/>
          </w:tcPr>
          <w:p>
            <w:pPr>
              <w:spacing w:line="280" w:lineRule="exact"/>
              <w:rPr>
                <w:rFonts w:ascii="宋体" w:hAnsi="宋体" w:cs="宋体"/>
                <w:b/>
                <w:bCs/>
                <w:szCs w:val="21"/>
              </w:rPr>
            </w:pPr>
          </w:p>
        </w:tc>
        <w:tc>
          <w:tcPr>
            <w:tcW w:w="709" w:type="dxa"/>
            <w:vMerge w:val="continue"/>
          </w:tcPr>
          <w:p>
            <w:pPr>
              <w:spacing w:line="280" w:lineRule="exact"/>
              <w:rPr>
                <w:rFonts w:ascii="宋体" w:hAnsi="宋体" w:cs="宋体"/>
                <w:b/>
                <w:bCs/>
                <w:szCs w:val="21"/>
              </w:rPr>
            </w:pPr>
          </w:p>
        </w:tc>
        <w:tc>
          <w:tcPr>
            <w:tcW w:w="2409" w:type="dxa"/>
          </w:tcPr>
          <w:p>
            <w:pPr>
              <w:spacing w:line="280" w:lineRule="exact"/>
              <w:rPr>
                <w:rFonts w:ascii="宋体" w:hAnsi="宋体" w:cs="宋体"/>
                <w:szCs w:val="21"/>
              </w:rPr>
            </w:pPr>
            <w:r>
              <w:rPr>
                <w:rFonts w:hint="eastAsia" w:ascii="宋体" w:hAnsi="宋体" w:cs="宋体"/>
                <w:szCs w:val="21"/>
              </w:rPr>
              <w:t>4.企业安全培训教育计划变更时，应记录变更情况。</w:t>
            </w:r>
          </w:p>
        </w:tc>
        <w:tc>
          <w:tcPr>
            <w:tcW w:w="2268" w:type="dxa"/>
          </w:tcPr>
          <w:p>
            <w:pPr>
              <w:spacing w:line="280" w:lineRule="exact"/>
              <w:rPr>
                <w:rFonts w:ascii="宋体" w:hAnsi="宋体" w:cs="宋体"/>
                <w:szCs w:val="21"/>
              </w:rPr>
            </w:pPr>
            <w:r>
              <w:rPr>
                <w:rFonts w:hint="eastAsia" w:ascii="宋体" w:hAnsi="宋体" w:cs="宋体"/>
                <w:szCs w:val="21"/>
              </w:rPr>
              <w:t>安全培训教育计划变更时，应按规定记录变更情况。</w:t>
            </w:r>
          </w:p>
        </w:tc>
        <w:tc>
          <w:tcPr>
            <w:tcW w:w="2268" w:type="dxa"/>
          </w:tcPr>
          <w:p>
            <w:pPr>
              <w:spacing w:line="280" w:lineRule="exact"/>
              <w:rPr>
                <w:rFonts w:ascii="宋体" w:hAnsi="宋体" w:cs="宋体"/>
                <w:szCs w:val="21"/>
              </w:rPr>
            </w:pPr>
            <w:r>
              <w:rPr>
                <w:rFonts w:hint="eastAsia" w:ascii="宋体" w:hAnsi="宋体" w:cs="宋体"/>
                <w:szCs w:val="21"/>
              </w:rPr>
              <w:t>查文件：</w:t>
            </w:r>
          </w:p>
          <w:p>
            <w:pPr>
              <w:spacing w:line="280" w:lineRule="exact"/>
              <w:rPr>
                <w:rFonts w:ascii="宋体" w:hAnsi="宋体" w:cs="宋体"/>
                <w:szCs w:val="21"/>
              </w:rPr>
            </w:pPr>
            <w:r>
              <w:rPr>
                <w:rFonts w:hint="eastAsia" w:ascii="宋体" w:hAnsi="宋体" w:cs="宋体"/>
                <w:szCs w:val="21"/>
              </w:rPr>
              <w:t>1.安全培训教育计划；</w:t>
            </w:r>
          </w:p>
          <w:p>
            <w:pPr>
              <w:spacing w:line="280" w:lineRule="exact"/>
              <w:rPr>
                <w:rFonts w:ascii="宋体" w:hAnsi="宋体" w:cs="宋体"/>
                <w:szCs w:val="21"/>
              </w:rPr>
            </w:pPr>
            <w:r>
              <w:rPr>
                <w:rFonts w:hint="eastAsia" w:ascii="宋体" w:hAnsi="宋体" w:cs="宋体"/>
                <w:szCs w:val="21"/>
              </w:rPr>
              <w:t>2.变更记录。</w:t>
            </w:r>
          </w:p>
        </w:tc>
        <w:tc>
          <w:tcPr>
            <w:tcW w:w="1701" w:type="dxa"/>
          </w:tcPr>
          <w:p>
            <w:pPr>
              <w:spacing w:line="280" w:lineRule="exact"/>
              <w:rPr>
                <w:rFonts w:ascii="宋体" w:hAnsi="宋体" w:cs="宋体"/>
                <w:szCs w:val="21"/>
              </w:rPr>
            </w:pPr>
          </w:p>
        </w:tc>
        <w:tc>
          <w:tcPr>
            <w:tcW w:w="2268" w:type="dxa"/>
          </w:tcPr>
          <w:p>
            <w:pPr>
              <w:spacing w:line="280" w:lineRule="exact"/>
              <w:rPr>
                <w:rFonts w:ascii="宋体" w:hAnsi="宋体" w:cs="宋体"/>
                <w:szCs w:val="21"/>
              </w:rPr>
            </w:pPr>
            <w:r>
              <w:rPr>
                <w:rFonts w:hint="eastAsia" w:ascii="宋体" w:hAnsi="宋体" w:cs="宋体"/>
                <w:szCs w:val="21"/>
              </w:rPr>
              <w:t>未记录计划变更情况，一项扣1分。</w:t>
            </w:r>
          </w:p>
        </w:tc>
        <w:tc>
          <w:tcPr>
            <w:tcW w:w="1165" w:type="dxa"/>
            <w:vAlign w:val="center"/>
          </w:tcPr>
          <w:p>
            <w:pPr>
              <w:spacing w:line="280" w:lineRule="exact"/>
              <w:jc w:val="center"/>
              <w:rPr>
                <w:rFonts w:ascii="宋体" w:hAnsi="宋体" w:cs="宋体"/>
                <w:b/>
                <w:bCs/>
                <w:szCs w:val="21"/>
              </w:rPr>
            </w:pPr>
            <w:r>
              <w:rPr>
                <w:rFonts w:hint="eastAsia" w:ascii="宋体" w:hAnsi="宋体" w:cs="宋体"/>
                <w:szCs w:val="21"/>
              </w:rPr>
              <w:t>符合要求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771" w:type="dxa"/>
            <w:vMerge w:val="continue"/>
          </w:tcPr>
          <w:p>
            <w:pPr>
              <w:spacing w:line="280" w:lineRule="exact"/>
              <w:rPr>
                <w:rFonts w:ascii="宋体" w:hAnsi="宋体" w:cs="宋体"/>
                <w:b/>
                <w:bCs/>
                <w:szCs w:val="21"/>
              </w:rPr>
            </w:pPr>
          </w:p>
        </w:tc>
        <w:tc>
          <w:tcPr>
            <w:tcW w:w="709" w:type="dxa"/>
            <w:vMerge w:val="continue"/>
          </w:tcPr>
          <w:p>
            <w:pPr>
              <w:spacing w:line="280" w:lineRule="exact"/>
              <w:rPr>
                <w:rFonts w:ascii="宋体" w:hAnsi="宋体" w:cs="宋体"/>
                <w:b/>
                <w:bCs/>
                <w:szCs w:val="21"/>
              </w:rPr>
            </w:pPr>
          </w:p>
        </w:tc>
        <w:tc>
          <w:tcPr>
            <w:tcW w:w="2409" w:type="dxa"/>
          </w:tcPr>
          <w:p>
            <w:pPr>
              <w:spacing w:line="280" w:lineRule="exact"/>
              <w:rPr>
                <w:rFonts w:ascii="宋体" w:hAnsi="宋体" w:cs="宋体"/>
                <w:szCs w:val="21"/>
              </w:rPr>
            </w:pPr>
            <w:r>
              <w:rPr>
                <w:rFonts w:hint="eastAsia" w:ascii="宋体" w:hAnsi="宋体" w:cs="宋体"/>
                <w:szCs w:val="21"/>
              </w:rPr>
              <w:t>5.企业安全培训教育主管部门应对培训教育效果进行评价。</w:t>
            </w:r>
          </w:p>
        </w:tc>
        <w:tc>
          <w:tcPr>
            <w:tcW w:w="2268" w:type="dxa"/>
          </w:tcPr>
          <w:p>
            <w:pPr>
              <w:spacing w:line="280" w:lineRule="exact"/>
              <w:rPr>
                <w:rFonts w:ascii="宋体" w:hAnsi="宋体" w:cs="宋体"/>
                <w:szCs w:val="21"/>
              </w:rPr>
            </w:pPr>
            <w:r>
              <w:rPr>
                <w:rFonts w:hint="eastAsia" w:ascii="宋体" w:hAnsi="宋体" w:cs="宋体"/>
                <w:szCs w:val="21"/>
              </w:rPr>
              <w:t>安全培训教育主管部门应对培训教育效果进行评价和改进。</w:t>
            </w:r>
          </w:p>
        </w:tc>
        <w:tc>
          <w:tcPr>
            <w:tcW w:w="2268" w:type="dxa"/>
          </w:tcPr>
          <w:p>
            <w:pPr>
              <w:spacing w:line="280" w:lineRule="exact"/>
              <w:rPr>
                <w:rFonts w:ascii="宋体" w:hAnsi="宋体" w:cs="宋体"/>
                <w:szCs w:val="21"/>
              </w:rPr>
            </w:pPr>
            <w:r>
              <w:rPr>
                <w:rFonts w:hint="eastAsia" w:ascii="宋体" w:hAnsi="宋体" w:cs="宋体"/>
                <w:szCs w:val="21"/>
              </w:rPr>
              <w:t>查文件：</w:t>
            </w:r>
          </w:p>
          <w:p>
            <w:pPr>
              <w:spacing w:line="280" w:lineRule="exact"/>
              <w:rPr>
                <w:rFonts w:ascii="宋体" w:hAnsi="宋体" w:cs="宋体"/>
                <w:szCs w:val="21"/>
              </w:rPr>
            </w:pPr>
            <w:r>
              <w:rPr>
                <w:rFonts w:hint="eastAsia" w:ascii="宋体" w:hAnsi="宋体" w:cs="宋体"/>
                <w:szCs w:val="21"/>
              </w:rPr>
              <w:t>培训教育效果评价记录。</w:t>
            </w:r>
          </w:p>
          <w:p>
            <w:pPr>
              <w:spacing w:line="280" w:lineRule="exact"/>
              <w:rPr>
                <w:rFonts w:ascii="宋体" w:hAnsi="宋体" w:cs="宋体"/>
                <w:szCs w:val="21"/>
              </w:rPr>
            </w:pPr>
            <w:r>
              <w:rPr>
                <w:rFonts w:hint="eastAsia" w:ascii="宋体" w:hAnsi="宋体" w:cs="宋体"/>
                <w:szCs w:val="21"/>
              </w:rPr>
              <w:t>询问：</w:t>
            </w:r>
          </w:p>
          <w:p>
            <w:pPr>
              <w:spacing w:line="280" w:lineRule="exact"/>
              <w:rPr>
                <w:rFonts w:ascii="宋体" w:hAnsi="宋体" w:cs="宋体"/>
                <w:szCs w:val="21"/>
              </w:rPr>
            </w:pPr>
            <w:r>
              <w:rPr>
                <w:rFonts w:hint="eastAsia" w:ascii="宋体" w:hAnsi="宋体" w:cs="宋体"/>
                <w:szCs w:val="21"/>
              </w:rPr>
              <w:t>了解有关人员对安全培训、教育效果的评价。</w:t>
            </w:r>
          </w:p>
        </w:tc>
        <w:tc>
          <w:tcPr>
            <w:tcW w:w="1701" w:type="dxa"/>
          </w:tcPr>
          <w:p>
            <w:pPr>
              <w:spacing w:line="280" w:lineRule="exact"/>
              <w:rPr>
                <w:rFonts w:ascii="宋体" w:hAnsi="宋体" w:cs="宋体"/>
                <w:szCs w:val="21"/>
              </w:rPr>
            </w:pPr>
          </w:p>
        </w:tc>
        <w:tc>
          <w:tcPr>
            <w:tcW w:w="2268" w:type="dxa"/>
          </w:tcPr>
          <w:p>
            <w:pPr>
              <w:spacing w:line="280" w:lineRule="exact"/>
              <w:rPr>
                <w:rFonts w:ascii="宋体" w:hAnsi="宋体" w:cs="宋体"/>
                <w:szCs w:val="21"/>
              </w:rPr>
            </w:pPr>
            <w:r>
              <w:rPr>
                <w:rFonts w:hint="eastAsia" w:ascii="宋体" w:hAnsi="宋体" w:cs="宋体"/>
                <w:szCs w:val="21"/>
              </w:rPr>
              <w:t>1.未进行教育效果评价，扣3分；</w:t>
            </w:r>
          </w:p>
          <w:p>
            <w:pPr>
              <w:spacing w:line="280" w:lineRule="exact"/>
              <w:rPr>
                <w:rFonts w:ascii="宋体" w:hAnsi="宋体" w:cs="宋体"/>
                <w:szCs w:val="21"/>
              </w:rPr>
            </w:pPr>
            <w:r>
              <w:rPr>
                <w:rFonts w:hint="eastAsia" w:ascii="宋体" w:hAnsi="宋体" w:cs="宋体"/>
                <w:szCs w:val="21"/>
              </w:rPr>
              <w:t>2.未制定改进措施并改进，扣2分。</w:t>
            </w:r>
          </w:p>
        </w:tc>
        <w:tc>
          <w:tcPr>
            <w:tcW w:w="1165" w:type="dxa"/>
            <w:vAlign w:val="center"/>
          </w:tcPr>
          <w:p>
            <w:pPr>
              <w:spacing w:line="280" w:lineRule="exact"/>
              <w:jc w:val="center"/>
              <w:rPr>
                <w:rFonts w:ascii="宋体" w:hAnsi="宋体" w:cs="宋体"/>
                <w:b/>
                <w:bCs/>
                <w:szCs w:val="21"/>
              </w:rPr>
            </w:pPr>
            <w:r>
              <w:rPr>
                <w:rFonts w:hint="eastAsia" w:ascii="宋体" w:hAnsi="宋体" w:cs="宋体"/>
                <w:szCs w:val="21"/>
              </w:rPr>
              <w:t>教育效果评价不规范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771" w:type="dxa"/>
            <w:vMerge w:val="continue"/>
          </w:tcPr>
          <w:p>
            <w:pPr>
              <w:spacing w:line="280" w:lineRule="exact"/>
              <w:rPr>
                <w:rFonts w:ascii="宋体" w:hAnsi="宋体" w:cs="宋体"/>
                <w:b/>
                <w:bCs/>
                <w:szCs w:val="21"/>
              </w:rPr>
            </w:pPr>
          </w:p>
        </w:tc>
        <w:tc>
          <w:tcPr>
            <w:tcW w:w="709" w:type="dxa"/>
            <w:vMerge w:val="continue"/>
          </w:tcPr>
          <w:p>
            <w:pPr>
              <w:spacing w:line="280" w:lineRule="exact"/>
              <w:rPr>
                <w:rFonts w:ascii="宋体" w:hAnsi="宋体" w:cs="宋体"/>
                <w:b/>
                <w:bCs/>
                <w:szCs w:val="21"/>
              </w:rPr>
            </w:pPr>
          </w:p>
        </w:tc>
        <w:tc>
          <w:tcPr>
            <w:tcW w:w="2409" w:type="dxa"/>
          </w:tcPr>
          <w:p>
            <w:pPr>
              <w:spacing w:line="280" w:lineRule="exact"/>
              <w:rPr>
                <w:rFonts w:ascii="宋体" w:hAnsi="宋体" w:cs="宋体"/>
                <w:szCs w:val="21"/>
              </w:rPr>
            </w:pPr>
            <w:r>
              <w:rPr>
                <w:rFonts w:hint="eastAsia" w:ascii="宋体" w:hAnsi="宋体" w:cs="宋体"/>
                <w:szCs w:val="21"/>
              </w:rPr>
              <w:t>6.企业应确立终身教育的观念和全员培训的目标，对在岗的从业人员进行经常性安全培训教育。</w:t>
            </w:r>
          </w:p>
        </w:tc>
        <w:tc>
          <w:tcPr>
            <w:tcW w:w="2268" w:type="dxa"/>
          </w:tcPr>
          <w:p>
            <w:pPr>
              <w:spacing w:line="280" w:lineRule="exact"/>
              <w:rPr>
                <w:rFonts w:ascii="宋体" w:hAnsi="宋体" w:cs="宋体"/>
                <w:szCs w:val="21"/>
              </w:rPr>
            </w:pPr>
            <w:r>
              <w:rPr>
                <w:rFonts w:hint="eastAsia" w:ascii="宋体" w:hAnsi="宋体" w:cs="宋体"/>
                <w:szCs w:val="21"/>
              </w:rPr>
              <w:t>1.确立终身教育的观念和全员培训的目标；</w:t>
            </w:r>
          </w:p>
          <w:p>
            <w:pPr>
              <w:spacing w:line="280" w:lineRule="exact"/>
              <w:rPr>
                <w:rFonts w:ascii="宋体" w:hAnsi="宋体" w:cs="宋体"/>
                <w:szCs w:val="21"/>
              </w:rPr>
            </w:pPr>
            <w:r>
              <w:rPr>
                <w:rFonts w:hint="eastAsia" w:ascii="宋体" w:hAnsi="宋体" w:cs="宋体"/>
                <w:szCs w:val="21"/>
              </w:rPr>
              <w:t>2.对从业人员进行经常性安全培训教育。</w:t>
            </w:r>
          </w:p>
        </w:tc>
        <w:tc>
          <w:tcPr>
            <w:tcW w:w="2268" w:type="dxa"/>
          </w:tcPr>
          <w:p>
            <w:pPr>
              <w:spacing w:line="280" w:lineRule="exact"/>
              <w:rPr>
                <w:rFonts w:ascii="宋体" w:hAnsi="宋体" w:cs="宋体"/>
                <w:szCs w:val="21"/>
              </w:rPr>
            </w:pPr>
            <w:r>
              <w:rPr>
                <w:rFonts w:hint="eastAsia" w:ascii="宋体" w:hAnsi="宋体" w:cs="宋体"/>
                <w:szCs w:val="21"/>
              </w:rPr>
              <w:t>查文件：</w:t>
            </w:r>
          </w:p>
          <w:p>
            <w:pPr>
              <w:spacing w:line="280" w:lineRule="exact"/>
              <w:rPr>
                <w:rFonts w:ascii="宋体" w:hAnsi="宋体" w:cs="宋体"/>
                <w:szCs w:val="21"/>
              </w:rPr>
            </w:pPr>
            <w:r>
              <w:rPr>
                <w:rFonts w:hint="eastAsia" w:ascii="宋体" w:hAnsi="宋体" w:cs="宋体"/>
                <w:szCs w:val="21"/>
              </w:rPr>
              <w:t>1.安全培训教育制度；</w:t>
            </w:r>
          </w:p>
          <w:p>
            <w:pPr>
              <w:spacing w:line="280" w:lineRule="exact"/>
              <w:rPr>
                <w:rFonts w:ascii="宋体" w:hAnsi="宋体" w:cs="宋体"/>
                <w:szCs w:val="21"/>
              </w:rPr>
            </w:pPr>
            <w:r>
              <w:rPr>
                <w:rFonts w:hint="eastAsia" w:ascii="宋体" w:hAnsi="宋体" w:cs="宋体"/>
                <w:szCs w:val="21"/>
              </w:rPr>
              <w:t>2.安全培训教育计划；</w:t>
            </w:r>
          </w:p>
          <w:p>
            <w:pPr>
              <w:spacing w:line="280" w:lineRule="exact"/>
              <w:rPr>
                <w:rFonts w:ascii="宋体" w:hAnsi="宋体" w:cs="宋体"/>
                <w:szCs w:val="21"/>
              </w:rPr>
            </w:pPr>
            <w:r>
              <w:rPr>
                <w:rFonts w:hint="eastAsia" w:ascii="宋体" w:hAnsi="宋体" w:cs="宋体"/>
                <w:szCs w:val="21"/>
              </w:rPr>
              <w:t>3.安全培训教育记录、档案。</w:t>
            </w:r>
          </w:p>
        </w:tc>
        <w:tc>
          <w:tcPr>
            <w:tcW w:w="1701" w:type="dxa"/>
          </w:tcPr>
          <w:p>
            <w:pPr>
              <w:spacing w:line="280" w:lineRule="exact"/>
              <w:rPr>
                <w:rFonts w:ascii="宋体" w:hAnsi="宋体" w:cs="宋体"/>
                <w:szCs w:val="21"/>
              </w:rPr>
            </w:pPr>
          </w:p>
        </w:tc>
        <w:tc>
          <w:tcPr>
            <w:tcW w:w="2268" w:type="dxa"/>
          </w:tcPr>
          <w:p>
            <w:pPr>
              <w:spacing w:line="280" w:lineRule="exact"/>
              <w:rPr>
                <w:rFonts w:ascii="宋体" w:hAnsi="宋体" w:cs="宋体"/>
                <w:szCs w:val="21"/>
              </w:rPr>
            </w:pPr>
            <w:r>
              <w:rPr>
                <w:rFonts w:hint="eastAsia" w:ascii="宋体" w:hAnsi="宋体" w:cs="宋体"/>
                <w:szCs w:val="21"/>
              </w:rPr>
              <w:t>1.未进行全员培训，少1人次扣1分；</w:t>
            </w:r>
          </w:p>
          <w:p>
            <w:pPr>
              <w:spacing w:line="280" w:lineRule="exact"/>
              <w:rPr>
                <w:rFonts w:ascii="宋体" w:hAnsi="宋体" w:cs="宋体"/>
                <w:szCs w:val="21"/>
              </w:rPr>
            </w:pPr>
            <w:r>
              <w:rPr>
                <w:rFonts w:hint="eastAsia" w:ascii="宋体" w:hAnsi="宋体" w:cs="宋体"/>
                <w:szCs w:val="21"/>
              </w:rPr>
              <w:t>2.未进行经常性安全培训教育，1人次扣1分。</w:t>
            </w:r>
          </w:p>
        </w:tc>
        <w:tc>
          <w:tcPr>
            <w:tcW w:w="1165" w:type="dxa"/>
            <w:vAlign w:val="center"/>
          </w:tcPr>
          <w:p>
            <w:pPr>
              <w:spacing w:line="280" w:lineRule="exact"/>
              <w:jc w:val="center"/>
              <w:rPr>
                <w:rFonts w:ascii="宋体" w:hAnsi="宋体" w:cs="宋体"/>
                <w:b/>
                <w:bCs/>
                <w:szCs w:val="21"/>
              </w:rPr>
            </w:pPr>
            <w:r>
              <w:rPr>
                <w:rFonts w:hint="eastAsia" w:ascii="宋体" w:hAnsi="宋体" w:cs="宋体"/>
                <w:szCs w:val="21"/>
              </w:rPr>
              <w:t>符合要求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771" w:type="dxa"/>
            <w:vMerge w:val="continue"/>
          </w:tcPr>
          <w:p>
            <w:pPr>
              <w:spacing w:line="280" w:lineRule="exact"/>
              <w:rPr>
                <w:rFonts w:ascii="宋体" w:hAnsi="宋体" w:cs="宋体"/>
                <w:b/>
                <w:bCs/>
                <w:szCs w:val="21"/>
              </w:rPr>
            </w:pPr>
          </w:p>
        </w:tc>
        <w:tc>
          <w:tcPr>
            <w:tcW w:w="709" w:type="dxa"/>
          </w:tcPr>
          <w:p>
            <w:pPr>
              <w:spacing w:line="280" w:lineRule="exact"/>
              <w:rPr>
                <w:rFonts w:ascii="宋体" w:hAnsi="宋体" w:cs="宋体"/>
                <w:b/>
                <w:bCs/>
                <w:szCs w:val="21"/>
              </w:rPr>
            </w:pPr>
            <w:r>
              <w:rPr>
                <w:rFonts w:hint="eastAsia" w:ascii="宋体" w:hAnsi="宋体" w:cs="宋体"/>
                <w:b/>
                <w:bCs/>
                <w:szCs w:val="21"/>
              </w:rPr>
              <w:t>5.2从业人员岗位标准</w:t>
            </w:r>
          </w:p>
          <w:p>
            <w:pPr>
              <w:spacing w:line="280" w:lineRule="exact"/>
              <w:rPr>
                <w:rFonts w:ascii="宋体" w:hAnsi="宋体" w:cs="宋体"/>
                <w:b/>
                <w:bCs/>
                <w:szCs w:val="21"/>
              </w:rPr>
            </w:pPr>
            <w:r>
              <w:rPr>
                <w:rFonts w:hint="eastAsia" w:ascii="宋体" w:hAnsi="宋体" w:cs="宋体"/>
                <w:b/>
                <w:bCs/>
                <w:szCs w:val="21"/>
              </w:rPr>
              <w:t>（10分）</w:t>
            </w:r>
          </w:p>
        </w:tc>
        <w:tc>
          <w:tcPr>
            <w:tcW w:w="2409" w:type="dxa"/>
          </w:tcPr>
          <w:p>
            <w:pPr>
              <w:spacing w:line="280" w:lineRule="exact"/>
              <w:rPr>
                <w:rFonts w:ascii="宋体" w:hAnsi="宋体" w:cs="宋体"/>
                <w:szCs w:val="21"/>
              </w:rPr>
            </w:pPr>
          </w:p>
        </w:tc>
        <w:tc>
          <w:tcPr>
            <w:tcW w:w="2268" w:type="dxa"/>
          </w:tcPr>
          <w:p>
            <w:pPr>
              <w:spacing w:line="280" w:lineRule="exact"/>
              <w:rPr>
                <w:rFonts w:ascii="宋体" w:hAnsi="宋体" w:cs="宋体"/>
                <w:szCs w:val="21"/>
              </w:rPr>
            </w:pPr>
            <w:r>
              <w:rPr>
                <w:rFonts w:hint="eastAsia" w:ascii="宋体" w:hAnsi="宋体" w:cs="宋体"/>
                <w:szCs w:val="21"/>
              </w:rPr>
              <w:t>1.企业对从业人员岗位标准要求应文件化，做到明确具体；</w:t>
            </w:r>
          </w:p>
          <w:p>
            <w:pPr>
              <w:spacing w:line="280" w:lineRule="exact"/>
              <w:rPr>
                <w:rFonts w:ascii="宋体" w:hAnsi="宋体" w:cs="宋体"/>
                <w:szCs w:val="21"/>
              </w:rPr>
            </w:pPr>
            <w:r>
              <w:rPr>
                <w:rFonts w:hint="eastAsia" w:ascii="宋体" w:hAnsi="宋体" w:cs="宋体"/>
                <w:szCs w:val="21"/>
              </w:rPr>
              <w:t>2.落实国家、地方及行业等部门制定的岗位标准。</w:t>
            </w:r>
          </w:p>
        </w:tc>
        <w:tc>
          <w:tcPr>
            <w:tcW w:w="2268" w:type="dxa"/>
          </w:tcPr>
          <w:p>
            <w:pPr>
              <w:spacing w:line="280" w:lineRule="exact"/>
              <w:rPr>
                <w:rFonts w:ascii="宋体" w:hAnsi="宋体" w:cs="宋体"/>
                <w:szCs w:val="21"/>
              </w:rPr>
            </w:pPr>
            <w:r>
              <w:rPr>
                <w:rFonts w:hint="eastAsia" w:ascii="宋体" w:hAnsi="宋体" w:cs="宋体"/>
                <w:szCs w:val="21"/>
              </w:rPr>
              <w:t>查文件：</w:t>
            </w:r>
          </w:p>
          <w:p>
            <w:pPr>
              <w:spacing w:line="280" w:lineRule="exact"/>
              <w:rPr>
                <w:rFonts w:ascii="宋体" w:hAnsi="宋体" w:cs="宋体"/>
                <w:szCs w:val="21"/>
              </w:rPr>
            </w:pPr>
            <w:r>
              <w:rPr>
                <w:rFonts w:hint="eastAsia" w:ascii="宋体" w:hAnsi="宋体" w:cs="宋体"/>
                <w:szCs w:val="21"/>
              </w:rPr>
              <w:t>1.载明企业从业人员岗位标准的文件；</w:t>
            </w:r>
          </w:p>
          <w:p>
            <w:pPr>
              <w:spacing w:line="280" w:lineRule="exact"/>
              <w:rPr>
                <w:rFonts w:ascii="宋体" w:hAnsi="宋体" w:cs="宋体"/>
                <w:szCs w:val="21"/>
              </w:rPr>
            </w:pPr>
            <w:r>
              <w:rPr>
                <w:rFonts w:hint="eastAsia" w:ascii="宋体" w:hAnsi="宋体" w:cs="宋体"/>
                <w:szCs w:val="21"/>
              </w:rPr>
              <w:t>2.从业人员招聘资料、员工台账、档案。</w:t>
            </w:r>
          </w:p>
        </w:tc>
        <w:tc>
          <w:tcPr>
            <w:tcW w:w="1701" w:type="dxa"/>
          </w:tcPr>
          <w:p>
            <w:pPr>
              <w:spacing w:line="280" w:lineRule="exact"/>
              <w:rPr>
                <w:rFonts w:ascii="宋体" w:hAnsi="宋体" w:cs="宋体"/>
                <w:szCs w:val="21"/>
              </w:rPr>
            </w:pPr>
          </w:p>
        </w:tc>
        <w:tc>
          <w:tcPr>
            <w:tcW w:w="2268" w:type="dxa"/>
          </w:tcPr>
          <w:p>
            <w:pPr>
              <w:spacing w:line="280" w:lineRule="exact"/>
              <w:rPr>
                <w:rFonts w:ascii="宋体" w:hAnsi="宋体" w:cs="宋体"/>
                <w:szCs w:val="21"/>
              </w:rPr>
            </w:pPr>
            <w:r>
              <w:rPr>
                <w:rFonts w:hint="eastAsia" w:ascii="宋体" w:hAnsi="宋体" w:cs="宋体"/>
                <w:szCs w:val="21"/>
              </w:rPr>
              <w:t>1.从业人员岗位标准不明确，一项扣1分；</w:t>
            </w:r>
          </w:p>
          <w:p>
            <w:pPr>
              <w:spacing w:line="280" w:lineRule="exact"/>
              <w:rPr>
                <w:rFonts w:ascii="宋体" w:hAnsi="宋体" w:cs="宋体"/>
                <w:szCs w:val="21"/>
              </w:rPr>
            </w:pPr>
            <w:r>
              <w:rPr>
                <w:rFonts w:hint="eastAsia" w:ascii="宋体" w:hAnsi="宋体" w:cs="宋体"/>
                <w:szCs w:val="21"/>
              </w:rPr>
              <w:t>2.上岗的从业人员未满足岗位标准要求，1人次扣2分。</w:t>
            </w:r>
          </w:p>
        </w:tc>
        <w:tc>
          <w:tcPr>
            <w:tcW w:w="1165" w:type="dxa"/>
            <w:vAlign w:val="center"/>
          </w:tcPr>
          <w:p>
            <w:pPr>
              <w:spacing w:line="280" w:lineRule="exact"/>
              <w:jc w:val="center"/>
              <w:rPr>
                <w:rFonts w:ascii="宋体" w:hAnsi="宋体" w:cs="宋体"/>
                <w:szCs w:val="21"/>
              </w:rPr>
            </w:pPr>
            <w:r>
              <w:rPr>
                <w:rFonts w:hint="eastAsia" w:ascii="宋体" w:hAnsi="宋体" w:cs="宋体"/>
                <w:szCs w:val="21"/>
              </w:rPr>
              <w:t>未建立产业人员岗位标准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771" w:type="dxa"/>
            <w:vMerge w:val="continue"/>
          </w:tcPr>
          <w:p>
            <w:pPr>
              <w:spacing w:line="280" w:lineRule="exact"/>
              <w:rPr>
                <w:rFonts w:ascii="宋体" w:hAnsi="宋体" w:cs="宋体"/>
                <w:b/>
                <w:bCs/>
                <w:szCs w:val="21"/>
              </w:rPr>
            </w:pPr>
          </w:p>
        </w:tc>
        <w:tc>
          <w:tcPr>
            <w:tcW w:w="709" w:type="dxa"/>
            <w:vMerge w:val="restart"/>
          </w:tcPr>
          <w:p>
            <w:pPr>
              <w:spacing w:line="280" w:lineRule="exact"/>
              <w:rPr>
                <w:rFonts w:ascii="宋体" w:hAnsi="宋体" w:cs="宋体"/>
                <w:b/>
                <w:bCs/>
                <w:szCs w:val="21"/>
              </w:rPr>
            </w:pPr>
            <w:r>
              <w:rPr>
                <w:rFonts w:hint="eastAsia" w:ascii="宋体" w:hAnsi="宋体" w:cs="宋体"/>
                <w:b/>
                <w:bCs/>
                <w:szCs w:val="21"/>
              </w:rPr>
              <w:t>5.3管理人员培训</w:t>
            </w:r>
          </w:p>
          <w:p>
            <w:pPr>
              <w:spacing w:line="280" w:lineRule="exact"/>
              <w:rPr>
                <w:rFonts w:ascii="宋体" w:hAnsi="宋体" w:cs="宋体"/>
                <w:b/>
                <w:bCs/>
                <w:szCs w:val="21"/>
              </w:rPr>
            </w:pPr>
            <w:r>
              <w:rPr>
                <w:rFonts w:hint="eastAsia" w:ascii="宋体" w:hAnsi="宋体" w:cs="宋体"/>
                <w:b/>
                <w:bCs/>
                <w:szCs w:val="21"/>
              </w:rPr>
              <w:t>（20分）</w:t>
            </w:r>
          </w:p>
        </w:tc>
        <w:tc>
          <w:tcPr>
            <w:tcW w:w="2409" w:type="dxa"/>
          </w:tcPr>
          <w:p>
            <w:pPr>
              <w:spacing w:line="280" w:lineRule="exact"/>
              <w:rPr>
                <w:rFonts w:ascii="宋体" w:hAnsi="宋体" w:cs="宋体"/>
                <w:szCs w:val="21"/>
              </w:rPr>
            </w:pPr>
            <w:r>
              <w:rPr>
                <w:rFonts w:hint="eastAsia" w:ascii="宋体" w:hAnsi="宋体" w:cs="宋体"/>
                <w:szCs w:val="21"/>
              </w:rPr>
              <w:t>1.企业主要负责人和安全生产管理人员应接受专门的安全培训教育，经安全生产监管部门对其安全生产知识和管理能力考核合格，取得安全资格证书后方可任职，并按规定参加每年再培训。</w:t>
            </w:r>
          </w:p>
        </w:tc>
        <w:tc>
          <w:tcPr>
            <w:tcW w:w="2268" w:type="dxa"/>
          </w:tcPr>
          <w:p>
            <w:pPr>
              <w:spacing w:line="280" w:lineRule="exact"/>
              <w:rPr>
                <w:rFonts w:ascii="宋体" w:hAnsi="宋体" w:cs="宋体"/>
                <w:szCs w:val="21"/>
              </w:rPr>
            </w:pPr>
            <w:r>
              <w:rPr>
                <w:rFonts w:hint="eastAsia" w:ascii="宋体" w:hAnsi="宋体" w:cs="宋体"/>
                <w:szCs w:val="21"/>
              </w:rPr>
              <w:t>1.企业主要负责人和安全生产管理人员应接受专门的安全培训教育，经安全监管部门对其安全生产知识和管理能力考核合格，取得安全资格证书后方可任职；</w:t>
            </w:r>
          </w:p>
          <w:p>
            <w:pPr>
              <w:spacing w:line="280" w:lineRule="exact"/>
              <w:rPr>
                <w:rFonts w:ascii="宋体" w:hAnsi="宋体" w:cs="宋体"/>
                <w:szCs w:val="21"/>
              </w:rPr>
            </w:pPr>
            <w:r>
              <w:rPr>
                <w:rFonts w:hint="eastAsia" w:ascii="宋体" w:hAnsi="宋体" w:cs="宋体"/>
                <w:szCs w:val="21"/>
              </w:rPr>
              <w:t>2.按规定参加每年再培训。</w:t>
            </w:r>
          </w:p>
        </w:tc>
        <w:tc>
          <w:tcPr>
            <w:tcW w:w="2268" w:type="dxa"/>
          </w:tcPr>
          <w:p>
            <w:pPr>
              <w:spacing w:line="280" w:lineRule="exact"/>
              <w:rPr>
                <w:rFonts w:ascii="宋体" w:hAnsi="宋体" w:cs="宋体"/>
                <w:szCs w:val="21"/>
              </w:rPr>
            </w:pPr>
            <w:r>
              <w:rPr>
                <w:rFonts w:hint="eastAsia" w:ascii="宋体" w:hAnsi="宋体" w:cs="宋体"/>
                <w:szCs w:val="21"/>
              </w:rPr>
              <w:t>查文件：</w:t>
            </w:r>
          </w:p>
          <w:p>
            <w:pPr>
              <w:spacing w:line="280" w:lineRule="exact"/>
              <w:rPr>
                <w:rFonts w:ascii="宋体" w:hAnsi="宋体" w:cs="宋体"/>
                <w:szCs w:val="21"/>
              </w:rPr>
            </w:pPr>
            <w:r>
              <w:rPr>
                <w:rFonts w:hint="eastAsia" w:ascii="宋体" w:hAnsi="宋体" w:cs="宋体"/>
                <w:szCs w:val="21"/>
              </w:rPr>
              <w:t>安全资格证书及培训档案。</w:t>
            </w:r>
          </w:p>
        </w:tc>
        <w:tc>
          <w:tcPr>
            <w:tcW w:w="1701" w:type="dxa"/>
          </w:tcPr>
          <w:p>
            <w:pPr>
              <w:spacing w:line="280" w:lineRule="exact"/>
              <w:rPr>
                <w:rFonts w:ascii="宋体" w:hAnsi="宋体" w:cs="宋体"/>
                <w:szCs w:val="21"/>
              </w:rPr>
            </w:pPr>
            <w:r>
              <w:rPr>
                <w:rFonts w:hint="eastAsia" w:ascii="宋体" w:hAnsi="宋体" w:cs="宋体"/>
                <w:szCs w:val="21"/>
              </w:rPr>
              <w:t>主要负责人或安全生产管理人员未取得安全资格证书或证书失效，扣20分（B级要素否决项）。</w:t>
            </w:r>
          </w:p>
        </w:tc>
        <w:tc>
          <w:tcPr>
            <w:tcW w:w="2268" w:type="dxa"/>
          </w:tcPr>
          <w:p>
            <w:pPr>
              <w:spacing w:line="280" w:lineRule="exact"/>
              <w:rPr>
                <w:rFonts w:ascii="宋体" w:hAnsi="宋体" w:cs="宋体"/>
                <w:szCs w:val="21"/>
              </w:rPr>
            </w:pPr>
            <w:r>
              <w:rPr>
                <w:rFonts w:hint="eastAsia" w:ascii="宋体" w:hAnsi="宋体" w:cs="宋体"/>
                <w:szCs w:val="21"/>
              </w:rPr>
              <w:t>主要负责人和安全生产管理人员未按规定每年进行再培训，1人次不符合扣5分。</w:t>
            </w:r>
          </w:p>
        </w:tc>
        <w:tc>
          <w:tcPr>
            <w:tcW w:w="1165" w:type="dxa"/>
            <w:vAlign w:val="center"/>
          </w:tcPr>
          <w:p>
            <w:pPr>
              <w:spacing w:line="280" w:lineRule="exact"/>
              <w:jc w:val="center"/>
              <w:rPr>
                <w:rFonts w:ascii="宋体" w:hAnsi="宋体" w:cs="宋体"/>
                <w:szCs w:val="21"/>
              </w:rPr>
            </w:pPr>
            <w:r>
              <w:rPr>
                <w:rFonts w:hint="eastAsia" w:ascii="宋体" w:hAnsi="宋体" w:cs="宋体"/>
                <w:szCs w:val="21"/>
              </w:rPr>
              <w:t>符合要求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771" w:type="dxa"/>
            <w:vMerge w:val="continue"/>
          </w:tcPr>
          <w:p>
            <w:pPr>
              <w:spacing w:line="280" w:lineRule="exact"/>
              <w:rPr>
                <w:rFonts w:ascii="宋体" w:hAnsi="宋体" w:cs="宋体"/>
                <w:b/>
                <w:bCs/>
                <w:szCs w:val="21"/>
              </w:rPr>
            </w:pPr>
          </w:p>
        </w:tc>
        <w:tc>
          <w:tcPr>
            <w:tcW w:w="709" w:type="dxa"/>
            <w:vMerge w:val="continue"/>
          </w:tcPr>
          <w:p>
            <w:pPr>
              <w:spacing w:line="280" w:lineRule="exact"/>
              <w:rPr>
                <w:rFonts w:ascii="宋体" w:hAnsi="宋体" w:cs="宋体"/>
                <w:b/>
                <w:bCs/>
                <w:szCs w:val="21"/>
              </w:rPr>
            </w:pPr>
          </w:p>
        </w:tc>
        <w:tc>
          <w:tcPr>
            <w:tcW w:w="2409" w:type="dxa"/>
          </w:tcPr>
          <w:p>
            <w:pPr>
              <w:spacing w:line="280" w:lineRule="exact"/>
              <w:rPr>
                <w:rFonts w:ascii="宋体" w:hAnsi="宋体" w:cs="宋体"/>
                <w:szCs w:val="21"/>
              </w:rPr>
            </w:pPr>
            <w:r>
              <w:rPr>
                <w:rFonts w:hint="eastAsia" w:ascii="宋体" w:hAnsi="宋体" w:cs="宋体"/>
                <w:szCs w:val="21"/>
              </w:rPr>
              <w:t>2.企业其他管理人员，包括管理部门负责人和基层单位负责人、专业工程技术人员的安全培训教育由企业相关部门组织，经考核合格后方可任职。</w:t>
            </w:r>
          </w:p>
        </w:tc>
        <w:tc>
          <w:tcPr>
            <w:tcW w:w="2268" w:type="dxa"/>
          </w:tcPr>
          <w:p>
            <w:pPr>
              <w:spacing w:line="280" w:lineRule="exact"/>
              <w:rPr>
                <w:rFonts w:ascii="宋体" w:hAnsi="宋体" w:cs="宋体"/>
                <w:szCs w:val="21"/>
              </w:rPr>
            </w:pPr>
            <w:r>
              <w:rPr>
                <w:rFonts w:hint="eastAsia" w:ascii="宋体" w:hAnsi="宋体" w:cs="宋体"/>
                <w:szCs w:val="21"/>
              </w:rPr>
              <w:t>1.其他管理人员，包括管理部门负责人和基层单位负责人、专业工程技术人员的安全培训教育由企业相关部门组织；</w:t>
            </w:r>
          </w:p>
          <w:p>
            <w:pPr>
              <w:spacing w:line="280" w:lineRule="exact"/>
              <w:rPr>
                <w:rFonts w:ascii="宋体" w:hAnsi="宋体" w:cs="宋体"/>
                <w:szCs w:val="21"/>
              </w:rPr>
            </w:pPr>
            <w:r>
              <w:rPr>
                <w:rFonts w:hint="eastAsia" w:ascii="宋体" w:hAnsi="宋体" w:cs="宋体"/>
                <w:szCs w:val="21"/>
              </w:rPr>
              <w:t>2.经考核合格后方可任职；</w:t>
            </w:r>
          </w:p>
          <w:p>
            <w:pPr>
              <w:spacing w:line="280" w:lineRule="exact"/>
              <w:rPr>
                <w:rFonts w:ascii="宋体" w:hAnsi="宋体" w:cs="宋体"/>
                <w:szCs w:val="21"/>
              </w:rPr>
            </w:pPr>
            <w:r>
              <w:rPr>
                <w:rFonts w:hint="eastAsia" w:ascii="宋体" w:hAnsi="宋体" w:cs="宋体"/>
                <w:szCs w:val="21"/>
              </w:rPr>
              <w:t>3.按规定参加每年再培训。</w:t>
            </w:r>
          </w:p>
        </w:tc>
        <w:tc>
          <w:tcPr>
            <w:tcW w:w="2268" w:type="dxa"/>
          </w:tcPr>
          <w:p>
            <w:pPr>
              <w:spacing w:line="280" w:lineRule="exact"/>
              <w:rPr>
                <w:rFonts w:ascii="宋体" w:hAnsi="宋体" w:cs="宋体"/>
                <w:szCs w:val="21"/>
              </w:rPr>
            </w:pPr>
            <w:r>
              <w:rPr>
                <w:rFonts w:hint="eastAsia" w:ascii="宋体" w:hAnsi="宋体" w:cs="宋体"/>
                <w:szCs w:val="21"/>
              </w:rPr>
              <w:t>查文件：</w:t>
            </w:r>
          </w:p>
          <w:p>
            <w:pPr>
              <w:spacing w:line="280" w:lineRule="exact"/>
              <w:rPr>
                <w:rFonts w:ascii="宋体" w:hAnsi="宋体" w:cs="宋体"/>
                <w:szCs w:val="21"/>
              </w:rPr>
            </w:pPr>
            <w:r>
              <w:rPr>
                <w:rFonts w:hint="eastAsia" w:ascii="宋体" w:hAnsi="宋体" w:cs="宋体"/>
                <w:szCs w:val="21"/>
              </w:rPr>
              <w:t>安全培训教育档案。</w:t>
            </w:r>
          </w:p>
        </w:tc>
        <w:tc>
          <w:tcPr>
            <w:tcW w:w="1701" w:type="dxa"/>
          </w:tcPr>
          <w:p>
            <w:pPr>
              <w:spacing w:line="280" w:lineRule="exact"/>
              <w:rPr>
                <w:rFonts w:ascii="宋体" w:hAnsi="宋体" w:cs="宋体"/>
                <w:szCs w:val="21"/>
              </w:rPr>
            </w:pPr>
          </w:p>
        </w:tc>
        <w:tc>
          <w:tcPr>
            <w:tcW w:w="2268" w:type="dxa"/>
          </w:tcPr>
          <w:p>
            <w:pPr>
              <w:spacing w:line="280" w:lineRule="exact"/>
              <w:rPr>
                <w:rFonts w:ascii="宋体" w:hAnsi="宋体" w:cs="宋体"/>
                <w:szCs w:val="21"/>
              </w:rPr>
            </w:pPr>
            <w:r>
              <w:rPr>
                <w:rFonts w:hint="eastAsia" w:ascii="宋体" w:hAnsi="宋体" w:cs="宋体"/>
                <w:szCs w:val="21"/>
              </w:rPr>
              <w:t>1.未对其他管理人员进行安全培训教育，1人次不符合扣2分；</w:t>
            </w:r>
          </w:p>
          <w:p>
            <w:pPr>
              <w:spacing w:line="280" w:lineRule="exact"/>
              <w:rPr>
                <w:rFonts w:ascii="宋体" w:hAnsi="宋体" w:cs="宋体"/>
                <w:szCs w:val="21"/>
              </w:rPr>
            </w:pPr>
            <w:r>
              <w:rPr>
                <w:rFonts w:hint="eastAsia" w:ascii="宋体" w:hAnsi="宋体" w:cs="宋体"/>
                <w:szCs w:val="21"/>
              </w:rPr>
              <w:t>2.未经考核合格上岗任职，1人次扣2分；</w:t>
            </w:r>
          </w:p>
          <w:p>
            <w:pPr>
              <w:spacing w:line="280" w:lineRule="exact"/>
              <w:rPr>
                <w:rFonts w:ascii="宋体" w:hAnsi="宋体" w:cs="宋体"/>
                <w:szCs w:val="21"/>
              </w:rPr>
            </w:pPr>
            <w:r>
              <w:rPr>
                <w:rFonts w:hint="eastAsia" w:ascii="宋体" w:hAnsi="宋体" w:cs="宋体"/>
                <w:szCs w:val="21"/>
              </w:rPr>
              <w:t>3．未参加每年的再培训，1人次扣1分。</w:t>
            </w:r>
          </w:p>
        </w:tc>
        <w:tc>
          <w:tcPr>
            <w:tcW w:w="1165" w:type="dxa"/>
            <w:vAlign w:val="center"/>
          </w:tcPr>
          <w:p>
            <w:pPr>
              <w:spacing w:line="280" w:lineRule="exact"/>
              <w:jc w:val="center"/>
              <w:rPr>
                <w:rFonts w:ascii="宋体" w:hAnsi="宋体" w:cs="宋体"/>
                <w:szCs w:val="21"/>
              </w:rPr>
            </w:pPr>
            <w:r>
              <w:rPr>
                <w:rFonts w:hint="eastAsia" w:ascii="宋体" w:hAnsi="宋体" w:cs="宋体"/>
                <w:szCs w:val="21"/>
              </w:rPr>
              <w:t>符合要求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 w:hRule="atLeast"/>
          <w:jc w:val="center"/>
        </w:trPr>
        <w:tc>
          <w:tcPr>
            <w:tcW w:w="771" w:type="dxa"/>
            <w:vMerge w:val="continue"/>
          </w:tcPr>
          <w:p>
            <w:pPr>
              <w:spacing w:line="280" w:lineRule="exact"/>
              <w:rPr>
                <w:rFonts w:ascii="宋体" w:hAnsi="宋体" w:cs="宋体"/>
                <w:b/>
                <w:bCs/>
                <w:szCs w:val="21"/>
              </w:rPr>
            </w:pPr>
          </w:p>
        </w:tc>
        <w:tc>
          <w:tcPr>
            <w:tcW w:w="709" w:type="dxa"/>
            <w:vMerge w:val="restart"/>
          </w:tcPr>
          <w:p>
            <w:pPr>
              <w:spacing w:line="280" w:lineRule="exact"/>
              <w:rPr>
                <w:rFonts w:ascii="宋体" w:hAnsi="宋体" w:cs="宋体"/>
                <w:b/>
                <w:bCs/>
                <w:szCs w:val="21"/>
              </w:rPr>
            </w:pPr>
            <w:r>
              <w:rPr>
                <w:rFonts w:hint="eastAsia" w:ascii="宋体" w:hAnsi="宋体" w:cs="宋体"/>
                <w:b/>
                <w:bCs/>
                <w:szCs w:val="21"/>
              </w:rPr>
              <w:t>5.4从业人员培训教育</w:t>
            </w:r>
          </w:p>
          <w:p>
            <w:pPr>
              <w:spacing w:line="280" w:lineRule="exact"/>
              <w:rPr>
                <w:rFonts w:ascii="宋体" w:hAnsi="宋体" w:cs="宋体"/>
                <w:b/>
                <w:bCs/>
                <w:szCs w:val="21"/>
              </w:rPr>
            </w:pPr>
            <w:r>
              <w:rPr>
                <w:rFonts w:hint="eastAsia" w:ascii="宋体" w:hAnsi="宋体" w:cs="宋体"/>
                <w:b/>
                <w:bCs/>
                <w:szCs w:val="21"/>
              </w:rPr>
              <w:t>（30分）</w:t>
            </w:r>
          </w:p>
        </w:tc>
        <w:tc>
          <w:tcPr>
            <w:tcW w:w="2409" w:type="dxa"/>
          </w:tcPr>
          <w:p>
            <w:pPr>
              <w:spacing w:line="280" w:lineRule="exact"/>
              <w:rPr>
                <w:rFonts w:ascii="宋体" w:hAnsi="宋体" w:cs="宋体"/>
                <w:szCs w:val="21"/>
              </w:rPr>
            </w:pPr>
            <w:r>
              <w:rPr>
                <w:rFonts w:hint="eastAsia" w:ascii="宋体" w:hAnsi="宋体" w:cs="宋体"/>
                <w:szCs w:val="21"/>
              </w:rPr>
              <w:t>1.企业应对从业人员进行安全培训教育，并经考核合格后方可上岗。从业人员每年应接受再培训，再培训时间不得少于国家或地方政府规定学时。</w:t>
            </w:r>
          </w:p>
        </w:tc>
        <w:tc>
          <w:tcPr>
            <w:tcW w:w="2268" w:type="dxa"/>
          </w:tcPr>
          <w:p>
            <w:pPr>
              <w:spacing w:line="280" w:lineRule="exact"/>
              <w:rPr>
                <w:rFonts w:ascii="宋体" w:hAnsi="宋体" w:cs="宋体"/>
                <w:szCs w:val="21"/>
              </w:rPr>
            </w:pPr>
            <w:r>
              <w:rPr>
                <w:rFonts w:hint="eastAsia" w:ascii="宋体" w:hAnsi="宋体" w:cs="宋体"/>
                <w:szCs w:val="21"/>
              </w:rPr>
              <w:t>1.对从业人员进行安全培训教育，并经考核合格后方可上岗；</w:t>
            </w:r>
          </w:p>
          <w:p>
            <w:pPr>
              <w:spacing w:line="280" w:lineRule="exact"/>
              <w:rPr>
                <w:rFonts w:ascii="宋体" w:hAnsi="宋体" w:cs="宋体"/>
                <w:szCs w:val="21"/>
              </w:rPr>
            </w:pPr>
            <w:r>
              <w:rPr>
                <w:rFonts w:hint="eastAsia" w:ascii="宋体" w:hAnsi="宋体" w:cs="宋体"/>
                <w:szCs w:val="21"/>
              </w:rPr>
              <w:t>2.对从业人员进行安全生产法律、法规、标准、规章制度和操作规程、安全管理方法等培训；</w:t>
            </w:r>
          </w:p>
          <w:p>
            <w:pPr>
              <w:spacing w:line="280" w:lineRule="exact"/>
              <w:rPr>
                <w:rFonts w:ascii="宋体" w:hAnsi="宋体" w:cs="宋体"/>
                <w:szCs w:val="21"/>
              </w:rPr>
            </w:pPr>
            <w:r>
              <w:rPr>
                <w:rFonts w:hint="eastAsia" w:ascii="宋体" w:hAnsi="宋体" w:cs="宋体"/>
                <w:szCs w:val="21"/>
              </w:rPr>
              <w:t>3.从业人员每年应接受再培训，再培训时间不得少于规定学时。</w:t>
            </w:r>
          </w:p>
        </w:tc>
        <w:tc>
          <w:tcPr>
            <w:tcW w:w="2268" w:type="dxa"/>
          </w:tcPr>
          <w:p>
            <w:pPr>
              <w:spacing w:line="280" w:lineRule="exact"/>
              <w:rPr>
                <w:rFonts w:ascii="宋体" w:hAnsi="宋体" w:cs="宋体"/>
                <w:szCs w:val="21"/>
              </w:rPr>
            </w:pPr>
            <w:r>
              <w:rPr>
                <w:rFonts w:hint="eastAsia" w:ascii="宋体" w:hAnsi="宋体" w:cs="宋体"/>
                <w:szCs w:val="21"/>
              </w:rPr>
              <w:t>查文件：</w:t>
            </w:r>
          </w:p>
          <w:p>
            <w:pPr>
              <w:spacing w:line="280" w:lineRule="exact"/>
              <w:rPr>
                <w:rFonts w:ascii="宋体" w:hAnsi="宋体" w:cs="宋体"/>
                <w:szCs w:val="21"/>
              </w:rPr>
            </w:pPr>
            <w:r>
              <w:rPr>
                <w:rFonts w:hint="eastAsia" w:ascii="宋体" w:hAnsi="宋体" w:cs="宋体"/>
                <w:szCs w:val="21"/>
              </w:rPr>
              <w:t>培训教育记录、档案。</w:t>
            </w:r>
          </w:p>
          <w:p>
            <w:pPr>
              <w:spacing w:line="280" w:lineRule="exact"/>
              <w:rPr>
                <w:rFonts w:ascii="宋体" w:hAnsi="宋体" w:cs="宋体"/>
                <w:szCs w:val="21"/>
              </w:rPr>
            </w:pPr>
            <w:r>
              <w:rPr>
                <w:rFonts w:hint="eastAsia" w:ascii="宋体" w:hAnsi="宋体" w:cs="宋体"/>
                <w:szCs w:val="21"/>
              </w:rPr>
              <w:t>现场检查：</w:t>
            </w:r>
          </w:p>
          <w:p>
            <w:pPr>
              <w:spacing w:line="280" w:lineRule="exact"/>
              <w:rPr>
                <w:rFonts w:ascii="宋体" w:hAnsi="宋体" w:cs="宋体"/>
                <w:szCs w:val="21"/>
              </w:rPr>
            </w:pPr>
            <w:r>
              <w:rPr>
                <w:rFonts w:hint="eastAsia" w:ascii="宋体" w:hAnsi="宋体" w:cs="宋体"/>
                <w:szCs w:val="21"/>
              </w:rPr>
              <w:t>从业人员上岗证。</w:t>
            </w:r>
          </w:p>
        </w:tc>
        <w:tc>
          <w:tcPr>
            <w:tcW w:w="1701" w:type="dxa"/>
          </w:tcPr>
          <w:p>
            <w:pPr>
              <w:spacing w:line="280" w:lineRule="exact"/>
              <w:rPr>
                <w:rFonts w:ascii="宋体" w:hAnsi="宋体" w:cs="宋体"/>
                <w:szCs w:val="21"/>
              </w:rPr>
            </w:pPr>
          </w:p>
        </w:tc>
        <w:tc>
          <w:tcPr>
            <w:tcW w:w="2268" w:type="dxa"/>
          </w:tcPr>
          <w:p>
            <w:pPr>
              <w:spacing w:line="280" w:lineRule="exact"/>
              <w:rPr>
                <w:rFonts w:ascii="宋体" w:hAnsi="宋体" w:cs="宋体"/>
                <w:szCs w:val="21"/>
              </w:rPr>
            </w:pPr>
            <w:r>
              <w:rPr>
                <w:rFonts w:hint="eastAsia" w:ascii="宋体" w:hAnsi="宋体" w:cs="宋体"/>
                <w:szCs w:val="21"/>
              </w:rPr>
              <w:t>1.从业人员安全培训教育、再培训未达到规定要求的学时，1人次扣2分；</w:t>
            </w:r>
          </w:p>
          <w:p>
            <w:pPr>
              <w:spacing w:line="280" w:lineRule="exact"/>
              <w:rPr>
                <w:rFonts w:ascii="宋体" w:hAnsi="宋体" w:cs="宋体"/>
                <w:szCs w:val="21"/>
              </w:rPr>
            </w:pPr>
            <w:r>
              <w:rPr>
                <w:rFonts w:hint="eastAsia" w:ascii="宋体" w:hAnsi="宋体" w:cs="宋体"/>
                <w:szCs w:val="21"/>
              </w:rPr>
              <w:t>2.未持上岗证上岗，1人次扣2分。</w:t>
            </w:r>
          </w:p>
        </w:tc>
        <w:tc>
          <w:tcPr>
            <w:tcW w:w="1165" w:type="dxa"/>
            <w:vAlign w:val="center"/>
          </w:tcPr>
          <w:p>
            <w:pPr>
              <w:spacing w:line="280" w:lineRule="exact"/>
              <w:jc w:val="center"/>
              <w:rPr>
                <w:rFonts w:ascii="宋体" w:hAnsi="宋体" w:cs="宋体"/>
                <w:b/>
                <w:bCs/>
                <w:szCs w:val="21"/>
              </w:rPr>
            </w:pPr>
            <w:r>
              <w:rPr>
                <w:rFonts w:hint="eastAsia" w:ascii="宋体" w:hAnsi="宋体" w:cs="宋体"/>
                <w:szCs w:val="21"/>
              </w:rPr>
              <w:t>符合要求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771" w:type="dxa"/>
            <w:vMerge w:val="continue"/>
          </w:tcPr>
          <w:p>
            <w:pPr>
              <w:spacing w:line="280" w:lineRule="exact"/>
              <w:rPr>
                <w:rFonts w:ascii="宋体" w:hAnsi="宋体" w:cs="宋体"/>
                <w:b/>
                <w:bCs/>
                <w:szCs w:val="21"/>
              </w:rPr>
            </w:pPr>
          </w:p>
        </w:tc>
        <w:tc>
          <w:tcPr>
            <w:tcW w:w="709" w:type="dxa"/>
            <w:vMerge w:val="continue"/>
          </w:tcPr>
          <w:p>
            <w:pPr>
              <w:spacing w:line="280" w:lineRule="exact"/>
              <w:rPr>
                <w:rFonts w:ascii="宋体" w:hAnsi="宋体" w:cs="宋体"/>
                <w:b/>
                <w:bCs/>
                <w:szCs w:val="21"/>
              </w:rPr>
            </w:pPr>
          </w:p>
        </w:tc>
        <w:tc>
          <w:tcPr>
            <w:tcW w:w="2409" w:type="dxa"/>
          </w:tcPr>
          <w:p>
            <w:pPr>
              <w:spacing w:line="280" w:lineRule="exact"/>
              <w:rPr>
                <w:rFonts w:ascii="宋体" w:hAnsi="宋体" w:cs="宋体"/>
                <w:szCs w:val="21"/>
              </w:rPr>
            </w:pPr>
            <w:r>
              <w:rPr>
                <w:rFonts w:hint="eastAsia" w:ascii="宋体" w:hAnsi="宋体" w:cs="宋体"/>
                <w:szCs w:val="21"/>
              </w:rPr>
              <w:t>2.企业应按有关规定，对新从业人员进行厂级、车间(工段)级、班组级安全培训教育，经考核合格后，方可上岗。新从业人员安全培训教育时间不得少于国家或地方政府规定学时。</w:t>
            </w:r>
          </w:p>
        </w:tc>
        <w:tc>
          <w:tcPr>
            <w:tcW w:w="2268" w:type="dxa"/>
          </w:tcPr>
          <w:p>
            <w:pPr>
              <w:spacing w:line="280" w:lineRule="exact"/>
              <w:rPr>
                <w:rFonts w:ascii="宋体" w:hAnsi="宋体" w:cs="宋体"/>
                <w:szCs w:val="21"/>
              </w:rPr>
            </w:pPr>
            <w:r>
              <w:rPr>
                <w:rFonts w:hint="eastAsia" w:ascii="宋体" w:hAnsi="宋体" w:cs="宋体"/>
                <w:szCs w:val="21"/>
              </w:rPr>
              <w:t>1.新从业人员进行厂级、车间(工段)级、班组级安全培训教育，经考核合格后，方可上岗；</w:t>
            </w:r>
          </w:p>
          <w:p>
            <w:pPr>
              <w:spacing w:line="280" w:lineRule="exact"/>
              <w:rPr>
                <w:rFonts w:ascii="宋体" w:hAnsi="宋体" w:cs="宋体"/>
                <w:szCs w:val="21"/>
              </w:rPr>
            </w:pPr>
            <w:r>
              <w:rPr>
                <w:rFonts w:hint="eastAsia" w:ascii="宋体" w:hAnsi="宋体" w:cs="宋体"/>
                <w:szCs w:val="21"/>
              </w:rPr>
              <w:t>2.三级安全培训教育的内容、学时应符合安全监管总局令第3号的规定。</w:t>
            </w:r>
          </w:p>
          <w:p>
            <w:pPr>
              <w:spacing w:line="280" w:lineRule="exact"/>
              <w:rPr>
                <w:rFonts w:ascii="宋体" w:hAnsi="宋体" w:cs="宋体"/>
                <w:szCs w:val="21"/>
              </w:rPr>
            </w:pPr>
          </w:p>
        </w:tc>
        <w:tc>
          <w:tcPr>
            <w:tcW w:w="2268" w:type="dxa"/>
          </w:tcPr>
          <w:p>
            <w:pPr>
              <w:spacing w:line="280" w:lineRule="exact"/>
              <w:rPr>
                <w:rFonts w:ascii="宋体" w:hAnsi="宋体" w:cs="宋体"/>
                <w:szCs w:val="21"/>
              </w:rPr>
            </w:pPr>
            <w:r>
              <w:rPr>
                <w:rFonts w:hint="eastAsia" w:ascii="宋体" w:hAnsi="宋体" w:cs="宋体"/>
                <w:szCs w:val="21"/>
              </w:rPr>
              <w:t>查文件：</w:t>
            </w:r>
          </w:p>
          <w:p>
            <w:pPr>
              <w:spacing w:line="280" w:lineRule="exact"/>
              <w:rPr>
                <w:rFonts w:ascii="宋体" w:hAnsi="宋体" w:cs="宋体"/>
                <w:szCs w:val="21"/>
              </w:rPr>
            </w:pPr>
            <w:r>
              <w:rPr>
                <w:rFonts w:hint="eastAsia" w:ascii="宋体" w:hAnsi="宋体" w:cs="宋体"/>
                <w:szCs w:val="21"/>
              </w:rPr>
              <w:t>从业人员安全培训教育档案、考核合格证明。</w:t>
            </w:r>
          </w:p>
          <w:p>
            <w:pPr>
              <w:spacing w:line="280" w:lineRule="exact"/>
              <w:rPr>
                <w:rFonts w:ascii="宋体" w:hAnsi="宋体" w:cs="宋体"/>
                <w:szCs w:val="21"/>
              </w:rPr>
            </w:pPr>
            <w:r>
              <w:rPr>
                <w:rFonts w:hint="eastAsia" w:ascii="宋体" w:hAnsi="宋体" w:cs="宋体"/>
                <w:szCs w:val="21"/>
              </w:rPr>
              <w:t>现场考核：</w:t>
            </w:r>
          </w:p>
          <w:p>
            <w:pPr>
              <w:spacing w:line="280" w:lineRule="exact"/>
              <w:rPr>
                <w:rFonts w:ascii="宋体" w:hAnsi="宋体" w:cs="宋体"/>
                <w:szCs w:val="21"/>
              </w:rPr>
            </w:pPr>
            <w:r>
              <w:rPr>
                <w:rFonts w:hint="eastAsia" w:ascii="宋体" w:hAnsi="宋体" w:cs="宋体"/>
                <w:szCs w:val="21"/>
              </w:rPr>
              <w:t>抽查新上岗的从业人员接受三级培训教育情况。</w:t>
            </w:r>
          </w:p>
        </w:tc>
        <w:tc>
          <w:tcPr>
            <w:tcW w:w="1701" w:type="dxa"/>
          </w:tcPr>
          <w:p>
            <w:pPr>
              <w:spacing w:line="280" w:lineRule="exact"/>
              <w:rPr>
                <w:rFonts w:ascii="宋体" w:hAnsi="宋体" w:cs="宋体"/>
                <w:szCs w:val="21"/>
              </w:rPr>
            </w:pPr>
            <w:r>
              <w:rPr>
                <w:rFonts w:hint="eastAsia" w:ascii="宋体" w:hAnsi="宋体" w:cs="宋体"/>
                <w:szCs w:val="21"/>
              </w:rPr>
              <w:t xml:space="preserve">未接受三级安全培训教育或考核不合格上岗，1人次扣30分（B级要素否决项）。 </w:t>
            </w:r>
          </w:p>
        </w:tc>
        <w:tc>
          <w:tcPr>
            <w:tcW w:w="2268" w:type="dxa"/>
          </w:tcPr>
          <w:p>
            <w:pPr>
              <w:spacing w:line="280" w:lineRule="exact"/>
              <w:rPr>
                <w:rFonts w:ascii="宋体" w:hAnsi="宋体" w:cs="宋体"/>
                <w:szCs w:val="21"/>
              </w:rPr>
            </w:pPr>
            <w:r>
              <w:rPr>
                <w:rFonts w:hint="eastAsia" w:ascii="宋体" w:hAnsi="宋体" w:cs="宋体"/>
                <w:szCs w:val="21"/>
              </w:rPr>
              <w:t>1.缺一级培训，1人次扣5分；</w:t>
            </w:r>
          </w:p>
          <w:p>
            <w:pPr>
              <w:spacing w:line="280" w:lineRule="exact"/>
              <w:rPr>
                <w:rFonts w:ascii="宋体" w:hAnsi="宋体" w:cs="宋体"/>
                <w:szCs w:val="21"/>
              </w:rPr>
            </w:pPr>
            <w:r>
              <w:rPr>
                <w:rFonts w:hint="eastAsia" w:ascii="宋体" w:hAnsi="宋体" w:cs="宋体"/>
                <w:szCs w:val="21"/>
              </w:rPr>
              <w:t>2.三级安全培训教育内容不符合规定，一项扣2分；</w:t>
            </w:r>
          </w:p>
          <w:p>
            <w:pPr>
              <w:spacing w:line="280" w:lineRule="exact"/>
              <w:rPr>
                <w:rFonts w:ascii="宋体" w:hAnsi="宋体" w:cs="宋体"/>
                <w:szCs w:val="21"/>
              </w:rPr>
            </w:pPr>
            <w:r>
              <w:rPr>
                <w:rFonts w:hint="eastAsia" w:ascii="宋体" w:hAnsi="宋体" w:cs="宋体"/>
                <w:szCs w:val="21"/>
              </w:rPr>
              <w:t>3.三级安全培训教育学时不符合规定，1人次扣2分。</w:t>
            </w:r>
          </w:p>
        </w:tc>
        <w:tc>
          <w:tcPr>
            <w:tcW w:w="1165" w:type="dxa"/>
            <w:vAlign w:val="center"/>
          </w:tcPr>
          <w:p>
            <w:pPr>
              <w:spacing w:line="280" w:lineRule="exact"/>
              <w:jc w:val="center"/>
              <w:rPr>
                <w:rFonts w:ascii="宋体" w:hAnsi="宋体" w:cs="宋体"/>
                <w:szCs w:val="21"/>
              </w:rPr>
            </w:pPr>
            <w:r>
              <w:rPr>
                <w:rFonts w:hint="eastAsia" w:ascii="宋体" w:hAnsi="宋体" w:cs="宋体"/>
                <w:szCs w:val="21"/>
              </w:rPr>
              <w:t>符合要求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771" w:type="dxa"/>
            <w:vMerge w:val="continue"/>
          </w:tcPr>
          <w:p>
            <w:pPr>
              <w:spacing w:line="280" w:lineRule="exact"/>
              <w:rPr>
                <w:rFonts w:ascii="宋体" w:hAnsi="宋体" w:cs="宋体"/>
                <w:b/>
                <w:bCs/>
                <w:szCs w:val="21"/>
              </w:rPr>
            </w:pPr>
          </w:p>
        </w:tc>
        <w:tc>
          <w:tcPr>
            <w:tcW w:w="709" w:type="dxa"/>
            <w:vMerge w:val="continue"/>
          </w:tcPr>
          <w:p>
            <w:pPr>
              <w:spacing w:line="280" w:lineRule="exact"/>
              <w:rPr>
                <w:rFonts w:ascii="宋体" w:hAnsi="宋体" w:cs="宋体"/>
                <w:b/>
                <w:bCs/>
                <w:szCs w:val="21"/>
              </w:rPr>
            </w:pPr>
          </w:p>
        </w:tc>
        <w:tc>
          <w:tcPr>
            <w:tcW w:w="2409" w:type="dxa"/>
          </w:tcPr>
          <w:p>
            <w:pPr>
              <w:spacing w:line="280" w:lineRule="exact"/>
              <w:rPr>
                <w:rFonts w:ascii="宋体" w:hAnsi="宋体" w:cs="宋体"/>
                <w:szCs w:val="21"/>
              </w:rPr>
            </w:pPr>
            <w:r>
              <w:rPr>
                <w:rFonts w:hint="eastAsia" w:ascii="宋体" w:hAnsi="宋体" w:cs="宋体"/>
                <w:szCs w:val="21"/>
              </w:rPr>
              <w:t>3.企业特种作业人员应按有关规定参加安全培训教育，取得特种作业操作证，方可上岗作业，并定期复审。</w:t>
            </w:r>
          </w:p>
        </w:tc>
        <w:tc>
          <w:tcPr>
            <w:tcW w:w="2268" w:type="dxa"/>
          </w:tcPr>
          <w:p>
            <w:pPr>
              <w:spacing w:line="280" w:lineRule="exact"/>
              <w:rPr>
                <w:rFonts w:ascii="宋体" w:hAnsi="宋体" w:cs="宋体"/>
                <w:szCs w:val="21"/>
              </w:rPr>
            </w:pPr>
            <w:r>
              <w:rPr>
                <w:rFonts w:hint="eastAsia" w:ascii="宋体" w:hAnsi="宋体" w:cs="宋体"/>
                <w:szCs w:val="21"/>
              </w:rPr>
              <w:t>1.特种作业人员及特种设备作业人员应按有关规定参加安全培训教育，取得特种作业操作证，方可上岗作业；</w:t>
            </w:r>
          </w:p>
          <w:p>
            <w:pPr>
              <w:spacing w:line="280" w:lineRule="exact"/>
              <w:rPr>
                <w:rFonts w:ascii="宋体" w:hAnsi="宋体" w:cs="宋体"/>
                <w:szCs w:val="21"/>
              </w:rPr>
            </w:pPr>
            <w:r>
              <w:rPr>
                <w:rFonts w:hint="eastAsia" w:ascii="宋体" w:hAnsi="宋体" w:cs="宋体"/>
                <w:szCs w:val="21"/>
              </w:rPr>
              <w:t>2.特种作业操作证定期复审；</w:t>
            </w:r>
          </w:p>
          <w:p>
            <w:pPr>
              <w:spacing w:line="280" w:lineRule="exact"/>
              <w:rPr>
                <w:rFonts w:ascii="宋体" w:hAnsi="宋体" w:cs="宋体"/>
                <w:szCs w:val="21"/>
              </w:rPr>
            </w:pPr>
            <w:r>
              <w:rPr>
                <w:rFonts w:hint="eastAsia" w:ascii="宋体" w:hAnsi="宋体" w:cs="宋体"/>
                <w:szCs w:val="21"/>
              </w:rPr>
              <w:t>3.建立特种作业人员及特种设备作业人员管理台账。</w:t>
            </w:r>
          </w:p>
        </w:tc>
        <w:tc>
          <w:tcPr>
            <w:tcW w:w="2268" w:type="dxa"/>
          </w:tcPr>
          <w:p>
            <w:pPr>
              <w:spacing w:line="280" w:lineRule="exact"/>
              <w:rPr>
                <w:rFonts w:ascii="宋体" w:hAnsi="宋体" w:cs="宋体"/>
                <w:szCs w:val="21"/>
              </w:rPr>
            </w:pPr>
            <w:r>
              <w:rPr>
                <w:rFonts w:hint="eastAsia" w:ascii="宋体" w:hAnsi="宋体" w:cs="宋体"/>
                <w:szCs w:val="21"/>
              </w:rPr>
              <w:t>查文件：</w:t>
            </w:r>
          </w:p>
          <w:p>
            <w:pPr>
              <w:spacing w:line="280" w:lineRule="exact"/>
              <w:rPr>
                <w:rFonts w:ascii="宋体" w:hAnsi="宋体" w:cs="宋体"/>
                <w:szCs w:val="21"/>
              </w:rPr>
            </w:pPr>
            <w:r>
              <w:rPr>
                <w:rFonts w:hint="eastAsia" w:ascii="宋体" w:hAnsi="宋体" w:cs="宋体"/>
                <w:szCs w:val="21"/>
              </w:rPr>
              <w:t>1.特种作业人员及特种设备作业人员管理台账；</w:t>
            </w:r>
          </w:p>
          <w:p>
            <w:pPr>
              <w:spacing w:line="280" w:lineRule="exact"/>
              <w:rPr>
                <w:rFonts w:ascii="宋体" w:hAnsi="宋体" w:cs="宋体"/>
                <w:szCs w:val="21"/>
              </w:rPr>
            </w:pPr>
            <w:r>
              <w:rPr>
                <w:rFonts w:hint="eastAsia" w:ascii="宋体" w:hAnsi="宋体" w:cs="宋体"/>
                <w:szCs w:val="21"/>
              </w:rPr>
              <w:t>2.特种作业操作证；</w:t>
            </w:r>
          </w:p>
          <w:p>
            <w:pPr>
              <w:spacing w:line="280" w:lineRule="exact"/>
              <w:rPr>
                <w:rFonts w:ascii="宋体" w:hAnsi="宋体" w:cs="宋体"/>
                <w:szCs w:val="21"/>
              </w:rPr>
            </w:pPr>
            <w:r>
              <w:rPr>
                <w:rFonts w:hint="eastAsia" w:ascii="宋体" w:hAnsi="宋体" w:cs="宋体"/>
                <w:szCs w:val="21"/>
              </w:rPr>
              <w:t>3.特种作业人员和特种设备作业人员培训教育计划。</w:t>
            </w:r>
          </w:p>
          <w:p>
            <w:pPr>
              <w:spacing w:line="280" w:lineRule="exact"/>
              <w:rPr>
                <w:rFonts w:ascii="宋体" w:hAnsi="宋体" w:cs="宋体"/>
                <w:szCs w:val="21"/>
              </w:rPr>
            </w:pPr>
            <w:r>
              <w:rPr>
                <w:rFonts w:hint="eastAsia" w:ascii="宋体" w:hAnsi="宋体" w:cs="宋体"/>
                <w:szCs w:val="21"/>
              </w:rPr>
              <w:t>现场检查：</w:t>
            </w:r>
          </w:p>
          <w:p>
            <w:pPr>
              <w:spacing w:line="280" w:lineRule="exact"/>
              <w:rPr>
                <w:rFonts w:ascii="宋体" w:hAnsi="宋体" w:cs="宋体"/>
                <w:szCs w:val="21"/>
              </w:rPr>
            </w:pPr>
            <w:r>
              <w:rPr>
                <w:rFonts w:hint="eastAsia" w:ascii="宋体" w:hAnsi="宋体" w:cs="宋体"/>
                <w:szCs w:val="21"/>
              </w:rPr>
              <w:t>抽查现场特种作业人员、特种设备作业人员。</w:t>
            </w:r>
          </w:p>
        </w:tc>
        <w:tc>
          <w:tcPr>
            <w:tcW w:w="1701" w:type="dxa"/>
          </w:tcPr>
          <w:p>
            <w:pPr>
              <w:spacing w:line="280" w:lineRule="exact"/>
              <w:rPr>
                <w:rFonts w:ascii="宋体" w:hAnsi="宋体" w:cs="宋体"/>
                <w:szCs w:val="21"/>
              </w:rPr>
            </w:pPr>
          </w:p>
        </w:tc>
        <w:tc>
          <w:tcPr>
            <w:tcW w:w="2268" w:type="dxa"/>
          </w:tcPr>
          <w:p>
            <w:pPr>
              <w:spacing w:line="280" w:lineRule="exact"/>
              <w:rPr>
                <w:rFonts w:ascii="宋体" w:hAnsi="宋体" w:cs="宋体"/>
                <w:szCs w:val="21"/>
              </w:rPr>
            </w:pPr>
            <w:r>
              <w:rPr>
                <w:rFonts w:hint="eastAsia" w:ascii="宋体" w:hAnsi="宋体" w:cs="宋体"/>
                <w:szCs w:val="21"/>
              </w:rPr>
              <w:t>1.无管理台账，扣2分；</w:t>
            </w:r>
          </w:p>
          <w:p>
            <w:pPr>
              <w:spacing w:line="280" w:lineRule="exact"/>
              <w:rPr>
                <w:rFonts w:ascii="宋体" w:hAnsi="宋体" w:cs="宋体"/>
                <w:szCs w:val="21"/>
              </w:rPr>
            </w:pPr>
            <w:r>
              <w:rPr>
                <w:rFonts w:hint="eastAsia" w:ascii="宋体" w:hAnsi="宋体" w:cs="宋体"/>
                <w:szCs w:val="21"/>
              </w:rPr>
              <w:t>2.操作资格证未按期复审，1人次扣2分；</w:t>
            </w:r>
          </w:p>
          <w:p>
            <w:pPr>
              <w:spacing w:line="280" w:lineRule="exact"/>
              <w:rPr>
                <w:rFonts w:ascii="宋体" w:hAnsi="宋体" w:cs="宋体"/>
                <w:szCs w:val="21"/>
              </w:rPr>
            </w:pPr>
            <w:r>
              <w:rPr>
                <w:rFonts w:hint="eastAsia" w:ascii="宋体" w:hAnsi="宋体" w:cs="宋体"/>
                <w:szCs w:val="21"/>
              </w:rPr>
              <w:t>3.无操作证或失效，在现场从事特种作业，1人次扣10分。</w:t>
            </w:r>
          </w:p>
        </w:tc>
        <w:tc>
          <w:tcPr>
            <w:tcW w:w="1165" w:type="dxa"/>
            <w:vAlign w:val="center"/>
          </w:tcPr>
          <w:p>
            <w:pPr>
              <w:jc w:val="center"/>
              <w:rPr>
                <w:rFonts w:ascii="宋体" w:hAnsi="宋体" w:cs="宋体"/>
                <w:szCs w:val="21"/>
              </w:rPr>
            </w:pPr>
            <w:r>
              <w:rPr>
                <w:rFonts w:hint="eastAsia" w:ascii="宋体" w:hAnsi="宋体" w:cs="宋体"/>
                <w:szCs w:val="21"/>
              </w:rPr>
              <w:t>符合要求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771" w:type="dxa"/>
            <w:vMerge w:val="continue"/>
          </w:tcPr>
          <w:p>
            <w:pPr>
              <w:spacing w:line="280" w:lineRule="exact"/>
              <w:rPr>
                <w:rFonts w:ascii="宋体" w:hAnsi="宋体" w:cs="宋体"/>
                <w:b/>
                <w:bCs/>
                <w:szCs w:val="21"/>
              </w:rPr>
            </w:pPr>
          </w:p>
        </w:tc>
        <w:tc>
          <w:tcPr>
            <w:tcW w:w="709" w:type="dxa"/>
            <w:vMerge w:val="continue"/>
          </w:tcPr>
          <w:p>
            <w:pPr>
              <w:spacing w:line="280" w:lineRule="exact"/>
              <w:rPr>
                <w:rFonts w:ascii="宋体" w:hAnsi="宋体" w:cs="宋体"/>
                <w:b/>
                <w:bCs/>
                <w:szCs w:val="21"/>
              </w:rPr>
            </w:pPr>
          </w:p>
        </w:tc>
        <w:tc>
          <w:tcPr>
            <w:tcW w:w="2409" w:type="dxa"/>
          </w:tcPr>
          <w:p>
            <w:pPr>
              <w:spacing w:line="280" w:lineRule="exact"/>
              <w:rPr>
                <w:rFonts w:ascii="宋体" w:hAnsi="宋体" w:cs="宋体"/>
                <w:szCs w:val="21"/>
              </w:rPr>
            </w:pPr>
            <w:r>
              <w:rPr>
                <w:rFonts w:hint="eastAsia" w:ascii="宋体" w:hAnsi="宋体" w:cs="宋体"/>
                <w:szCs w:val="21"/>
              </w:rPr>
              <w:t>4.企业从事危险化学品运输的驾驶员、船员、押运人员，必须经所在地设区的市级人民政府交通部门考核合格（船员经海事管理机构考核合格），取得从业资格证，方可上岗作业。</w:t>
            </w:r>
          </w:p>
        </w:tc>
        <w:tc>
          <w:tcPr>
            <w:tcW w:w="2268" w:type="dxa"/>
          </w:tcPr>
          <w:p>
            <w:pPr>
              <w:spacing w:line="280" w:lineRule="exact"/>
              <w:rPr>
                <w:rFonts w:ascii="宋体" w:hAnsi="宋体" w:cs="宋体"/>
                <w:szCs w:val="21"/>
              </w:rPr>
            </w:pPr>
            <w:r>
              <w:rPr>
                <w:rFonts w:hint="eastAsia" w:ascii="宋体" w:hAnsi="宋体" w:cs="宋体"/>
                <w:szCs w:val="21"/>
              </w:rPr>
              <w:t>1.从事危险化学品运输的驾驶人员、船员、装卸管理人员、押运人员，应当经交通运输主管部门考核合格，取得从业资格证，方可上岗作业；</w:t>
            </w:r>
          </w:p>
          <w:p>
            <w:pPr>
              <w:spacing w:line="280" w:lineRule="exact"/>
              <w:rPr>
                <w:rFonts w:ascii="宋体" w:hAnsi="宋体" w:cs="宋体"/>
                <w:szCs w:val="21"/>
              </w:rPr>
            </w:pPr>
            <w:r>
              <w:rPr>
                <w:rFonts w:hint="eastAsia" w:ascii="宋体" w:hAnsi="宋体" w:cs="宋体"/>
                <w:szCs w:val="21"/>
              </w:rPr>
              <w:t>2.建立危险化学品运输的驾驶人员、船员、押运人员管理台账。</w:t>
            </w:r>
          </w:p>
        </w:tc>
        <w:tc>
          <w:tcPr>
            <w:tcW w:w="2268" w:type="dxa"/>
          </w:tcPr>
          <w:p>
            <w:pPr>
              <w:spacing w:line="280" w:lineRule="exact"/>
              <w:rPr>
                <w:rFonts w:ascii="宋体" w:hAnsi="宋体" w:cs="宋体"/>
                <w:szCs w:val="21"/>
              </w:rPr>
            </w:pPr>
            <w:r>
              <w:rPr>
                <w:rFonts w:hint="eastAsia" w:ascii="宋体" w:hAnsi="宋体" w:cs="宋体"/>
                <w:szCs w:val="21"/>
              </w:rPr>
              <w:t>查文件：</w:t>
            </w:r>
          </w:p>
          <w:p>
            <w:pPr>
              <w:spacing w:line="280" w:lineRule="exact"/>
              <w:rPr>
                <w:rFonts w:ascii="宋体" w:hAnsi="宋体" w:cs="宋体"/>
                <w:szCs w:val="21"/>
              </w:rPr>
            </w:pPr>
            <w:r>
              <w:rPr>
                <w:rFonts w:hint="eastAsia" w:ascii="宋体" w:hAnsi="宋体" w:cs="宋体"/>
                <w:szCs w:val="21"/>
              </w:rPr>
              <w:t>1.从业资格证；</w:t>
            </w:r>
          </w:p>
          <w:p>
            <w:pPr>
              <w:spacing w:line="280" w:lineRule="exact"/>
              <w:rPr>
                <w:rFonts w:ascii="宋体" w:hAnsi="宋体" w:cs="宋体"/>
                <w:szCs w:val="21"/>
              </w:rPr>
            </w:pPr>
            <w:r>
              <w:rPr>
                <w:rFonts w:hint="eastAsia" w:ascii="宋体" w:hAnsi="宋体" w:cs="宋体"/>
                <w:szCs w:val="21"/>
              </w:rPr>
              <w:t>2.管理台账。</w:t>
            </w:r>
          </w:p>
          <w:p>
            <w:pPr>
              <w:spacing w:line="280" w:lineRule="exact"/>
              <w:rPr>
                <w:rFonts w:ascii="宋体" w:hAnsi="宋体" w:cs="宋体"/>
                <w:szCs w:val="21"/>
              </w:rPr>
            </w:pPr>
            <w:r>
              <w:rPr>
                <w:rFonts w:hint="eastAsia" w:ascii="宋体" w:hAnsi="宋体" w:cs="宋体"/>
                <w:szCs w:val="21"/>
              </w:rPr>
              <w:t>现场检查：</w:t>
            </w:r>
          </w:p>
          <w:p>
            <w:pPr>
              <w:spacing w:line="280" w:lineRule="exact"/>
              <w:rPr>
                <w:rFonts w:ascii="宋体" w:hAnsi="宋体" w:cs="宋体"/>
                <w:szCs w:val="21"/>
              </w:rPr>
            </w:pPr>
            <w:r>
              <w:rPr>
                <w:rFonts w:hint="eastAsia" w:ascii="宋体" w:hAnsi="宋体" w:cs="宋体"/>
                <w:szCs w:val="21"/>
              </w:rPr>
              <w:t>抽查危险化学品运输有关人员资格证。</w:t>
            </w:r>
          </w:p>
        </w:tc>
        <w:tc>
          <w:tcPr>
            <w:tcW w:w="1701" w:type="dxa"/>
          </w:tcPr>
          <w:p>
            <w:pPr>
              <w:spacing w:line="280" w:lineRule="exact"/>
              <w:rPr>
                <w:rFonts w:ascii="宋体" w:hAnsi="宋体" w:cs="宋体"/>
                <w:szCs w:val="21"/>
              </w:rPr>
            </w:pPr>
          </w:p>
        </w:tc>
        <w:tc>
          <w:tcPr>
            <w:tcW w:w="2268" w:type="dxa"/>
          </w:tcPr>
          <w:p>
            <w:pPr>
              <w:spacing w:line="280" w:lineRule="exact"/>
              <w:rPr>
                <w:rFonts w:ascii="宋体" w:hAnsi="宋体" w:cs="宋体"/>
                <w:szCs w:val="21"/>
              </w:rPr>
            </w:pPr>
            <w:r>
              <w:rPr>
                <w:rFonts w:hint="eastAsia" w:ascii="宋体" w:hAnsi="宋体" w:cs="宋体"/>
                <w:szCs w:val="21"/>
              </w:rPr>
              <w:t>1.未建立台账，扣2分；</w:t>
            </w:r>
          </w:p>
          <w:p>
            <w:pPr>
              <w:spacing w:line="280" w:lineRule="exact"/>
              <w:rPr>
                <w:rFonts w:ascii="宋体" w:hAnsi="宋体" w:cs="宋体"/>
                <w:szCs w:val="21"/>
              </w:rPr>
            </w:pPr>
            <w:r>
              <w:rPr>
                <w:rFonts w:hint="eastAsia" w:ascii="宋体" w:hAnsi="宋体" w:cs="宋体"/>
                <w:szCs w:val="21"/>
              </w:rPr>
              <w:t>2.资格证不在有效期内，1人次扣2分；</w:t>
            </w:r>
          </w:p>
          <w:p>
            <w:pPr>
              <w:spacing w:line="280" w:lineRule="exact"/>
              <w:rPr>
                <w:rFonts w:ascii="宋体" w:hAnsi="宋体" w:cs="宋体"/>
                <w:szCs w:val="21"/>
              </w:rPr>
            </w:pPr>
            <w:r>
              <w:rPr>
                <w:rFonts w:hint="eastAsia" w:ascii="宋体" w:hAnsi="宋体" w:cs="宋体"/>
                <w:szCs w:val="21"/>
              </w:rPr>
              <w:t>3.无资格证或失效从事相关作业，1人次扣10分。</w:t>
            </w:r>
          </w:p>
        </w:tc>
        <w:tc>
          <w:tcPr>
            <w:tcW w:w="1165" w:type="dxa"/>
            <w:vAlign w:val="center"/>
          </w:tcPr>
          <w:p>
            <w:pPr>
              <w:spacing w:line="280" w:lineRule="exact"/>
              <w:jc w:val="center"/>
              <w:rPr>
                <w:rFonts w:ascii="宋体" w:hAnsi="宋体" w:cs="宋体"/>
                <w:szCs w:val="21"/>
              </w:rPr>
            </w:pPr>
            <w:r>
              <w:rPr>
                <w:rFonts w:hint="eastAsia" w:ascii="宋体" w:hAnsi="宋体" w:cs="宋体"/>
                <w:szCs w:val="21"/>
              </w:rPr>
              <w:t>符合要求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771" w:type="dxa"/>
            <w:vMerge w:val="continue"/>
          </w:tcPr>
          <w:p>
            <w:pPr>
              <w:spacing w:line="280" w:lineRule="exact"/>
              <w:rPr>
                <w:rFonts w:ascii="宋体" w:hAnsi="宋体" w:cs="宋体"/>
                <w:b/>
                <w:bCs/>
                <w:szCs w:val="21"/>
              </w:rPr>
            </w:pPr>
          </w:p>
        </w:tc>
        <w:tc>
          <w:tcPr>
            <w:tcW w:w="709" w:type="dxa"/>
            <w:vMerge w:val="continue"/>
          </w:tcPr>
          <w:p>
            <w:pPr>
              <w:spacing w:line="280" w:lineRule="exact"/>
              <w:rPr>
                <w:rFonts w:ascii="宋体" w:hAnsi="宋体" w:cs="宋体"/>
                <w:b/>
                <w:bCs/>
                <w:szCs w:val="21"/>
              </w:rPr>
            </w:pPr>
          </w:p>
        </w:tc>
        <w:tc>
          <w:tcPr>
            <w:tcW w:w="2409" w:type="dxa"/>
          </w:tcPr>
          <w:p>
            <w:pPr>
              <w:spacing w:line="280" w:lineRule="exact"/>
              <w:rPr>
                <w:rFonts w:ascii="宋体" w:hAnsi="宋体" w:cs="宋体"/>
                <w:szCs w:val="21"/>
              </w:rPr>
            </w:pPr>
            <w:r>
              <w:rPr>
                <w:rFonts w:hint="eastAsia" w:ascii="宋体" w:hAnsi="宋体" w:cs="宋体"/>
                <w:szCs w:val="21"/>
              </w:rPr>
              <w:t>5.企业应在新工艺、新技术、新装置、新产品投产前，对有关人员进行专门培训，经考核合格后，方可上岗。</w:t>
            </w:r>
          </w:p>
        </w:tc>
        <w:tc>
          <w:tcPr>
            <w:tcW w:w="2268" w:type="dxa"/>
          </w:tcPr>
          <w:p>
            <w:pPr>
              <w:spacing w:line="280" w:lineRule="exact"/>
              <w:rPr>
                <w:rFonts w:ascii="宋体" w:hAnsi="宋体" w:cs="宋体"/>
                <w:szCs w:val="21"/>
              </w:rPr>
            </w:pPr>
            <w:r>
              <w:rPr>
                <w:rFonts w:hint="eastAsia" w:ascii="宋体" w:hAnsi="宋体" w:cs="宋体"/>
                <w:szCs w:val="21"/>
              </w:rPr>
              <w:t>在新工艺、新技术、新装置、新产品投产或投用前，对有关人员（操作人员和管理人员）进行专门培训，经考核合格后，方可上岗。</w:t>
            </w:r>
          </w:p>
        </w:tc>
        <w:tc>
          <w:tcPr>
            <w:tcW w:w="2268" w:type="dxa"/>
          </w:tcPr>
          <w:p>
            <w:pPr>
              <w:spacing w:line="280" w:lineRule="exact"/>
              <w:rPr>
                <w:rFonts w:ascii="宋体" w:hAnsi="宋体" w:cs="宋体"/>
                <w:szCs w:val="21"/>
              </w:rPr>
            </w:pPr>
            <w:r>
              <w:rPr>
                <w:rFonts w:hint="eastAsia" w:ascii="宋体" w:hAnsi="宋体" w:cs="宋体"/>
                <w:szCs w:val="21"/>
              </w:rPr>
              <w:t>查文件：</w:t>
            </w:r>
          </w:p>
          <w:p>
            <w:pPr>
              <w:spacing w:line="280" w:lineRule="exact"/>
              <w:rPr>
                <w:rFonts w:ascii="宋体" w:hAnsi="宋体" w:cs="宋体"/>
                <w:szCs w:val="21"/>
              </w:rPr>
            </w:pPr>
            <w:r>
              <w:rPr>
                <w:rFonts w:hint="eastAsia" w:ascii="宋体" w:hAnsi="宋体" w:cs="宋体"/>
                <w:szCs w:val="21"/>
              </w:rPr>
              <w:t>培训记录、培训内容、考核内容。</w:t>
            </w:r>
          </w:p>
          <w:p>
            <w:pPr>
              <w:spacing w:line="280" w:lineRule="exact"/>
              <w:rPr>
                <w:rFonts w:ascii="宋体" w:hAnsi="宋体" w:cs="宋体"/>
                <w:szCs w:val="21"/>
              </w:rPr>
            </w:pPr>
            <w:r>
              <w:rPr>
                <w:rFonts w:hint="eastAsia" w:ascii="宋体" w:hAnsi="宋体" w:cs="宋体"/>
                <w:szCs w:val="21"/>
              </w:rPr>
              <w:t>询问：</w:t>
            </w:r>
          </w:p>
          <w:p>
            <w:pPr>
              <w:spacing w:line="280" w:lineRule="exact"/>
              <w:rPr>
                <w:rFonts w:ascii="宋体" w:hAnsi="宋体" w:cs="宋体"/>
                <w:szCs w:val="21"/>
              </w:rPr>
            </w:pPr>
            <w:r>
              <w:rPr>
                <w:rFonts w:hint="eastAsia" w:ascii="宋体" w:hAnsi="宋体" w:cs="宋体"/>
                <w:szCs w:val="21"/>
              </w:rPr>
              <w:t>现场抽查上岗人员培训情况。</w:t>
            </w:r>
          </w:p>
        </w:tc>
        <w:tc>
          <w:tcPr>
            <w:tcW w:w="1701" w:type="dxa"/>
          </w:tcPr>
          <w:p>
            <w:pPr>
              <w:spacing w:line="280" w:lineRule="exact"/>
              <w:rPr>
                <w:rFonts w:ascii="宋体" w:hAnsi="宋体" w:cs="宋体"/>
                <w:szCs w:val="21"/>
              </w:rPr>
            </w:pPr>
          </w:p>
        </w:tc>
        <w:tc>
          <w:tcPr>
            <w:tcW w:w="2268" w:type="dxa"/>
          </w:tcPr>
          <w:p>
            <w:pPr>
              <w:spacing w:line="280" w:lineRule="exact"/>
              <w:rPr>
                <w:rFonts w:ascii="宋体" w:hAnsi="宋体" w:cs="宋体"/>
                <w:szCs w:val="21"/>
              </w:rPr>
            </w:pPr>
            <w:r>
              <w:rPr>
                <w:rFonts w:hint="eastAsia" w:ascii="宋体" w:hAnsi="宋体" w:cs="宋体"/>
                <w:szCs w:val="21"/>
              </w:rPr>
              <w:t>1.未对有关人员进行专门培训，1人次扣2分；</w:t>
            </w:r>
          </w:p>
          <w:p>
            <w:pPr>
              <w:spacing w:line="280" w:lineRule="exact"/>
              <w:rPr>
                <w:rFonts w:ascii="宋体" w:hAnsi="宋体" w:cs="宋体"/>
                <w:szCs w:val="21"/>
              </w:rPr>
            </w:pPr>
            <w:r>
              <w:rPr>
                <w:rFonts w:hint="eastAsia" w:ascii="宋体" w:hAnsi="宋体" w:cs="宋体"/>
                <w:szCs w:val="21"/>
              </w:rPr>
              <w:t>2.有关人员未经考核合格上岗，1人次扣2分。</w:t>
            </w:r>
          </w:p>
        </w:tc>
        <w:tc>
          <w:tcPr>
            <w:tcW w:w="1165" w:type="dxa"/>
            <w:vAlign w:val="center"/>
          </w:tcPr>
          <w:p>
            <w:pPr>
              <w:spacing w:line="280" w:lineRule="exact"/>
              <w:jc w:val="center"/>
              <w:rPr>
                <w:rFonts w:ascii="宋体" w:hAnsi="宋体" w:cs="宋体"/>
                <w:b/>
                <w:bCs/>
                <w:szCs w:val="21"/>
              </w:rPr>
            </w:pPr>
            <w:r>
              <w:rPr>
                <w:rFonts w:hint="eastAsia" w:ascii="宋体" w:hAnsi="宋体" w:cs="宋体"/>
                <w:szCs w:val="21"/>
              </w:rPr>
              <w:t>不涉及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771" w:type="dxa"/>
            <w:vMerge w:val="continue"/>
          </w:tcPr>
          <w:p>
            <w:pPr>
              <w:spacing w:line="280" w:lineRule="exact"/>
              <w:rPr>
                <w:rFonts w:ascii="宋体" w:hAnsi="宋体" w:cs="宋体"/>
                <w:b/>
                <w:bCs/>
                <w:szCs w:val="21"/>
              </w:rPr>
            </w:pPr>
          </w:p>
        </w:tc>
        <w:tc>
          <w:tcPr>
            <w:tcW w:w="709" w:type="dxa"/>
            <w:vMerge w:val="restart"/>
          </w:tcPr>
          <w:p>
            <w:pPr>
              <w:spacing w:line="280" w:lineRule="exact"/>
              <w:rPr>
                <w:rFonts w:ascii="宋体" w:hAnsi="宋体" w:cs="宋体"/>
                <w:b/>
                <w:bCs/>
                <w:szCs w:val="21"/>
              </w:rPr>
            </w:pPr>
            <w:r>
              <w:rPr>
                <w:rFonts w:hint="eastAsia" w:ascii="宋体" w:hAnsi="宋体" w:cs="宋体"/>
                <w:b/>
                <w:bCs/>
                <w:szCs w:val="21"/>
              </w:rPr>
              <w:t>5.5其他人员培训教育</w:t>
            </w:r>
          </w:p>
          <w:p>
            <w:pPr>
              <w:spacing w:line="280" w:lineRule="exact"/>
              <w:rPr>
                <w:rFonts w:ascii="宋体" w:hAnsi="宋体" w:cs="宋体"/>
                <w:b/>
                <w:bCs/>
                <w:szCs w:val="21"/>
              </w:rPr>
            </w:pPr>
            <w:r>
              <w:rPr>
                <w:rFonts w:hint="eastAsia" w:ascii="宋体" w:hAnsi="宋体" w:cs="宋体"/>
                <w:b/>
                <w:bCs/>
                <w:szCs w:val="21"/>
              </w:rPr>
              <w:t>（10分）</w:t>
            </w:r>
          </w:p>
        </w:tc>
        <w:tc>
          <w:tcPr>
            <w:tcW w:w="2409" w:type="dxa"/>
          </w:tcPr>
          <w:p>
            <w:pPr>
              <w:spacing w:line="280" w:lineRule="exact"/>
              <w:rPr>
                <w:rFonts w:ascii="宋体" w:hAnsi="宋体" w:cs="宋体"/>
                <w:szCs w:val="21"/>
              </w:rPr>
            </w:pPr>
            <w:r>
              <w:rPr>
                <w:rFonts w:hint="eastAsia" w:ascii="宋体" w:hAnsi="宋体" w:cs="宋体"/>
                <w:szCs w:val="21"/>
              </w:rPr>
              <w:t>1.企业从业人员转岗、脱离岗位一年以上(含一年)者，应进行车间（工段）、班组级安全培训教育，经考核合格后，方可上岗。</w:t>
            </w:r>
          </w:p>
        </w:tc>
        <w:tc>
          <w:tcPr>
            <w:tcW w:w="2268" w:type="dxa"/>
          </w:tcPr>
          <w:p>
            <w:pPr>
              <w:spacing w:line="280" w:lineRule="exact"/>
              <w:rPr>
                <w:rFonts w:ascii="宋体" w:hAnsi="宋体" w:cs="宋体"/>
                <w:szCs w:val="21"/>
              </w:rPr>
            </w:pPr>
            <w:r>
              <w:rPr>
                <w:rFonts w:hint="eastAsia" w:ascii="宋体" w:hAnsi="宋体" w:cs="宋体"/>
                <w:szCs w:val="21"/>
              </w:rPr>
              <w:t>从业人员转岗、脱离岗位一年以上(含一年)者，应进行车间（工段）、班组级安全培训教育，经考核合格后，方可上岗。</w:t>
            </w:r>
          </w:p>
        </w:tc>
        <w:tc>
          <w:tcPr>
            <w:tcW w:w="2268" w:type="dxa"/>
          </w:tcPr>
          <w:p>
            <w:pPr>
              <w:spacing w:line="280" w:lineRule="exact"/>
              <w:rPr>
                <w:rFonts w:ascii="宋体" w:hAnsi="宋体" w:cs="宋体"/>
                <w:szCs w:val="21"/>
              </w:rPr>
            </w:pPr>
            <w:r>
              <w:rPr>
                <w:rFonts w:hint="eastAsia" w:ascii="宋体" w:hAnsi="宋体" w:cs="宋体"/>
                <w:szCs w:val="21"/>
              </w:rPr>
              <w:t>查文件：</w:t>
            </w:r>
          </w:p>
          <w:p>
            <w:pPr>
              <w:spacing w:line="280" w:lineRule="exact"/>
              <w:rPr>
                <w:rFonts w:ascii="宋体" w:hAnsi="宋体" w:cs="宋体"/>
                <w:szCs w:val="21"/>
              </w:rPr>
            </w:pPr>
            <w:r>
              <w:rPr>
                <w:rFonts w:hint="eastAsia" w:ascii="宋体" w:hAnsi="宋体" w:cs="宋体"/>
                <w:szCs w:val="21"/>
              </w:rPr>
              <w:t>从业人员安全培训教育档案。</w:t>
            </w:r>
          </w:p>
        </w:tc>
        <w:tc>
          <w:tcPr>
            <w:tcW w:w="1701" w:type="dxa"/>
          </w:tcPr>
          <w:p>
            <w:pPr>
              <w:spacing w:line="280" w:lineRule="exact"/>
              <w:rPr>
                <w:rFonts w:ascii="宋体" w:hAnsi="宋体" w:cs="宋体"/>
                <w:szCs w:val="21"/>
              </w:rPr>
            </w:pPr>
          </w:p>
        </w:tc>
        <w:tc>
          <w:tcPr>
            <w:tcW w:w="2268" w:type="dxa"/>
          </w:tcPr>
          <w:p>
            <w:pPr>
              <w:spacing w:line="280" w:lineRule="exact"/>
              <w:rPr>
                <w:rFonts w:ascii="宋体" w:hAnsi="宋体" w:cs="宋体"/>
                <w:szCs w:val="21"/>
              </w:rPr>
            </w:pPr>
            <w:r>
              <w:rPr>
                <w:rFonts w:hint="eastAsia" w:ascii="宋体" w:hAnsi="宋体" w:cs="宋体"/>
                <w:szCs w:val="21"/>
              </w:rPr>
              <w:t>未进行车间（工段）、班组级安全培训教育，1人次扣2分；缺一级培训，1人次扣2分。</w:t>
            </w:r>
          </w:p>
        </w:tc>
        <w:tc>
          <w:tcPr>
            <w:tcW w:w="1165" w:type="dxa"/>
            <w:vAlign w:val="center"/>
          </w:tcPr>
          <w:p>
            <w:pPr>
              <w:spacing w:line="280" w:lineRule="exact"/>
              <w:jc w:val="center"/>
              <w:rPr>
                <w:rFonts w:ascii="宋体" w:hAnsi="宋体" w:cs="宋体"/>
                <w:szCs w:val="21"/>
              </w:rPr>
            </w:pPr>
            <w:r>
              <w:rPr>
                <w:rFonts w:hint="eastAsia" w:ascii="宋体" w:hAnsi="宋体" w:cs="宋体"/>
                <w:szCs w:val="21"/>
              </w:rPr>
              <w:t>符合要求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771" w:type="dxa"/>
            <w:vMerge w:val="continue"/>
          </w:tcPr>
          <w:p>
            <w:pPr>
              <w:spacing w:line="280" w:lineRule="exact"/>
              <w:rPr>
                <w:rFonts w:ascii="宋体" w:hAnsi="宋体" w:cs="宋体"/>
                <w:b/>
                <w:bCs/>
                <w:szCs w:val="21"/>
              </w:rPr>
            </w:pPr>
          </w:p>
        </w:tc>
        <w:tc>
          <w:tcPr>
            <w:tcW w:w="709" w:type="dxa"/>
            <w:vMerge w:val="continue"/>
          </w:tcPr>
          <w:p>
            <w:pPr>
              <w:spacing w:line="280" w:lineRule="exact"/>
              <w:rPr>
                <w:rFonts w:ascii="宋体" w:hAnsi="宋体" w:cs="宋体"/>
                <w:b/>
                <w:bCs/>
                <w:szCs w:val="21"/>
              </w:rPr>
            </w:pPr>
          </w:p>
        </w:tc>
        <w:tc>
          <w:tcPr>
            <w:tcW w:w="2409" w:type="dxa"/>
          </w:tcPr>
          <w:p>
            <w:pPr>
              <w:spacing w:line="280" w:lineRule="exact"/>
              <w:rPr>
                <w:rFonts w:ascii="宋体" w:hAnsi="宋体" w:cs="宋体"/>
                <w:szCs w:val="21"/>
              </w:rPr>
            </w:pPr>
            <w:r>
              <w:rPr>
                <w:rFonts w:hint="eastAsia" w:ascii="宋体" w:hAnsi="宋体" w:cs="宋体"/>
                <w:szCs w:val="21"/>
              </w:rPr>
              <w:t>2.企业应对外来参观、学习等人员进行有关安全规定及安全注意事项的培训教育。</w:t>
            </w:r>
          </w:p>
        </w:tc>
        <w:tc>
          <w:tcPr>
            <w:tcW w:w="2268" w:type="dxa"/>
          </w:tcPr>
          <w:p>
            <w:pPr>
              <w:spacing w:line="280" w:lineRule="exact"/>
              <w:rPr>
                <w:rFonts w:ascii="宋体" w:hAnsi="宋体" w:cs="宋体"/>
                <w:szCs w:val="21"/>
              </w:rPr>
            </w:pPr>
            <w:r>
              <w:rPr>
                <w:rFonts w:hint="eastAsia" w:ascii="宋体" w:hAnsi="宋体" w:cs="宋体"/>
                <w:szCs w:val="21"/>
              </w:rPr>
              <w:t>对外来参观、学习等人员进行有关安全规定及安全注意事项的培训教育。</w:t>
            </w:r>
          </w:p>
        </w:tc>
        <w:tc>
          <w:tcPr>
            <w:tcW w:w="2268" w:type="dxa"/>
          </w:tcPr>
          <w:p>
            <w:pPr>
              <w:spacing w:line="280" w:lineRule="exact"/>
              <w:rPr>
                <w:rFonts w:ascii="宋体" w:hAnsi="宋体" w:cs="宋体"/>
                <w:szCs w:val="21"/>
              </w:rPr>
            </w:pPr>
            <w:r>
              <w:rPr>
                <w:rFonts w:hint="eastAsia" w:ascii="宋体" w:hAnsi="宋体" w:cs="宋体"/>
                <w:szCs w:val="21"/>
              </w:rPr>
              <w:t>查文件：</w:t>
            </w:r>
          </w:p>
          <w:p>
            <w:pPr>
              <w:spacing w:line="280" w:lineRule="exact"/>
              <w:rPr>
                <w:rFonts w:ascii="宋体" w:hAnsi="宋体" w:cs="宋体"/>
                <w:szCs w:val="21"/>
              </w:rPr>
            </w:pPr>
            <w:r>
              <w:rPr>
                <w:rFonts w:hint="eastAsia" w:ascii="宋体" w:hAnsi="宋体" w:cs="宋体"/>
                <w:szCs w:val="21"/>
              </w:rPr>
              <w:t>外来参观、学习等人员培训记录。</w:t>
            </w:r>
          </w:p>
        </w:tc>
        <w:tc>
          <w:tcPr>
            <w:tcW w:w="1701" w:type="dxa"/>
          </w:tcPr>
          <w:p>
            <w:pPr>
              <w:spacing w:line="280" w:lineRule="exact"/>
              <w:rPr>
                <w:rFonts w:ascii="宋体" w:hAnsi="宋体" w:cs="宋体"/>
                <w:szCs w:val="21"/>
              </w:rPr>
            </w:pPr>
          </w:p>
        </w:tc>
        <w:tc>
          <w:tcPr>
            <w:tcW w:w="2268" w:type="dxa"/>
          </w:tcPr>
          <w:p>
            <w:pPr>
              <w:spacing w:line="280" w:lineRule="exact"/>
              <w:rPr>
                <w:rFonts w:ascii="宋体" w:hAnsi="宋体" w:cs="宋体"/>
                <w:szCs w:val="21"/>
              </w:rPr>
            </w:pPr>
            <w:r>
              <w:rPr>
                <w:rFonts w:hint="eastAsia" w:ascii="宋体" w:hAnsi="宋体" w:cs="宋体"/>
                <w:szCs w:val="21"/>
              </w:rPr>
              <w:t>不符合标准要求，1人次扣2分。</w:t>
            </w:r>
          </w:p>
        </w:tc>
        <w:tc>
          <w:tcPr>
            <w:tcW w:w="1165" w:type="dxa"/>
            <w:vAlign w:val="center"/>
          </w:tcPr>
          <w:p>
            <w:pPr>
              <w:spacing w:line="280" w:lineRule="exact"/>
              <w:jc w:val="center"/>
              <w:rPr>
                <w:rFonts w:ascii="宋体" w:hAnsi="宋体" w:cs="宋体"/>
                <w:szCs w:val="21"/>
              </w:rPr>
            </w:pPr>
            <w:r>
              <w:rPr>
                <w:rFonts w:hint="eastAsia" w:ascii="宋体" w:hAnsi="宋体" w:cs="宋体"/>
                <w:szCs w:val="21"/>
              </w:rPr>
              <w:t>缺少外来参观、学习等人员培训记录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771" w:type="dxa"/>
            <w:vMerge w:val="continue"/>
          </w:tcPr>
          <w:p>
            <w:pPr>
              <w:spacing w:line="280" w:lineRule="exact"/>
              <w:rPr>
                <w:rFonts w:ascii="宋体" w:hAnsi="宋体" w:cs="宋体"/>
                <w:b/>
                <w:bCs/>
                <w:szCs w:val="21"/>
              </w:rPr>
            </w:pPr>
          </w:p>
        </w:tc>
        <w:tc>
          <w:tcPr>
            <w:tcW w:w="709" w:type="dxa"/>
            <w:vMerge w:val="continue"/>
          </w:tcPr>
          <w:p>
            <w:pPr>
              <w:spacing w:line="280" w:lineRule="exact"/>
              <w:rPr>
                <w:rFonts w:ascii="宋体" w:hAnsi="宋体" w:cs="宋体"/>
                <w:b/>
                <w:bCs/>
                <w:szCs w:val="21"/>
              </w:rPr>
            </w:pPr>
          </w:p>
        </w:tc>
        <w:tc>
          <w:tcPr>
            <w:tcW w:w="2409" w:type="dxa"/>
          </w:tcPr>
          <w:p>
            <w:pPr>
              <w:spacing w:line="280" w:lineRule="exact"/>
              <w:rPr>
                <w:rFonts w:ascii="宋体" w:hAnsi="宋体" w:cs="宋体"/>
                <w:szCs w:val="21"/>
              </w:rPr>
            </w:pPr>
            <w:r>
              <w:rPr>
                <w:rFonts w:hint="eastAsia" w:ascii="宋体" w:hAnsi="宋体" w:cs="宋体"/>
                <w:szCs w:val="21"/>
              </w:rPr>
              <w:t>3.企业应对承包商的作业人员进行入厂安全培训教育，经考核合格发放入厂证，保存安全培训教育记录。进入作业现场前，作业现场所在基层单位应对施工单位的作业人员进行进入现场前安全培训教育，保存安全培训教育记录。</w:t>
            </w:r>
          </w:p>
        </w:tc>
        <w:tc>
          <w:tcPr>
            <w:tcW w:w="2268" w:type="dxa"/>
          </w:tcPr>
          <w:p>
            <w:pPr>
              <w:spacing w:line="280" w:lineRule="exact"/>
              <w:rPr>
                <w:rFonts w:ascii="宋体" w:hAnsi="宋体" w:cs="宋体"/>
                <w:szCs w:val="21"/>
              </w:rPr>
            </w:pPr>
            <w:r>
              <w:rPr>
                <w:rFonts w:hint="eastAsia" w:ascii="宋体" w:hAnsi="宋体" w:cs="宋体"/>
                <w:szCs w:val="21"/>
              </w:rPr>
              <w:t>1.对承包商的所有人员进行入厂安全培训教育，经考核合格发放入厂证；</w:t>
            </w:r>
          </w:p>
          <w:p>
            <w:pPr>
              <w:spacing w:line="280" w:lineRule="exact"/>
              <w:rPr>
                <w:rFonts w:ascii="宋体" w:hAnsi="宋体" w:cs="宋体"/>
                <w:szCs w:val="21"/>
              </w:rPr>
            </w:pPr>
            <w:r>
              <w:rPr>
                <w:rFonts w:hint="eastAsia" w:ascii="宋体" w:hAnsi="宋体" w:cs="宋体"/>
                <w:szCs w:val="21"/>
              </w:rPr>
              <w:t>2.进入作业现场前，作业现场所在基层单位对施工单位进行进入现场前安全培训教育；</w:t>
            </w:r>
          </w:p>
          <w:p>
            <w:pPr>
              <w:spacing w:line="280" w:lineRule="exact"/>
              <w:rPr>
                <w:rFonts w:ascii="宋体" w:hAnsi="宋体" w:cs="宋体"/>
                <w:szCs w:val="21"/>
              </w:rPr>
            </w:pPr>
            <w:r>
              <w:rPr>
                <w:rFonts w:hint="eastAsia" w:ascii="宋体" w:hAnsi="宋体" w:cs="宋体"/>
                <w:szCs w:val="21"/>
              </w:rPr>
              <w:t>3.保存安全培训教育记录。</w:t>
            </w:r>
          </w:p>
        </w:tc>
        <w:tc>
          <w:tcPr>
            <w:tcW w:w="2268" w:type="dxa"/>
          </w:tcPr>
          <w:p>
            <w:pPr>
              <w:spacing w:line="280" w:lineRule="exact"/>
              <w:rPr>
                <w:rFonts w:ascii="宋体" w:hAnsi="宋体" w:cs="宋体"/>
                <w:szCs w:val="21"/>
              </w:rPr>
            </w:pPr>
            <w:r>
              <w:rPr>
                <w:rFonts w:hint="eastAsia" w:ascii="宋体" w:hAnsi="宋体" w:cs="宋体"/>
                <w:szCs w:val="21"/>
              </w:rPr>
              <w:t>查文件：</w:t>
            </w:r>
          </w:p>
          <w:p>
            <w:pPr>
              <w:spacing w:line="280" w:lineRule="exact"/>
              <w:rPr>
                <w:rFonts w:ascii="宋体" w:hAnsi="宋体" w:cs="宋体"/>
                <w:szCs w:val="21"/>
              </w:rPr>
            </w:pPr>
            <w:r>
              <w:rPr>
                <w:rFonts w:hint="eastAsia" w:ascii="宋体" w:hAnsi="宋体" w:cs="宋体"/>
                <w:szCs w:val="21"/>
              </w:rPr>
              <w:t>1.厂级承包商安全培训教育记录；</w:t>
            </w:r>
          </w:p>
          <w:p>
            <w:pPr>
              <w:spacing w:line="280" w:lineRule="exact"/>
              <w:rPr>
                <w:rFonts w:ascii="宋体" w:hAnsi="宋体" w:cs="宋体"/>
                <w:szCs w:val="21"/>
              </w:rPr>
            </w:pPr>
            <w:r>
              <w:rPr>
                <w:rFonts w:hint="eastAsia" w:ascii="宋体" w:hAnsi="宋体" w:cs="宋体"/>
                <w:szCs w:val="21"/>
              </w:rPr>
              <w:t>2.基层单位承包商安全培训教育记录。</w:t>
            </w:r>
          </w:p>
          <w:p>
            <w:pPr>
              <w:spacing w:line="280" w:lineRule="exact"/>
              <w:rPr>
                <w:rFonts w:ascii="宋体" w:hAnsi="宋体" w:cs="宋体"/>
                <w:szCs w:val="21"/>
              </w:rPr>
            </w:pPr>
            <w:r>
              <w:rPr>
                <w:rFonts w:hint="eastAsia" w:ascii="宋体" w:hAnsi="宋体" w:cs="宋体"/>
                <w:szCs w:val="21"/>
              </w:rPr>
              <w:t>询问：</w:t>
            </w:r>
          </w:p>
          <w:p>
            <w:pPr>
              <w:spacing w:line="280" w:lineRule="exact"/>
              <w:rPr>
                <w:rFonts w:ascii="宋体" w:hAnsi="宋体" w:cs="宋体"/>
                <w:szCs w:val="21"/>
              </w:rPr>
            </w:pPr>
            <w:r>
              <w:rPr>
                <w:rFonts w:hint="eastAsia" w:ascii="宋体" w:hAnsi="宋体" w:cs="宋体"/>
                <w:szCs w:val="21"/>
              </w:rPr>
              <w:t>外来施工单位接受企业培训教育情况。</w:t>
            </w:r>
          </w:p>
          <w:p>
            <w:pPr>
              <w:spacing w:line="280" w:lineRule="exact"/>
              <w:rPr>
                <w:rFonts w:ascii="宋体" w:hAnsi="宋体" w:cs="宋体"/>
                <w:szCs w:val="21"/>
              </w:rPr>
            </w:pPr>
            <w:r>
              <w:rPr>
                <w:rFonts w:hint="eastAsia" w:ascii="宋体" w:hAnsi="宋体" w:cs="宋体"/>
                <w:szCs w:val="21"/>
              </w:rPr>
              <w:t>现场检查：</w:t>
            </w:r>
          </w:p>
          <w:p>
            <w:pPr>
              <w:spacing w:line="280" w:lineRule="exact"/>
              <w:rPr>
                <w:rFonts w:ascii="宋体" w:hAnsi="宋体" w:cs="宋体"/>
                <w:szCs w:val="21"/>
              </w:rPr>
            </w:pPr>
            <w:r>
              <w:rPr>
                <w:rFonts w:hint="eastAsia" w:ascii="宋体" w:hAnsi="宋体" w:cs="宋体"/>
                <w:szCs w:val="21"/>
              </w:rPr>
              <w:t>抽查外来施工单位入厂证。</w:t>
            </w:r>
          </w:p>
        </w:tc>
        <w:tc>
          <w:tcPr>
            <w:tcW w:w="1701" w:type="dxa"/>
          </w:tcPr>
          <w:p>
            <w:pPr>
              <w:spacing w:line="280" w:lineRule="exact"/>
              <w:rPr>
                <w:rFonts w:ascii="宋体" w:hAnsi="宋体" w:cs="宋体"/>
                <w:szCs w:val="21"/>
              </w:rPr>
            </w:pPr>
          </w:p>
        </w:tc>
        <w:tc>
          <w:tcPr>
            <w:tcW w:w="2268" w:type="dxa"/>
          </w:tcPr>
          <w:p>
            <w:pPr>
              <w:spacing w:line="280" w:lineRule="exact"/>
              <w:rPr>
                <w:rFonts w:ascii="宋体" w:hAnsi="宋体" w:cs="宋体"/>
                <w:szCs w:val="21"/>
              </w:rPr>
            </w:pPr>
            <w:r>
              <w:rPr>
                <w:rFonts w:hint="eastAsia" w:ascii="宋体" w:hAnsi="宋体" w:cs="宋体"/>
                <w:szCs w:val="21"/>
              </w:rPr>
              <w:t>1.未对承包商的所有人员进行相关安全培训教育，1人次扣2分；培训教育内容不符合有关要求，扣2分；</w:t>
            </w:r>
          </w:p>
          <w:p>
            <w:pPr>
              <w:spacing w:line="280" w:lineRule="exact"/>
              <w:rPr>
                <w:rFonts w:ascii="宋体" w:hAnsi="宋体" w:cs="宋体"/>
                <w:szCs w:val="21"/>
              </w:rPr>
            </w:pPr>
            <w:r>
              <w:rPr>
                <w:rFonts w:hint="eastAsia" w:ascii="宋体" w:hAnsi="宋体" w:cs="宋体"/>
                <w:szCs w:val="21"/>
              </w:rPr>
              <w:t>2.承包商的人员无入厂证，1人次扣2分；</w:t>
            </w:r>
          </w:p>
          <w:p>
            <w:pPr>
              <w:spacing w:line="280" w:lineRule="exact"/>
              <w:rPr>
                <w:rFonts w:ascii="宋体" w:hAnsi="宋体" w:cs="宋体"/>
                <w:szCs w:val="21"/>
              </w:rPr>
            </w:pPr>
            <w:r>
              <w:rPr>
                <w:rFonts w:hint="eastAsia" w:ascii="宋体" w:hAnsi="宋体" w:cs="宋体"/>
                <w:szCs w:val="21"/>
              </w:rPr>
              <w:t>3.未建立承包商的人员安全培训教育记录，1人次扣1分。</w:t>
            </w:r>
          </w:p>
        </w:tc>
        <w:tc>
          <w:tcPr>
            <w:tcW w:w="1165" w:type="dxa"/>
            <w:vAlign w:val="center"/>
          </w:tcPr>
          <w:p>
            <w:pPr>
              <w:spacing w:line="280" w:lineRule="exact"/>
              <w:jc w:val="center"/>
              <w:rPr>
                <w:rFonts w:ascii="宋体" w:hAnsi="宋体" w:cs="宋体"/>
                <w:szCs w:val="21"/>
              </w:rPr>
            </w:pPr>
            <w:r>
              <w:rPr>
                <w:rFonts w:hint="eastAsia" w:ascii="宋体" w:hAnsi="宋体" w:cs="宋体"/>
                <w:szCs w:val="21"/>
              </w:rPr>
              <w:t>符合要求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771" w:type="dxa"/>
            <w:vMerge w:val="continue"/>
          </w:tcPr>
          <w:p>
            <w:pPr>
              <w:spacing w:line="280" w:lineRule="exact"/>
              <w:rPr>
                <w:rFonts w:ascii="宋体" w:hAnsi="宋体" w:cs="宋体"/>
                <w:b/>
                <w:bCs/>
                <w:szCs w:val="21"/>
              </w:rPr>
            </w:pPr>
          </w:p>
        </w:tc>
        <w:tc>
          <w:tcPr>
            <w:tcW w:w="709" w:type="dxa"/>
            <w:vMerge w:val="restart"/>
          </w:tcPr>
          <w:p>
            <w:pPr>
              <w:spacing w:line="280" w:lineRule="exact"/>
              <w:rPr>
                <w:rFonts w:ascii="宋体" w:hAnsi="宋体" w:cs="宋体"/>
                <w:b/>
                <w:bCs/>
                <w:szCs w:val="21"/>
              </w:rPr>
            </w:pPr>
            <w:r>
              <w:rPr>
                <w:rFonts w:hint="eastAsia" w:ascii="宋体" w:hAnsi="宋体" w:cs="宋体"/>
                <w:b/>
                <w:bCs/>
                <w:szCs w:val="21"/>
              </w:rPr>
              <w:t>5.6日常安全教育</w:t>
            </w:r>
          </w:p>
          <w:p>
            <w:pPr>
              <w:spacing w:line="280" w:lineRule="exact"/>
              <w:rPr>
                <w:rFonts w:ascii="宋体" w:hAnsi="宋体" w:cs="宋体"/>
                <w:b/>
                <w:bCs/>
                <w:szCs w:val="21"/>
              </w:rPr>
            </w:pPr>
            <w:r>
              <w:rPr>
                <w:rFonts w:hint="eastAsia" w:ascii="宋体" w:hAnsi="宋体" w:cs="宋体"/>
                <w:b/>
                <w:bCs/>
                <w:szCs w:val="21"/>
              </w:rPr>
              <w:t>(10分)</w:t>
            </w:r>
          </w:p>
        </w:tc>
        <w:tc>
          <w:tcPr>
            <w:tcW w:w="2409" w:type="dxa"/>
          </w:tcPr>
          <w:p>
            <w:pPr>
              <w:spacing w:line="280" w:lineRule="exact"/>
              <w:rPr>
                <w:rFonts w:ascii="宋体" w:hAnsi="宋体" w:cs="宋体"/>
                <w:szCs w:val="21"/>
              </w:rPr>
            </w:pPr>
            <w:r>
              <w:rPr>
                <w:rFonts w:hint="eastAsia" w:ascii="宋体" w:hAnsi="宋体" w:cs="宋体"/>
                <w:szCs w:val="21"/>
              </w:rPr>
              <w:t>1.企业管理部门、班组应按照月度安全活动计划开展安全活动和基本功训练。</w:t>
            </w:r>
          </w:p>
        </w:tc>
        <w:tc>
          <w:tcPr>
            <w:tcW w:w="2268" w:type="dxa"/>
          </w:tcPr>
          <w:p>
            <w:pPr>
              <w:spacing w:line="280" w:lineRule="exact"/>
              <w:rPr>
                <w:rFonts w:ascii="宋体" w:hAnsi="宋体" w:cs="宋体"/>
                <w:szCs w:val="21"/>
              </w:rPr>
            </w:pPr>
            <w:r>
              <w:rPr>
                <w:rFonts w:hint="eastAsia" w:ascii="宋体" w:hAnsi="宋体" w:cs="宋体"/>
                <w:szCs w:val="21"/>
              </w:rPr>
              <w:t>1.管理部门、班组应明确基本功训练项目、内容和要求；</w:t>
            </w:r>
          </w:p>
          <w:p>
            <w:pPr>
              <w:spacing w:line="280" w:lineRule="exact"/>
              <w:rPr>
                <w:rFonts w:ascii="宋体" w:hAnsi="宋体" w:cs="宋体"/>
                <w:szCs w:val="21"/>
              </w:rPr>
            </w:pPr>
            <w:r>
              <w:rPr>
                <w:rFonts w:hint="eastAsia" w:ascii="宋体" w:hAnsi="宋体" w:cs="宋体"/>
                <w:szCs w:val="21"/>
              </w:rPr>
              <w:t>2.按照月度安全活动计划开展安全活动和基本功训练。</w:t>
            </w:r>
          </w:p>
        </w:tc>
        <w:tc>
          <w:tcPr>
            <w:tcW w:w="2268" w:type="dxa"/>
          </w:tcPr>
          <w:p>
            <w:pPr>
              <w:spacing w:line="280" w:lineRule="exact"/>
              <w:rPr>
                <w:rFonts w:ascii="宋体" w:hAnsi="宋体" w:cs="宋体"/>
                <w:szCs w:val="21"/>
              </w:rPr>
            </w:pPr>
            <w:r>
              <w:rPr>
                <w:rFonts w:hint="eastAsia" w:ascii="宋体" w:hAnsi="宋体" w:cs="宋体"/>
                <w:szCs w:val="21"/>
              </w:rPr>
              <w:t>查文件：</w:t>
            </w:r>
          </w:p>
          <w:p>
            <w:pPr>
              <w:spacing w:line="280" w:lineRule="exact"/>
              <w:rPr>
                <w:rFonts w:ascii="宋体" w:hAnsi="宋体" w:cs="宋体"/>
                <w:szCs w:val="21"/>
              </w:rPr>
            </w:pPr>
            <w:r>
              <w:rPr>
                <w:rFonts w:hint="eastAsia" w:ascii="宋体" w:hAnsi="宋体" w:cs="宋体"/>
                <w:szCs w:val="21"/>
              </w:rPr>
              <w:t>1.安全活动计划；</w:t>
            </w:r>
          </w:p>
          <w:p>
            <w:pPr>
              <w:spacing w:line="280" w:lineRule="exact"/>
              <w:rPr>
                <w:rFonts w:ascii="宋体" w:hAnsi="宋体" w:cs="宋体"/>
                <w:szCs w:val="21"/>
              </w:rPr>
            </w:pPr>
            <w:r>
              <w:rPr>
                <w:rFonts w:hint="eastAsia" w:ascii="宋体" w:hAnsi="宋体" w:cs="宋体"/>
                <w:szCs w:val="21"/>
              </w:rPr>
              <w:t>2.管理部门和班组安全活动、基本功训练记录。</w:t>
            </w:r>
          </w:p>
        </w:tc>
        <w:tc>
          <w:tcPr>
            <w:tcW w:w="1701" w:type="dxa"/>
          </w:tcPr>
          <w:p>
            <w:pPr>
              <w:spacing w:line="280" w:lineRule="exact"/>
              <w:rPr>
                <w:rFonts w:ascii="宋体" w:hAnsi="宋体" w:cs="宋体"/>
                <w:szCs w:val="21"/>
              </w:rPr>
            </w:pPr>
          </w:p>
        </w:tc>
        <w:tc>
          <w:tcPr>
            <w:tcW w:w="2268" w:type="dxa"/>
          </w:tcPr>
          <w:p>
            <w:pPr>
              <w:spacing w:line="280" w:lineRule="exact"/>
              <w:rPr>
                <w:rFonts w:ascii="宋体" w:hAnsi="宋体" w:cs="宋体"/>
                <w:szCs w:val="21"/>
              </w:rPr>
            </w:pPr>
            <w:r>
              <w:rPr>
                <w:rFonts w:hint="eastAsia" w:ascii="宋体" w:hAnsi="宋体" w:cs="宋体"/>
                <w:szCs w:val="21"/>
              </w:rPr>
              <w:t>1.基本功训练项目、内容和要求不明确，一项扣1分；</w:t>
            </w:r>
          </w:p>
          <w:p>
            <w:pPr>
              <w:spacing w:line="280" w:lineRule="exact"/>
              <w:rPr>
                <w:rFonts w:ascii="宋体" w:hAnsi="宋体" w:cs="宋体"/>
                <w:szCs w:val="21"/>
              </w:rPr>
            </w:pPr>
            <w:r>
              <w:rPr>
                <w:rFonts w:hint="eastAsia" w:ascii="宋体" w:hAnsi="宋体" w:cs="宋体"/>
                <w:szCs w:val="21"/>
              </w:rPr>
              <w:t>2．未按计划开展安全活动，缺1次扣1分。</w:t>
            </w:r>
          </w:p>
        </w:tc>
        <w:tc>
          <w:tcPr>
            <w:tcW w:w="1165" w:type="dxa"/>
            <w:vAlign w:val="center"/>
          </w:tcPr>
          <w:p>
            <w:pPr>
              <w:spacing w:line="280" w:lineRule="exact"/>
              <w:jc w:val="center"/>
              <w:rPr>
                <w:rFonts w:ascii="宋体" w:hAnsi="宋体" w:cs="宋体"/>
                <w:szCs w:val="21"/>
              </w:rPr>
            </w:pPr>
            <w:r>
              <w:rPr>
                <w:rFonts w:hint="eastAsia" w:ascii="宋体" w:hAnsi="宋体" w:cs="宋体"/>
                <w:szCs w:val="21"/>
              </w:rPr>
              <w:t>符合要求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771" w:type="dxa"/>
            <w:vMerge w:val="continue"/>
          </w:tcPr>
          <w:p>
            <w:pPr>
              <w:spacing w:line="280" w:lineRule="exact"/>
              <w:rPr>
                <w:rFonts w:ascii="宋体" w:hAnsi="宋体" w:cs="宋体"/>
                <w:b/>
                <w:bCs/>
                <w:szCs w:val="21"/>
              </w:rPr>
            </w:pPr>
          </w:p>
        </w:tc>
        <w:tc>
          <w:tcPr>
            <w:tcW w:w="709" w:type="dxa"/>
            <w:vMerge w:val="continue"/>
          </w:tcPr>
          <w:p>
            <w:pPr>
              <w:spacing w:line="280" w:lineRule="exact"/>
              <w:rPr>
                <w:rFonts w:ascii="宋体" w:hAnsi="宋体" w:cs="宋体"/>
                <w:b/>
                <w:bCs/>
                <w:szCs w:val="21"/>
              </w:rPr>
            </w:pPr>
          </w:p>
        </w:tc>
        <w:tc>
          <w:tcPr>
            <w:tcW w:w="2409" w:type="dxa"/>
          </w:tcPr>
          <w:p>
            <w:pPr>
              <w:spacing w:line="280" w:lineRule="exact"/>
              <w:rPr>
                <w:rFonts w:ascii="宋体" w:hAnsi="宋体" w:cs="宋体"/>
                <w:szCs w:val="21"/>
              </w:rPr>
            </w:pPr>
            <w:r>
              <w:rPr>
                <w:rFonts w:hint="eastAsia" w:ascii="宋体" w:hAnsi="宋体" w:cs="宋体"/>
                <w:szCs w:val="21"/>
              </w:rPr>
              <w:t>2.班组安全活动每月不少于2次，每次活动时间不少于1学时。班组安全活动应有负责人、有计划、有内容、有记录。企业负责人应每月至少参加1次班组安全活动，基层单位负责人及其管理人员应每月至少参加2次班组安全活动。</w:t>
            </w:r>
          </w:p>
        </w:tc>
        <w:tc>
          <w:tcPr>
            <w:tcW w:w="2268" w:type="dxa"/>
          </w:tcPr>
          <w:p>
            <w:pPr>
              <w:spacing w:line="280" w:lineRule="exact"/>
              <w:rPr>
                <w:rFonts w:ascii="宋体" w:hAnsi="宋体" w:cs="宋体"/>
                <w:szCs w:val="21"/>
              </w:rPr>
            </w:pPr>
            <w:r>
              <w:rPr>
                <w:rFonts w:hint="eastAsia" w:ascii="宋体" w:hAnsi="宋体" w:cs="宋体"/>
                <w:szCs w:val="21"/>
              </w:rPr>
              <w:t>1.班组安全活动每月不少于2次，每次活动时间不少于1学时；</w:t>
            </w:r>
          </w:p>
          <w:p>
            <w:pPr>
              <w:spacing w:line="280" w:lineRule="exact"/>
              <w:rPr>
                <w:rFonts w:ascii="宋体" w:hAnsi="宋体" w:cs="宋体"/>
                <w:szCs w:val="21"/>
              </w:rPr>
            </w:pPr>
            <w:r>
              <w:rPr>
                <w:rFonts w:hint="eastAsia" w:ascii="宋体" w:hAnsi="宋体" w:cs="宋体"/>
                <w:szCs w:val="21"/>
              </w:rPr>
              <w:t>2.班组安全活动有负责人、有内容、有记录；</w:t>
            </w:r>
          </w:p>
          <w:p>
            <w:pPr>
              <w:spacing w:line="280" w:lineRule="exact"/>
              <w:rPr>
                <w:rFonts w:ascii="宋体" w:hAnsi="宋体" w:cs="宋体"/>
                <w:szCs w:val="21"/>
              </w:rPr>
            </w:pPr>
            <w:r>
              <w:rPr>
                <w:rFonts w:hint="eastAsia" w:ascii="宋体" w:hAnsi="宋体" w:cs="宋体"/>
                <w:szCs w:val="21"/>
              </w:rPr>
              <w:t>3.企业负责人每季度至少参加1次班组安全活动，基层单位负责人及其管理人员每月至少参加2次班组安全活动，并在班组安全活动记录上签字。</w:t>
            </w:r>
          </w:p>
        </w:tc>
        <w:tc>
          <w:tcPr>
            <w:tcW w:w="2268" w:type="dxa"/>
          </w:tcPr>
          <w:p>
            <w:pPr>
              <w:spacing w:line="280" w:lineRule="exact"/>
              <w:rPr>
                <w:rFonts w:ascii="宋体" w:hAnsi="宋体" w:cs="宋体"/>
                <w:szCs w:val="21"/>
              </w:rPr>
            </w:pPr>
            <w:r>
              <w:rPr>
                <w:rFonts w:hint="eastAsia" w:ascii="宋体" w:hAnsi="宋体" w:cs="宋体"/>
                <w:szCs w:val="21"/>
              </w:rPr>
              <w:t>查文件：</w:t>
            </w:r>
          </w:p>
          <w:p>
            <w:pPr>
              <w:spacing w:line="280" w:lineRule="exact"/>
              <w:rPr>
                <w:rFonts w:ascii="宋体" w:hAnsi="宋体" w:cs="宋体"/>
                <w:szCs w:val="21"/>
              </w:rPr>
            </w:pPr>
            <w:r>
              <w:rPr>
                <w:rFonts w:hint="eastAsia" w:ascii="宋体" w:hAnsi="宋体" w:cs="宋体"/>
                <w:szCs w:val="21"/>
              </w:rPr>
              <w:t>查班组安全活动记录。</w:t>
            </w:r>
          </w:p>
        </w:tc>
        <w:tc>
          <w:tcPr>
            <w:tcW w:w="1701" w:type="dxa"/>
          </w:tcPr>
          <w:p>
            <w:pPr>
              <w:spacing w:line="280" w:lineRule="exact"/>
              <w:rPr>
                <w:rFonts w:ascii="宋体" w:hAnsi="宋体" w:cs="宋体"/>
                <w:szCs w:val="21"/>
              </w:rPr>
            </w:pPr>
          </w:p>
        </w:tc>
        <w:tc>
          <w:tcPr>
            <w:tcW w:w="2268" w:type="dxa"/>
          </w:tcPr>
          <w:p>
            <w:pPr>
              <w:spacing w:line="280" w:lineRule="exact"/>
              <w:rPr>
                <w:rFonts w:ascii="宋体" w:hAnsi="宋体" w:cs="宋体"/>
                <w:szCs w:val="21"/>
              </w:rPr>
            </w:pPr>
            <w:r>
              <w:rPr>
                <w:rFonts w:hint="eastAsia" w:ascii="宋体" w:hAnsi="宋体" w:cs="宋体"/>
                <w:szCs w:val="21"/>
              </w:rPr>
              <w:t>1.班组安全活动频次、时间或内容不符合计划或规定要求，一项扣1分；</w:t>
            </w:r>
          </w:p>
          <w:p>
            <w:pPr>
              <w:spacing w:line="280" w:lineRule="exact"/>
              <w:rPr>
                <w:rFonts w:ascii="宋体" w:hAnsi="宋体" w:cs="宋体"/>
                <w:szCs w:val="21"/>
              </w:rPr>
            </w:pPr>
            <w:r>
              <w:rPr>
                <w:rFonts w:hint="eastAsia" w:ascii="宋体" w:hAnsi="宋体" w:cs="宋体"/>
                <w:szCs w:val="21"/>
              </w:rPr>
              <w:t>2.企业负责人、基层单位负责人及管理人员未按规定参加安全活动并签字，1人次扣1分。</w:t>
            </w:r>
          </w:p>
        </w:tc>
        <w:tc>
          <w:tcPr>
            <w:tcW w:w="1165" w:type="dxa"/>
            <w:vAlign w:val="center"/>
          </w:tcPr>
          <w:p>
            <w:pPr>
              <w:spacing w:line="280" w:lineRule="exact"/>
              <w:jc w:val="center"/>
              <w:rPr>
                <w:rFonts w:ascii="宋体" w:hAnsi="宋体" w:cs="宋体"/>
                <w:szCs w:val="21"/>
              </w:rPr>
            </w:pPr>
            <w:r>
              <w:rPr>
                <w:rFonts w:hint="eastAsia" w:ascii="宋体" w:hAnsi="宋体" w:cs="宋体"/>
                <w:szCs w:val="21"/>
              </w:rPr>
              <w:t>符合要求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771" w:type="dxa"/>
            <w:vMerge w:val="continue"/>
          </w:tcPr>
          <w:p>
            <w:pPr>
              <w:spacing w:line="280" w:lineRule="exact"/>
              <w:rPr>
                <w:rFonts w:ascii="宋体" w:hAnsi="宋体" w:cs="宋体"/>
                <w:b/>
                <w:bCs/>
                <w:szCs w:val="21"/>
              </w:rPr>
            </w:pPr>
          </w:p>
        </w:tc>
        <w:tc>
          <w:tcPr>
            <w:tcW w:w="709" w:type="dxa"/>
            <w:vMerge w:val="continue"/>
          </w:tcPr>
          <w:p>
            <w:pPr>
              <w:spacing w:line="280" w:lineRule="exact"/>
              <w:rPr>
                <w:rFonts w:ascii="宋体" w:hAnsi="宋体" w:cs="宋体"/>
                <w:b/>
                <w:bCs/>
                <w:szCs w:val="21"/>
              </w:rPr>
            </w:pPr>
          </w:p>
        </w:tc>
        <w:tc>
          <w:tcPr>
            <w:tcW w:w="2409" w:type="dxa"/>
          </w:tcPr>
          <w:p>
            <w:pPr>
              <w:spacing w:line="280" w:lineRule="exact"/>
              <w:rPr>
                <w:rFonts w:ascii="宋体" w:hAnsi="宋体" w:cs="宋体"/>
                <w:szCs w:val="21"/>
              </w:rPr>
            </w:pPr>
            <w:r>
              <w:rPr>
                <w:rFonts w:hint="eastAsia" w:ascii="宋体" w:hAnsi="宋体" w:cs="宋体"/>
                <w:szCs w:val="21"/>
              </w:rPr>
              <w:t>3.管理部门安全活动每月不少于1次，每次活动时间不少于2学时。</w:t>
            </w:r>
          </w:p>
        </w:tc>
        <w:tc>
          <w:tcPr>
            <w:tcW w:w="2268" w:type="dxa"/>
          </w:tcPr>
          <w:p>
            <w:pPr>
              <w:spacing w:line="280" w:lineRule="exact"/>
              <w:rPr>
                <w:rFonts w:ascii="宋体" w:hAnsi="宋体" w:cs="宋体"/>
                <w:szCs w:val="21"/>
              </w:rPr>
            </w:pPr>
            <w:r>
              <w:rPr>
                <w:rFonts w:hint="eastAsia" w:ascii="宋体" w:hAnsi="宋体" w:cs="宋体"/>
                <w:szCs w:val="21"/>
              </w:rPr>
              <w:t>管理部门安全活动每月不少于1次，每次活动时间不少于2学时。</w:t>
            </w:r>
          </w:p>
        </w:tc>
        <w:tc>
          <w:tcPr>
            <w:tcW w:w="2268" w:type="dxa"/>
          </w:tcPr>
          <w:p>
            <w:pPr>
              <w:spacing w:line="280" w:lineRule="exact"/>
              <w:rPr>
                <w:rFonts w:ascii="宋体" w:hAnsi="宋体" w:cs="宋体"/>
                <w:szCs w:val="21"/>
              </w:rPr>
            </w:pPr>
            <w:r>
              <w:rPr>
                <w:rFonts w:hint="eastAsia" w:ascii="宋体" w:hAnsi="宋体" w:cs="宋体"/>
                <w:szCs w:val="21"/>
              </w:rPr>
              <w:t>查文件：</w:t>
            </w:r>
          </w:p>
          <w:p>
            <w:pPr>
              <w:spacing w:line="280" w:lineRule="exact"/>
              <w:rPr>
                <w:rFonts w:ascii="宋体" w:hAnsi="宋体" w:cs="宋体"/>
                <w:szCs w:val="21"/>
              </w:rPr>
            </w:pPr>
            <w:r>
              <w:rPr>
                <w:rFonts w:hint="eastAsia" w:ascii="宋体" w:hAnsi="宋体" w:cs="宋体"/>
                <w:szCs w:val="21"/>
              </w:rPr>
              <w:t>部门安全活动记录。</w:t>
            </w:r>
          </w:p>
        </w:tc>
        <w:tc>
          <w:tcPr>
            <w:tcW w:w="1701" w:type="dxa"/>
          </w:tcPr>
          <w:p>
            <w:pPr>
              <w:spacing w:line="280" w:lineRule="exact"/>
              <w:rPr>
                <w:rFonts w:ascii="宋体" w:hAnsi="宋体" w:cs="宋体"/>
                <w:szCs w:val="21"/>
              </w:rPr>
            </w:pPr>
          </w:p>
        </w:tc>
        <w:tc>
          <w:tcPr>
            <w:tcW w:w="2268" w:type="dxa"/>
          </w:tcPr>
          <w:p>
            <w:pPr>
              <w:spacing w:line="280" w:lineRule="exact"/>
              <w:rPr>
                <w:rFonts w:ascii="宋体" w:hAnsi="宋体" w:cs="宋体"/>
                <w:szCs w:val="21"/>
              </w:rPr>
            </w:pPr>
            <w:r>
              <w:rPr>
                <w:rFonts w:hint="eastAsia" w:ascii="宋体" w:hAnsi="宋体" w:cs="宋体"/>
                <w:szCs w:val="21"/>
              </w:rPr>
              <w:t>未按计划或规定进行安全活动，1次扣1分。</w:t>
            </w:r>
          </w:p>
        </w:tc>
        <w:tc>
          <w:tcPr>
            <w:tcW w:w="1165" w:type="dxa"/>
            <w:vAlign w:val="center"/>
          </w:tcPr>
          <w:p>
            <w:pPr>
              <w:spacing w:line="280" w:lineRule="exact"/>
              <w:jc w:val="center"/>
              <w:rPr>
                <w:rFonts w:ascii="宋体" w:hAnsi="宋体" w:cs="宋体"/>
                <w:szCs w:val="21"/>
              </w:rPr>
            </w:pPr>
            <w:r>
              <w:rPr>
                <w:rFonts w:hint="eastAsia" w:ascii="宋体" w:hAnsi="宋体" w:cs="宋体"/>
                <w:szCs w:val="21"/>
              </w:rPr>
              <w:t>符合要求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771" w:type="dxa"/>
            <w:vMerge w:val="continue"/>
          </w:tcPr>
          <w:p>
            <w:pPr>
              <w:spacing w:line="280" w:lineRule="exact"/>
              <w:rPr>
                <w:rFonts w:ascii="宋体" w:hAnsi="宋体" w:cs="宋体"/>
                <w:b/>
                <w:bCs/>
                <w:szCs w:val="21"/>
              </w:rPr>
            </w:pPr>
          </w:p>
        </w:tc>
        <w:tc>
          <w:tcPr>
            <w:tcW w:w="709" w:type="dxa"/>
            <w:vMerge w:val="continue"/>
          </w:tcPr>
          <w:p>
            <w:pPr>
              <w:spacing w:line="280" w:lineRule="exact"/>
              <w:rPr>
                <w:rFonts w:ascii="宋体" w:hAnsi="宋体" w:cs="宋体"/>
                <w:b/>
                <w:bCs/>
                <w:szCs w:val="21"/>
              </w:rPr>
            </w:pPr>
          </w:p>
        </w:tc>
        <w:tc>
          <w:tcPr>
            <w:tcW w:w="2409" w:type="dxa"/>
          </w:tcPr>
          <w:p>
            <w:pPr>
              <w:spacing w:line="280" w:lineRule="exact"/>
              <w:rPr>
                <w:rFonts w:ascii="宋体" w:hAnsi="宋体" w:cs="宋体"/>
                <w:szCs w:val="21"/>
              </w:rPr>
            </w:pPr>
            <w:r>
              <w:rPr>
                <w:rFonts w:hint="eastAsia" w:ascii="宋体" w:hAnsi="宋体" w:cs="宋体"/>
                <w:szCs w:val="21"/>
              </w:rPr>
              <w:t>4.企业安全生产管理部门或专职安全生产管理人员应每月至少1次对安全活动记录进行检查，并签字。</w:t>
            </w:r>
          </w:p>
        </w:tc>
        <w:tc>
          <w:tcPr>
            <w:tcW w:w="2268" w:type="dxa"/>
          </w:tcPr>
          <w:p>
            <w:pPr>
              <w:spacing w:line="280" w:lineRule="exact"/>
              <w:rPr>
                <w:rFonts w:ascii="宋体" w:hAnsi="宋体" w:cs="宋体"/>
                <w:szCs w:val="21"/>
              </w:rPr>
            </w:pPr>
            <w:r>
              <w:rPr>
                <w:rFonts w:hint="eastAsia" w:ascii="宋体" w:hAnsi="宋体" w:cs="宋体"/>
                <w:szCs w:val="21"/>
              </w:rPr>
              <w:t>安全生产管理部门或专职安全生产管理人员每月至少检查1次安全活动记录，并签字。</w:t>
            </w:r>
          </w:p>
        </w:tc>
        <w:tc>
          <w:tcPr>
            <w:tcW w:w="2268" w:type="dxa"/>
          </w:tcPr>
          <w:p>
            <w:pPr>
              <w:spacing w:line="280" w:lineRule="exact"/>
              <w:rPr>
                <w:rFonts w:ascii="宋体" w:hAnsi="宋体" w:cs="宋体"/>
                <w:szCs w:val="21"/>
              </w:rPr>
            </w:pPr>
            <w:r>
              <w:rPr>
                <w:rFonts w:hint="eastAsia" w:ascii="宋体" w:hAnsi="宋体" w:cs="宋体"/>
                <w:szCs w:val="21"/>
              </w:rPr>
              <w:t>查文件：</w:t>
            </w:r>
          </w:p>
          <w:p>
            <w:pPr>
              <w:spacing w:line="280" w:lineRule="exact"/>
              <w:rPr>
                <w:rFonts w:ascii="宋体" w:hAnsi="宋体" w:cs="宋体"/>
                <w:szCs w:val="21"/>
              </w:rPr>
            </w:pPr>
            <w:r>
              <w:rPr>
                <w:rFonts w:hint="eastAsia" w:ascii="宋体" w:hAnsi="宋体" w:cs="宋体"/>
                <w:szCs w:val="21"/>
              </w:rPr>
              <w:t>安全活动记录。</w:t>
            </w:r>
          </w:p>
        </w:tc>
        <w:tc>
          <w:tcPr>
            <w:tcW w:w="1701" w:type="dxa"/>
          </w:tcPr>
          <w:p>
            <w:pPr>
              <w:spacing w:line="280" w:lineRule="exact"/>
              <w:rPr>
                <w:rFonts w:ascii="宋体" w:hAnsi="宋体" w:cs="宋体"/>
                <w:szCs w:val="21"/>
              </w:rPr>
            </w:pPr>
          </w:p>
        </w:tc>
        <w:tc>
          <w:tcPr>
            <w:tcW w:w="2268" w:type="dxa"/>
          </w:tcPr>
          <w:p>
            <w:pPr>
              <w:spacing w:line="280" w:lineRule="exact"/>
              <w:rPr>
                <w:rFonts w:ascii="宋体" w:hAnsi="宋体" w:cs="宋体"/>
                <w:szCs w:val="21"/>
              </w:rPr>
            </w:pPr>
            <w:r>
              <w:rPr>
                <w:rFonts w:hint="eastAsia" w:ascii="宋体" w:hAnsi="宋体" w:cs="宋体"/>
                <w:szCs w:val="21"/>
              </w:rPr>
              <w:t>未按规定对安全活动记录进行检查并签字，缺1次扣1分。</w:t>
            </w:r>
          </w:p>
        </w:tc>
        <w:tc>
          <w:tcPr>
            <w:tcW w:w="1165" w:type="dxa"/>
            <w:vAlign w:val="center"/>
          </w:tcPr>
          <w:p>
            <w:pPr>
              <w:spacing w:line="280" w:lineRule="exact"/>
              <w:jc w:val="center"/>
              <w:rPr>
                <w:rFonts w:ascii="宋体" w:hAnsi="宋体" w:cs="宋体"/>
                <w:szCs w:val="21"/>
              </w:rPr>
            </w:pPr>
            <w:r>
              <w:rPr>
                <w:rFonts w:hint="eastAsia" w:ascii="宋体" w:hAnsi="宋体" w:cs="宋体"/>
                <w:szCs w:val="21"/>
              </w:rPr>
              <w:t>符合要求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771" w:type="dxa"/>
            <w:vMerge w:val="continue"/>
          </w:tcPr>
          <w:p>
            <w:pPr>
              <w:spacing w:line="280" w:lineRule="exact"/>
              <w:rPr>
                <w:rFonts w:ascii="宋体" w:hAnsi="宋体" w:cs="宋体"/>
                <w:b/>
                <w:bCs/>
                <w:szCs w:val="21"/>
              </w:rPr>
            </w:pPr>
          </w:p>
        </w:tc>
        <w:tc>
          <w:tcPr>
            <w:tcW w:w="709" w:type="dxa"/>
            <w:vMerge w:val="continue"/>
          </w:tcPr>
          <w:p>
            <w:pPr>
              <w:spacing w:line="280" w:lineRule="exact"/>
              <w:rPr>
                <w:rFonts w:ascii="宋体" w:hAnsi="宋体" w:cs="宋体"/>
                <w:b/>
                <w:bCs/>
                <w:szCs w:val="21"/>
              </w:rPr>
            </w:pPr>
          </w:p>
        </w:tc>
        <w:tc>
          <w:tcPr>
            <w:tcW w:w="2409" w:type="dxa"/>
          </w:tcPr>
          <w:p>
            <w:pPr>
              <w:spacing w:line="280" w:lineRule="exact"/>
              <w:rPr>
                <w:rFonts w:ascii="宋体" w:hAnsi="宋体" w:cs="宋体"/>
                <w:szCs w:val="21"/>
              </w:rPr>
            </w:pPr>
            <w:r>
              <w:rPr>
                <w:rFonts w:hint="eastAsia" w:ascii="宋体" w:hAnsi="宋体" w:cs="宋体"/>
                <w:szCs w:val="21"/>
              </w:rPr>
              <w:t>5.企业安全生产管理部门或专职安全生产管理人员应结合安全生产实际，制定管理部门、班组月度安全活动计划，规定活动形式、内容和要求。</w:t>
            </w:r>
          </w:p>
        </w:tc>
        <w:tc>
          <w:tcPr>
            <w:tcW w:w="2268" w:type="dxa"/>
          </w:tcPr>
          <w:p>
            <w:pPr>
              <w:spacing w:line="280" w:lineRule="exact"/>
              <w:rPr>
                <w:rFonts w:ascii="宋体" w:hAnsi="宋体" w:cs="宋体"/>
                <w:szCs w:val="21"/>
              </w:rPr>
            </w:pPr>
            <w:r>
              <w:rPr>
                <w:rFonts w:hint="eastAsia" w:ascii="宋体" w:hAnsi="宋体" w:cs="宋体"/>
                <w:szCs w:val="21"/>
              </w:rPr>
              <w:t>1.安全生产管理部门或专职安全生产管理人员制定管理部门、班组月度安全活动计划；</w:t>
            </w:r>
          </w:p>
          <w:p>
            <w:pPr>
              <w:spacing w:line="280" w:lineRule="exact"/>
              <w:rPr>
                <w:rFonts w:ascii="宋体" w:hAnsi="宋体" w:cs="宋体"/>
                <w:szCs w:val="21"/>
              </w:rPr>
            </w:pPr>
            <w:r>
              <w:rPr>
                <w:rFonts w:hint="eastAsia" w:ascii="宋体" w:hAnsi="宋体" w:cs="宋体"/>
                <w:szCs w:val="21"/>
              </w:rPr>
              <w:t>2.规定活动形式、内容和要求。</w:t>
            </w:r>
          </w:p>
        </w:tc>
        <w:tc>
          <w:tcPr>
            <w:tcW w:w="2268" w:type="dxa"/>
          </w:tcPr>
          <w:p>
            <w:pPr>
              <w:spacing w:line="280" w:lineRule="exact"/>
              <w:rPr>
                <w:rFonts w:ascii="宋体" w:hAnsi="宋体" w:cs="宋体"/>
                <w:szCs w:val="21"/>
              </w:rPr>
            </w:pPr>
            <w:r>
              <w:rPr>
                <w:rFonts w:hint="eastAsia" w:ascii="宋体" w:hAnsi="宋体" w:cs="宋体"/>
                <w:szCs w:val="21"/>
              </w:rPr>
              <w:t>查文件：</w:t>
            </w:r>
          </w:p>
          <w:p>
            <w:pPr>
              <w:spacing w:line="280" w:lineRule="exact"/>
              <w:rPr>
                <w:rFonts w:ascii="宋体" w:hAnsi="宋体" w:cs="宋体"/>
                <w:szCs w:val="21"/>
              </w:rPr>
            </w:pPr>
            <w:r>
              <w:rPr>
                <w:rFonts w:hint="eastAsia" w:ascii="宋体" w:hAnsi="宋体" w:cs="宋体"/>
                <w:szCs w:val="21"/>
              </w:rPr>
              <w:t>月度安全活动计划。</w:t>
            </w:r>
          </w:p>
        </w:tc>
        <w:tc>
          <w:tcPr>
            <w:tcW w:w="1701" w:type="dxa"/>
          </w:tcPr>
          <w:p>
            <w:pPr>
              <w:spacing w:line="280" w:lineRule="exact"/>
              <w:rPr>
                <w:rFonts w:ascii="宋体" w:hAnsi="宋体" w:cs="宋体"/>
                <w:szCs w:val="21"/>
              </w:rPr>
            </w:pPr>
          </w:p>
        </w:tc>
        <w:tc>
          <w:tcPr>
            <w:tcW w:w="2268" w:type="dxa"/>
          </w:tcPr>
          <w:p>
            <w:pPr>
              <w:spacing w:line="280" w:lineRule="exact"/>
              <w:rPr>
                <w:rFonts w:ascii="宋体" w:hAnsi="宋体" w:cs="宋体"/>
                <w:szCs w:val="21"/>
              </w:rPr>
            </w:pPr>
            <w:r>
              <w:rPr>
                <w:rFonts w:hint="eastAsia" w:ascii="宋体" w:hAnsi="宋体" w:cs="宋体"/>
                <w:szCs w:val="21"/>
              </w:rPr>
              <w:t>1.未制定月度安全活动计划，1次扣2分；</w:t>
            </w:r>
          </w:p>
          <w:p>
            <w:pPr>
              <w:spacing w:line="280" w:lineRule="exact"/>
              <w:rPr>
                <w:rFonts w:ascii="宋体" w:hAnsi="宋体" w:cs="宋体"/>
                <w:szCs w:val="21"/>
              </w:rPr>
            </w:pPr>
            <w:r>
              <w:rPr>
                <w:rFonts w:hint="eastAsia" w:ascii="宋体" w:hAnsi="宋体" w:cs="宋体"/>
                <w:szCs w:val="21"/>
              </w:rPr>
              <w:t>2.未规定安全活动形式、内容、要求等，一项扣1分。</w:t>
            </w:r>
          </w:p>
        </w:tc>
        <w:tc>
          <w:tcPr>
            <w:tcW w:w="1165" w:type="dxa"/>
            <w:vAlign w:val="center"/>
          </w:tcPr>
          <w:p>
            <w:pPr>
              <w:spacing w:line="280" w:lineRule="exact"/>
              <w:jc w:val="center"/>
              <w:rPr>
                <w:rFonts w:ascii="宋体" w:hAnsi="宋体" w:cs="宋体"/>
                <w:szCs w:val="21"/>
              </w:rPr>
            </w:pPr>
            <w:r>
              <w:rPr>
                <w:rFonts w:hint="eastAsia" w:ascii="宋体" w:hAnsi="宋体" w:cs="宋体"/>
                <w:szCs w:val="21"/>
              </w:rPr>
              <w:t>符合要求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771" w:type="dxa"/>
            <w:vMerge w:val="restart"/>
          </w:tcPr>
          <w:p>
            <w:pPr>
              <w:spacing w:line="280" w:lineRule="exact"/>
              <w:rPr>
                <w:rFonts w:ascii="宋体" w:hAnsi="宋体" w:cs="宋体"/>
                <w:b/>
                <w:bCs/>
                <w:szCs w:val="21"/>
                <w:lang w:val="zh-CN"/>
              </w:rPr>
            </w:pPr>
            <w:r>
              <w:rPr>
                <w:rFonts w:hint="eastAsia" w:ascii="宋体" w:hAnsi="宋体" w:cs="宋体"/>
                <w:b/>
                <w:bCs/>
                <w:szCs w:val="21"/>
              </w:rPr>
              <w:t>6</w:t>
            </w:r>
            <w:r>
              <w:rPr>
                <w:rFonts w:hint="eastAsia" w:ascii="宋体" w:hAnsi="宋体" w:cs="宋体"/>
                <w:b/>
                <w:bCs/>
                <w:szCs w:val="21"/>
                <w:lang w:val="zh-CN"/>
              </w:rPr>
              <w:t>生产设施及工艺安全</w:t>
            </w:r>
          </w:p>
          <w:p>
            <w:pPr>
              <w:spacing w:line="280" w:lineRule="exact"/>
              <w:rPr>
                <w:rFonts w:ascii="宋体" w:hAnsi="宋体" w:cs="宋体"/>
                <w:b/>
                <w:bCs/>
                <w:szCs w:val="21"/>
              </w:rPr>
            </w:pPr>
            <w:r>
              <w:rPr>
                <w:rFonts w:hint="eastAsia" w:ascii="宋体" w:hAnsi="宋体" w:cs="宋体"/>
                <w:b/>
                <w:bCs/>
                <w:szCs w:val="21"/>
                <w:lang w:val="zh-CN"/>
              </w:rPr>
              <w:t>（100分）</w:t>
            </w:r>
          </w:p>
        </w:tc>
        <w:tc>
          <w:tcPr>
            <w:tcW w:w="709" w:type="dxa"/>
            <w:vMerge w:val="restart"/>
          </w:tcPr>
          <w:p>
            <w:pPr>
              <w:spacing w:line="280" w:lineRule="exact"/>
              <w:rPr>
                <w:rFonts w:ascii="宋体" w:hAnsi="宋体" w:cs="宋体"/>
                <w:b/>
                <w:bCs/>
                <w:szCs w:val="21"/>
                <w:lang w:val="zh-CN"/>
              </w:rPr>
            </w:pPr>
            <w:r>
              <w:rPr>
                <w:rFonts w:hint="eastAsia" w:ascii="宋体" w:hAnsi="宋体" w:cs="宋体"/>
                <w:b/>
                <w:bCs/>
                <w:szCs w:val="21"/>
                <w:lang w:val="zh-CN"/>
              </w:rPr>
              <w:t>6.1生产设施建设</w:t>
            </w:r>
          </w:p>
          <w:p>
            <w:pPr>
              <w:spacing w:line="280" w:lineRule="exact"/>
              <w:rPr>
                <w:rFonts w:ascii="宋体" w:hAnsi="宋体" w:cs="宋体"/>
                <w:b/>
                <w:bCs/>
                <w:szCs w:val="21"/>
              </w:rPr>
            </w:pPr>
            <w:r>
              <w:rPr>
                <w:rFonts w:hint="eastAsia" w:ascii="宋体" w:hAnsi="宋体" w:cs="宋体"/>
                <w:b/>
                <w:bCs/>
                <w:szCs w:val="21"/>
                <w:lang w:val="zh-CN"/>
              </w:rPr>
              <w:t>（10分）</w:t>
            </w:r>
          </w:p>
        </w:tc>
        <w:tc>
          <w:tcPr>
            <w:tcW w:w="2409" w:type="dxa"/>
          </w:tcPr>
          <w:p>
            <w:pPr>
              <w:spacing w:line="280" w:lineRule="exact"/>
              <w:rPr>
                <w:rFonts w:ascii="宋体" w:hAnsi="宋体" w:cs="宋体"/>
                <w:szCs w:val="21"/>
              </w:rPr>
            </w:pPr>
            <w:r>
              <w:rPr>
                <w:rFonts w:hint="eastAsia" w:ascii="宋体" w:hAnsi="宋体" w:cs="宋体"/>
                <w:szCs w:val="21"/>
              </w:rPr>
              <w:t>1.企业应确保建设项目安全设施与建设项目的主体工程同时设计、同时施工、同时投入生产和使用。</w:t>
            </w:r>
          </w:p>
        </w:tc>
        <w:tc>
          <w:tcPr>
            <w:tcW w:w="2268" w:type="dxa"/>
          </w:tcPr>
          <w:p>
            <w:pPr>
              <w:spacing w:line="280" w:lineRule="exact"/>
              <w:rPr>
                <w:rFonts w:ascii="宋体" w:hAnsi="宋体" w:cs="宋体"/>
                <w:szCs w:val="21"/>
              </w:rPr>
            </w:pPr>
            <w:r>
              <w:rPr>
                <w:rFonts w:hint="eastAsia" w:ascii="宋体" w:hAnsi="宋体" w:cs="宋体"/>
                <w:szCs w:val="21"/>
              </w:rPr>
              <w:t>确保建设项目安全设施与建设项目的主体工程同时设计、同时施工、同时投入生产和使用。</w:t>
            </w:r>
          </w:p>
        </w:tc>
        <w:tc>
          <w:tcPr>
            <w:tcW w:w="2268" w:type="dxa"/>
          </w:tcPr>
          <w:p>
            <w:pPr>
              <w:spacing w:line="280" w:lineRule="exact"/>
              <w:rPr>
                <w:rFonts w:ascii="宋体" w:hAnsi="宋体" w:cs="宋体"/>
                <w:szCs w:val="21"/>
                <w:lang w:val="zh-CN"/>
              </w:rPr>
            </w:pPr>
            <w:r>
              <w:rPr>
                <w:rFonts w:hint="eastAsia" w:ascii="宋体" w:hAnsi="宋体" w:cs="宋体"/>
                <w:szCs w:val="21"/>
                <w:lang w:val="zh-CN"/>
              </w:rPr>
              <w:t>查文件：</w:t>
            </w:r>
          </w:p>
          <w:p>
            <w:pPr>
              <w:spacing w:line="280" w:lineRule="exact"/>
              <w:rPr>
                <w:rFonts w:ascii="宋体" w:hAnsi="宋体" w:cs="宋体"/>
                <w:szCs w:val="21"/>
                <w:lang w:val="zh-CN"/>
              </w:rPr>
            </w:pPr>
            <w:r>
              <w:rPr>
                <w:rFonts w:hint="eastAsia" w:ascii="宋体" w:hAnsi="宋体" w:cs="宋体"/>
                <w:szCs w:val="21"/>
                <w:lang w:val="zh-CN"/>
              </w:rPr>
              <w:t>生产设施建设项目设计资料、施工记录、试生产方案、竣工验收文件等。</w:t>
            </w:r>
          </w:p>
          <w:p>
            <w:pPr>
              <w:spacing w:line="280" w:lineRule="exact"/>
              <w:rPr>
                <w:rFonts w:ascii="宋体" w:hAnsi="宋体" w:cs="宋体"/>
                <w:szCs w:val="21"/>
                <w:lang w:val="zh-CN"/>
              </w:rPr>
            </w:pPr>
            <w:r>
              <w:rPr>
                <w:rFonts w:hint="eastAsia" w:ascii="宋体" w:hAnsi="宋体" w:cs="宋体"/>
                <w:szCs w:val="21"/>
                <w:lang w:val="zh-CN"/>
              </w:rPr>
              <w:t>现场检查：</w:t>
            </w:r>
          </w:p>
          <w:p>
            <w:pPr>
              <w:spacing w:line="280" w:lineRule="exact"/>
              <w:rPr>
                <w:rFonts w:ascii="宋体" w:hAnsi="宋体" w:cs="宋体"/>
                <w:szCs w:val="21"/>
              </w:rPr>
            </w:pPr>
            <w:r>
              <w:rPr>
                <w:rFonts w:hint="eastAsia" w:ascii="宋体" w:hAnsi="宋体" w:cs="宋体"/>
                <w:szCs w:val="21"/>
                <w:lang w:val="zh-CN"/>
              </w:rPr>
              <w:t>查看安全设施投入使用情况。</w:t>
            </w:r>
          </w:p>
        </w:tc>
        <w:tc>
          <w:tcPr>
            <w:tcW w:w="1701" w:type="dxa"/>
          </w:tcPr>
          <w:p>
            <w:pPr>
              <w:spacing w:line="280" w:lineRule="exact"/>
              <w:rPr>
                <w:rFonts w:ascii="宋体" w:hAnsi="宋体" w:cs="宋体"/>
                <w:szCs w:val="21"/>
              </w:rPr>
            </w:pPr>
            <w:r>
              <w:rPr>
                <w:rFonts w:hint="eastAsia" w:ascii="宋体" w:hAnsi="宋体" w:cs="宋体"/>
                <w:szCs w:val="21"/>
              </w:rPr>
              <w:t>未按国家安全监管总局令第8号要求进行设计审查、安全条件论证和竣工验收的，扣100分（A级要素否决项）。</w:t>
            </w:r>
          </w:p>
        </w:tc>
        <w:tc>
          <w:tcPr>
            <w:tcW w:w="2268" w:type="dxa"/>
          </w:tcPr>
          <w:p>
            <w:pPr>
              <w:spacing w:line="280" w:lineRule="exact"/>
              <w:rPr>
                <w:rFonts w:ascii="宋体" w:hAnsi="宋体" w:cs="宋体"/>
                <w:szCs w:val="21"/>
              </w:rPr>
            </w:pPr>
          </w:p>
        </w:tc>
        <w:tc>
          <w:tcPr>
            <w:tcW w:w="1165" w:type="dxa"/>
            <w:vAlign w:val="center"/>
          </w:tcPr>
          <w:p>
            <w:pPr>
              <w:spacing w:line="280" w:lineRule="exact"/>
              <w:jc w:val="center"/>
              <w:rPr>
                <w:rFonts w:ascii="宋体" w:hAnsi="宋体" w:cs="宋体"/>
                <w:szCs w:val="21"/>
              </w:rPr>
            </w:pPr>
            <w:r>
              <w:rPr>
                <w:rFonts w:hint="eastAsia" w:ascii="宋体" w:hAnsi="宋体" w:cs="宋体"/>
                <w:szCs w:val="21"/>
              </w:rPr>
              <w:t>符合要求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771" w:type="dxa"/>
            <w:vMerge w:val="continue"/>
          </w:tcPr>
          <w:p>
            <w:pPr>
              <w:spacing w:line="280" w:lineRule="exact"/>
              <w:rPr>
                <w:rFonts w:ascii="宋体" w:hAnsi="宋体" w:cs="宋体"/>
                <w:b/>
                <w:bCs/>
                <w:szCs w:val="21"/>
              </w:rPr>
            </w:pPr>
          </w:p>
        </w:tc>
        <w:tc>
          <w:tcPr>
            <w:tcW w:w="709" w:type="dxa"/>
            <w:vMerge w:val="continue"/>
          </w:tcPr>
          <w:p>
            <w:pPr>
              <w:spacing w:line="280" w:lineRule="exact"/>
              <w:rPr>
                <w:rFonts w:ascii="宋体" w:hAnsi="宋体" w:cs="宋体"/>
                <w:b/>
                <w:bCs/>
                <w:szCs w:val="21"/>
              </w:rPr>
            </w:pPr>
          </w:p>
        </w:tc>
        <w:tc>
          <w:tcPr>
            <w:tcW w:w="2409" w:type="dxa"/>
          </w:tcPr>
          <w:p>
            <w:pPr>
              <w:spacing w:line="280" w:lineRule="exact"/>
              <w:rPr>
                <w:rFonts w:ascii="宋体" w:hAnsi="宋体" w:cs="宋体"/>
                <w:szCs w:val="21"/>
              </w:rPr>
            </w:pPr>
            <w:r>
              <w:rPr>
                <w:rFonts w:hint="eastAsia" w:ascii="宋体" w:hAnsi="宋体" w:cs="宋体"/>
                <w:szCs w:val="21"/>
              </w:rPr>
              <w:t>2.企业应按照建设项目安全许可有关规定，对建设项目的设立阶段、设计阶段、试生产阶段和竣工验收阶段规范管理。</w:t>
            </w:r>
          </w:p>
        </w:tc>
        <w:tc>
          <w:tcPr>
            <w:tcW w:w="2268" w:type="dxa"/>
          </w:tcPr>
          <w:p>
            <w:pPr>
              <w:spacing w:line="280" w:lineRule="exact"/>
              <w:rPr>
                <w:rFonts w:ascii="宋体" w:hAnsi="宋体" w:cs="宋体"/>
                <w:szCs w:val="21"/>
              </w:rPr>
            </w:pPr>
            <w:r>
              <w:rPr>
                <w:rFonts w:hint="eastAsia" w:ascii="宋体" w:hAnsi="宋体" w:cs="宋体"/>
                <w:szCs w:val="21"/>
              </w:rPr>
              <w:t>1.按照有关法律法规和国家安全监管总局有关危化品建设项目安全条件审查的规章、规范性文件规定，对建设项目的设立阶段、设计阶段、试生产阶段和竣工验收阶段规范管理；</w:t>
            </w:r>
          </w:p>
          <w:p>
            <w:pPr>
              <w:spacing w:line="280" w:lineRule="exact"/>
              <w:rPr>
                <w:rFonts w:ascii="宋体" w:hAnsi="宋体" w:cs="宋体"/>
                <w:szCs w:val="21"/>
              </w:rPr>
            </w:pPr>
            <w:r>
              <w:rPr>
                <w:rFonts w:hint="eastAsia" w:ascii="宋体" w:hAnsi="宋体" w:cs="宋体"/>
                <w:szCs w:val="21"/>
              </w:rPr>
              <w:t>2.建设项目建成试生产前，企业要组织设计、施工、监理和建设单位的工程技术人员进行“三查四定”；试车和投料过程要严格按照设备管道试压、吹扫、气密、单机试车、仪表调校、联动试车、化工投料试生产的程序进行；</w:t>
            </w:r>
          </w:p>
          <w:p>
            <w:pPr>
              <w:spacing w:line="280" w:lineRule="exact"/>
              <w:rPr>
                <w:rFonts w:ascii="宋体" w:hAnsi="宋体" w:cs="宋体"/>
                <w:szCs w:val="21"/>
              </w:rPr>
            </w:pPr>
            <w:r>
              <w:rPr>
                <w:rFonts w:hint="eastAsia" w:ascii="宋体" w:hAnsi="宋体" w:cs="宋体"/>
                <w:szCs w:val="21"/>
              </w:rPr>
              <w:t>3.编制试生产前安全检查报告。</w:t>
            </w:r>
          </w:p>
        </w:tc>
        <w:tc>
          <w:tcPr>
            <w:tcW w:w="2268" w:type="dxa"/>
          </w:tcPr>
          <w:p>
            <w:pPr>
              <w:spacing w:line="280" w:lineRule="exact"/>
              <w:rPr>
                <w:rFonts w:ascii="宋体" w:hAnsi="宋体" w:cs="宋体"/>
                <w:szCs w:val="21"/>
                <w:lang w:val="zh-CN"/>
              </w:rPr>
            </w:pPr>
            <w:r>
              <w:rPr>
                <w:rFonts w:hint="eastAsia" w:ascii="宋体" w:hAnsi="宋体" w:cs="宋体"/>
                <w:szCs w:val="21"/>
                <w:lang w:val="zh-CN"/>
              </w:rPr>
              <w:t>查文件：</w:t>
            </w:r>
          </w:p>
          <w:p>
            <w:pPr>
              <w:spacing w:line="280" w:lineRule="exact"/>
              <w:rPr>
                <w:rFonts w:ascii="宋体" w:hAnsi="宋体" w:cs="宋体"/>
                <w:szCs w:val="21"/>
              </w:rPr>
            </w:pPr>
            <w:r>
              <w:rPr>
                <w:rFonts w:hint="eastAsia" w:ascii="宋体" w:hAnsi="宋体" w:cs="宋体"/>
                <w:szCs w:val="21"/>
                <w:lang w:val="zh-CN"/>
              </w:rPr>
              <w:t>1.新建、改建、扩建项目可行性研究报告、初步设计（</w:t>
            </w:r>
            <w:r>
              <w:rPr>
                <w:rFonts w:hint="eastAsia" w:ascii="宋体" w:hAnsi="宋体" w:cs="宋体"/>
                <w:szCs w:val="21"/>
              </w:rPr>
              <w:t>“安全设施设计专篇”、“消防专篇”、“职业卫生专篇”）及批复</w:t>
            </w:r>
            <w:r>
              <w:rPr>
                <w:rFonts w:hint="eastAsia" w:ascii="宋体" w:hAnsi="宋体" w:cs="宋体"/>
                <w:szCs w:val="21"/>
                <w:lang w:val="zh-CN"/>
              </w:rPr>
              <w:t>等资料；</w:t>
            </w:r>
          </w:p>
          <w:p>
            <w:pPr>
              <w:spacing w:line="280" w:lineRule="exact"/>
              <w:rPr>
                <w:rFonts w:ascii="宋体" w:hAnsi="宋体" w:cs="宋体"/>
                <w:szCs w:val="21"/>
                <w:lang w:val="zh-CN"/>
              </w:rPr>
            </w:pPr>
            <w:r>
              <w:rPr>
                <w:rFonts w:hint="eastAsia" w:ascii="宋体" w:hAnsi="宋体" w:cs="宋体"/>
                <w:szCs w:val="21"/>
                <w:lang w:val="zh-CN"/>
              </w:rPr>
              <w:t>2.安全设施</w:t>
            </w:r>
            <w:r>
              <w:rPr>
                <w:rFonts w:hint="eastAsia" w:ascii="宋体" w:hAnsi="宋体" w:cs="宋体"/>
                <w:szCs w:val="21"/>
              </w:rPr>
              <w:t>设计审查资料；</w:t>
            </w:r>
          </w:p>
          <w:p>
            <w:pPr>
              <w:spacing w:line="280" w:lineRule="exact"/>
              <w:rPr>
                <w:rFonts w:ascii="宋体" w:hAnsi="宋体" w:cs="宋体"/>
                <w:szCs w:val="21"/>
                <w:lang w:val="zh-CN"/>
              </w:rPr>
            </w:pPr>
            <w:r>
              <w:rPr>
                <w:rFonts w:hint="eastAsia" w:ascii="宋体" w:hAnsi="宋体" w:cs="宋体"/>
                <w:szCs w:val="21"/>
                <w:lang w:val="zh-CN"/>
              </w:rPr>
              <w:t>3.建设项目设立安全评价报告；</w:t>
            </w:r>
          </w:p>
          <w:p>
            <w:pPr>
              <w:spacing w:line="280" w:lineRule="exact"/>
              <w:rPr>
                <w:rFonts w:ascii="宋体" w:hAnsi="宋体" w:cs="宋体"/>
                <w:szCs w:val="21"/>
                <w:lang w:val="zh-CN"/>
              </w:rPr>
            </w:pPr>
            <w:r>
              <w:rPr>
                <w:rFonts w:hint="eastAsia" w:ascii="宋体" w:hAnsi="宋体" w:cs="宋体"/>
                <w:szCs w:val="21"/>
                <w:lang w:val="zh-CN"/>
              </w:rPr>
              <w:t>4.建设项目试生产方案及备案资料（</w:t>
            </w:r>
            <w:r>
              <w:rPr>
                <w:rFonts w:hint="eastAsia" w:ascii="宋体" w:hAnsi="宋体" w:cs="宋体"/>
                <w:szCs w:val="21"/>
              </w:rPr>
              <w:t>施工完成情况、试生产前安全检查报告、试生产或使用过程中可能出现的安全问题及对策、采取的安全措施、事故应急救援预案等）</w:t>
            </w:r>
            <w:r>
              <w:rPr>
                <w:rFonts w:hint="eastAsia" w:ascii="宋体" w:hAnsi="宋体" w:cs="宋体"/>
                <w:szCs w:val="21"/>
                <w:lang w:val="zh-CN"/>
              </w:rPr>
              <w:t>；</w:t>
            </w:r>
          </w:p>
          <w:p>
            <w:pPr>
              <w:spacing w:line="280" w:lineRule="exact"/>
              <w:rPr>
                <w:rFonts w:ascii="宋体" w:hAnsi="宋体" w:cs="宋体"/>
                <w:szCs w:val="21"/>
                <w:lang w:val="zh-CN"/>
              </w:rPr>
            </w:pPr>
            <w:r>
              <w:rPr>
                <w:rFonts w:hint="eastAsia" w:ascii="宋体" w:hAnsi="宋体" w:cs="宋体"/>
                <w:szCs w:val="21"/>
                <w:lang w:val="zh-CN"/>
              </w:rPr>
              <w:t>5.建设项目安全设施竣工验收资</w:t>
            </w:r>
            <w:r>
              <w:rPr>
                <w:rFonts w:hint="eastAsia" w:ascii="宋体" w:hAnsi="宋体" w:cs="宋体"/>
                <w:szCs w:val="21"/>
              </w:rPr>
              <w:t>料(安全设施检验检测报告、安全监管部门出具的“安全设施竣工验收意见书”和“建设项目竣工验收安全评价报告”等)</w:t>
            </w:r>
            <w:r>
              <w:rPr>
                <w:rFonts w:hint="eastAsia" w:ascii="宋体" w:hAnsi="宋体" w:cs="宋体"/>
                <w:szCs w:val="21"/>
                <w:lang w:val="zh-CN"/>
              </w:rPr>
              <w:t>。</w:t>
            </w:r>
          </w:p>
        </w:tc>
        <w:tc>
          <w:tcPr>
            <w:tcW w:w="1701" w:type="dxa"/>
          </w:tcPr>
          <w:p>
            <w:pPr>
              <w:spacing w:line="280" w:lineRule="exact"/>
              <w:rPr>
                <w:rFonts w:ascii="宋体" w:hAnsi="宋体" w:cs="宋体"/>
                <w:szCs w:val="21"/>
              </w:rPr>
            </w:pPr>
          </w:p>
        </w:tc>
        <w:tc>
          <w:tcPr>
            <w:tcW w:w="2268" w:type="dxa"/>
          </w:tcPr>
          <w:p>
            <w:pPr>
              <w:spacing w:line="280" w:lineRule="exact"/>
              <w:rPr>
                <w:rFonts w:ascii="宋体" w:hAnsi="宋体" w:cs="宋体"/>
                <w:szCs w:val="21"/>
              </w:rPr>
            </w:pPr>
            <w:r>
              <w:rPr>
                <w:rFonts w:hint="eastAsia" w:ascii="宋体" w:hAnsi="宋体" w:cs="宋体"/>
                <w:szCs w:val="21"/>
                <w:lang w:val="zh-CN"/>
              </w:rPr>
              <w:t>建设项目各阶段资料不符合要求，或审批手续不全，一项扣3分。</w:t>
            </w:r>
          </w:p>
        </w:tc>
        <w:tc>
          <w:tcPr>
            <w:tcW w:w="1165" w:type="dxa"/>
            <w:vAlign w:val="center"/>
          </w:tcPr>
          <w:p>
            <w:pPr>
              <w:spacing w:line="280" w:lineRule="exact"/>
              <w:jc w:val="center"/>
              <w:rPr>
                <w:rFonts w:ascii="宋体" w:hAnsi="宋体" w:cs="宋体"/>
                <w:szCs w:val="21"/>
              </w:rPr>
            </w:pPr>
            <w:r>
              <w:rPr>
                <w:rFonts w:hint="eastAsia" w:ascii="宋体" w:hAnsi="宋体" w:cs="宋体"/>
                <w:szCs w:val="21"/>
              </w:rPr>
              <w:t>符合要求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771" w:type="dxa"/>
            <w:vMerge w:val="continue"/>
          </w:tcPr>
          <w:p>
            <w:pPr>
              <w:spacing w:line="280" w:lineRule="exact"/>
              <w:rPr>
                <w:rFonts w:ascii="宋体" w:hAnsi="宋体" w:cs="宋体"/>
                <w:b/>
                <w:bCs/>
                <w:szCs w:val="21"/>
              </w:rPr>
            </w:pPr>
          </w:p>
        </w:tc>
        <w:tc>
          <w:tcPr>
            <w:tcW w:w="709" w:type="dxa"/>
            <w:vMerge w:val="continue"/>
          </w:tcPr>
          <w:p>
            <w:pPr>
              <w:spacing w:line="280" w:lineRule="exact"/>
              <w:rPr>
                <w:rFonts w:ascii="宋体" w:hAnsi="宋体" w:cs="宋体"/>
                <w:b/>
                <w:bCs/>
                <w:szCs w:val="21"/>
              </w:rPr>
            </w:pPr>
          </w:p>
        </w:tc>
        <w:tc>
          <w:tcPr>
            <w:tcW w:w="2409" w:type="dxa"/>
          </w:tcPr>
          <w:p>
            <w:pPr>
              <w:spacing w:line="280" w:lineRule="exact"/>
              <w:rPr>
                <w:rFonts w:ascii="宋体" w:hAnsi="宋体" w:cs="宋体"/>
                <w:szCs w:val="21"/>
              </w:rPr>
            </w:pPr>
            <w:r>
              <w:rPr>
                <w:rFonts w:hint="eastAsia" w:ascii="宋体" w:hAnsi="宋体" w:cs="宋体"/>
                <w:szCs w:val="21"/>
              </w:rPr>
              <w:t>3.企业应对建设项目的施工过程实施有效安全监督，保证施工过程处于有序管理状态。</w:t>
            </w:r>
          </w:p>
        </w:tc>
        <w:tc>
          <w:tcPr>
            <w:tcW w:w="2268" w:type="dxa"/>
          </w:tcPr>
          <w:p>
            <w:pPr>
              <w:spacing w:line="280" w:lineRule="exact"/>
              <w:rPr>
                <w:rFonts w:ascii="宋体" w:hAnsi="宋体" w:cs="宋体"/>
                <w:szCs w:val="21"/>
              </w:rPr>
            </w:pPr>
            <w:r>
              <w:rPr>
                <w:rFonts w:hint="eastAsia" w:ascii="宋体" w:hAnsi="宋体" w:cs="宋体"/>
                <w:szCs w:val="21"/>
              </w:rPr>
              <w:t xml:space="preserve">1.建设项目必须由具备相应资质的单位负责设计、施工、监理； </w:t>
            </w:r>
          </w:p>
          <w:p>
            <w:pPr>
              <w:spacing w:line="280" w:lineRule="exact"/>
              <w:rPr>
                <w:rFonts w:ascii="宋体" w:hAnsi="宋体" w:cs="宋体"/>
                <w:szCs w:val="21"/>
              </w:rPr>
            </w:pPr>
            <w:r>
              <w:rPr>
                <w:rFonts w:hint="eastAsia" w:ascii="宋体" w:hAnsi="宋体" w:cs="宋体"/>
                <w:szCs w:val="21"/>
              </w:rPr>
              <w:t>2.对建设项目的施工过程实施有效安全监督，保证施工过程处于有序管理状态。</w:t>
            </w:r>
          </w:p>
        </w:tc>
        <w:tc>
          <w:tcPr>
            <w:tcW w:w="2268" w:type="dxa"/>
          </w:tcPr>
          <w:p>
            <w:pPr>
              <w:spacing w:line="280" w:lineRule="exact"/>
              <w:rPr>
                <w:rFonts w:ascii="宋体" w:hAnsi="宋体" w:cs="宋体"/>
                <w:szCs w:val="21"/>
              </w:rPr>
            </w:pPr>
            <w:r>
              <w:rPr>
                <w:rFonts w:hint="eastAsia" w:ascii="宋体" w:hAnsi="宋体" w:cs="宋体"/>
                <w:szCs w:val="21"/>
              </w:rPr>
              <w:t>查文件：</w:t>
            </w:r>
          </w:p>
          <w:p>
            <w:pPr>
              <w:spacing w:line="280" w:lineRule="exact"/>
              <w:rPr>
                <w:rFonts w:ascii="宋体" w:hAnsi="宋体" w:cs="宋体"/>
                <w:szCs w:val="21"/>
              </w:rPr>
            </w:pPr>
            <w:r>
              <w:rPr>
                <w:rFonts w:hint="eastAsia" w:ascii="宋体" w:hAnsi="宋体" w:cs="宋体"/>
                <w:szCs w:val="21"/>
              </w:rPr>
              <w:t xml:space="preserve">1.设计、施工、监理单位的相关资质； </w:t>
            </w:r>
          </w:p>
          <w:p>
            <w:pPr>
              <w:spacing w:line="280" w:lineRule="exact"/>
              <w:rPr>
                <w:rFonts w:ascii="宋体" w:hAnsi="宋体" w:cs="宋体"/>
                <w:szCs w:val="21"/>
              </w:rPr>
            </w:pPr>
            <w:r>
              <w:rPr>
                <w:rFonts w:hint="eastAsia" w:ascii="宋体" w:hAnsi="宋体" w:cs="宋体"/>
                <w:szCs w:val="21"/>
              </w:rPr>
              <w:t>2.施工现场安全检查记录。</w:t>
            </w:r>
          </w:p>
          <w:p>
            <w:pPr>
              <w:spacing w:line="280" w:lineRule="exact"/>
              <w:rPr>
                <w:rFonts w:ascii="宋体" w:hAnsi="宋体" w:cs="宋体"/>
                <w:szCs w:val="21"/>
              </w:rPr>
            </w:pPr>
            <w:r>
              <w:rPr>
                <w:rFonts w:hint="eastAsia" w:ascii="宋体" w:hAnsi="宋体" w:cs="宋体"/>
                <w:szCs w:val="21"/>
              </w:rPr>
              <w:t>现场检查：</w:t>
            </w:r>
          </w:p>
          <w:p>
            <w:pPr>
              <w:spacing w:line="280" w:lineRule="exact"/>
              <w:rPr>
                <w:rFonts w:ascii="宋体" w:hAnsi="宋体" w:cs="宋体"/>
                <w:szCs w:val="21"/>
                <w:lang w:val="zh-CN"/>
              </w:rPr>
            </w:pPr>
            <w:r>
              <w:rPr>
                <w:rFonts w:hint="eastAsia" w:ascii="宋体" w:hAnsi="宋体" w:cs="宋体"/>
                <w:szCs w:val="21"/>
              </w:rPr>
              <w:t>施工现场安全管理情况。</w:t>
            </w:r>
          </w:p>
        </w:tc>
        <w:tc>
          <w:tcPr>
            <w:tcW w:w="1701" w:type="dxa"/>
          </w:tcPr>
          <w:p>
            <w:pPr>
              <w:spacing w:line="280" w:lineRule="exact"/>
              <w:rPr>
                <w:rFonts w:ascii="宋体" w:hAnsi="宋体" w:cs="宋体"/>
                <w:szCs w:val="21"/>
              </w:rPr>
            </w:pPr>
            <w:r>
              <w:rPr>
                <w:rFonts w:hint="eastAsia" w:ascii="宋体" w:hAnsi="宋体" w:cs="宋体"/>
                <w:szCs w:val="21"/>
              </w:rPr>
              <w:t>使用无资质或资质不符合规定的设计、施工、监理单位，扣100分（A级要素否决项）。</w:t>
            </w:r>
          </w:p>
          <w:p>
            <w:pPr>
              <w:spacing w:line="280" w:lineRule="exact"/>
              <w:rPr>
                <w:rFonts w:ascii="宋体" w:hAnsi="宋体" w:cs="宋体"/>
                <w:szCs w:val="21"/>
                <w:lang w:val="zh-CN"/>
              </w:rPr>
            </w:pPr>
          </w:p>
        </w:tc>
        <w:tc>
          <w:tcPr>
            <w:tcW w:w="2268" w:type="dxa"/>
          </w:tcPr>
          <w:p>
            <w:pPr>
              <w:spacing w:line="280" w:lineRule="exact"/>
              <w:rPr>
                <w:rFonts w:ascii="宋体" w:hAnsi="宋体" w:cs="宋体"/>
                <w:szCs w:val="21"/>
              </w:rPr>
            </w:pPr>
            <w:r>
              <w:rPr>
                <w:rFonts w:hint="eastAsia" w:ascii="宋体" w:hAnsi="宋体" w:cs="宋体"/>
                <w:szCs w:val="21"/>
              </w:rPr>
              <w:t>1.未进行现场安全检查，扣2分；</w:t>
            </w:r>
          </w:p>
          <w:p>
            <w:pPr>
              <w:spacing w:line="280" w:lineRule="exact"/>
              <w:rPr>
                <w:rFonts w:ascii="宋体" w:hAnsi="宋体" w:cs="宋体"/>
                <w:szCs w:val="21"/>
              </w:rPr>
            </w:pPr>
            <w:r>
              <w:rPr>
                <w:rFonts w:hint="eastAsia" w:ascii="宋体" w:hAnsi="宋体" w:cs="宋体"/>
                <w:szCs w:val="21"/>
              </w:rPr>
              <w:t>2.现场存在不符合要求的问题，一项扣2分。</w:t>
            </w:r>
          </w:p>
        </w:tc>
        <w:tc>
          <w:tcPr>
            <w:tcW w:w="1165" w:type="dxa"/>
            <w:vAlign w:val="center"/>
          </w:tcPr>
          <w:p>
            <w:pPr>
              <w:spacing w:line="280" w:lineRule="exact"/>
              <w:jc w:val="center"/>
              <w:rPr>
                <w:rFonts w:ascii="宋体" w:hAnsi="宋体" w:cs="宋体"/>
                <w:szCs w:val="21"/>
              </w:rPr>
            </w:pPr>
            <w:r>
              <w:rPr>
                <w:rFonts w:hint="eastAsia" w:ascii="宋体" w:hAnsi="宋体" w:cs="宋体"/>
                <w:szCs w:val="21"/>
              </w:rPr>
              <w:t>不涉及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771" w:type="dxa"/>
            <w:vMerge w:val="continue"/>
          </w:tcPr>
          <w:p>
            <w:pPr>
              <w:spacing w:line="280" w:lineRule="exact"/>
              <w:rPr>
                <w:rFonts w:ascii="宋体" w:hAnsi="宋体" w:cs="宋体"/>
                <w:b/>
                <w:bCs/>
                <w:szCs w:val="21"/>
              </w:rPr>
            </w:pPr>
          </w:p>
        </w:tc>
        <w:tc>
          <w:tcPr>
            <w:tcW w:w="709" w:type="dxa"/>
            <w:vMerge w:val="continue"/>
          </w:tcPr>
          <w:p>
            <w:pPr>
              <w:spacing w:line="280" w:lineRule="exact"/>
              <w:rPr>
                <w:rFonts w:ascii="宋体" w:hAnsi="宋体" w:cs="宋体"/>
                <w:b/>
                <w:bCs/>
                <w:szCs w:val="21"/>
              </w:rPr>
            </w:pPr>
          </w:p>
        </w:tc>
        <w:tc>
          <w:tcPr>
            <w:tcW w:w="2409" w:type="dxa"/>
          </w:tcPr>
          <w:p>
            <w:pPr>
              <w:spacing w:line="280" w:lineRule="exact"/>
              <w:rPr>
                <w:rFonts w:ascii="宋体" w:hAnsi="宋体" w:cs="宋体"/>
                <w:szCs w:val="21"/>
              </w:rPr>
            </w:pPr>
            <w:r>
              <w:rPr>
                <w:rFonts w:hint="eastAsia" w:ascii="宋体" w:hAnsi="宋体" w:cs="宋体"/>
                <w:szCs w:val="21"/>
              </w:rPr>
              <w:t>4.企业建设项目建设过程中的变更应严格执行变更管理规定，履行变更程序，对变更全过程进行风险管理。</w:t>
            </w:r>
          </w:p>
        </w:tc>
        <w:tc>
          <w:tcPr>
            <w:tcW w:w="2268" w:type="dxa"/>
          </w:tcPr>
          <w:p>
            <w:pPr>
              <w:spacing w:line="280" w:lineRule="exact"/>
              <w:rPr>
                <w:rFonts w:ascii="宋体" w:hAnsi="宋体" w:cs="宋体"/>
                <w:szCs w:val="21"/>
              </w:rPr>
            </w:pPr>
            <w:r>
              <w:rPr>
                <w:rFonts w:hint="eastAsia" w:ascii="宋体" w:hAnsi="宋体" w:cs="宋体"/>
                <w:szCs w:val="21"/>
              </w:rPr>
              <w:t>1.建设项目建设过程中的变更应严格执行变更管理规定，履行变更程序，对变更全过程进行风险管理；</w:t>
            </w:r>
          </w:p>
          <w:p>
            <w:pPr>
              <w:spacing w:line="280" w:lineRule="exact"/>
              <w:rPr>
                <w:rFonts w:ascii="宋体" w:hAnsi="宋体" w:cs="宋体"/>
                <w:szCs w:val="21"/>
              </w:rPr>
            </w:pPr>
            <w:r>
              <w:rPr>
                <w:rFonts w:hint="eastAsia" w:ascii="宋体" w:hAnsi="宋体" w:cs="宋体"/>
                <w:szCs w:val="21"/>
              </w:rPr>
              <w:t>2.</w:t>
            </w:r>
            <w:r>
              <w:rPr>
                <w:rFonts w:hint="eastAsia" w:ascii="宋体" w:hAnsi="宋体" w:cs="宋体"/>
                <w:szCs w:val="21"/>
                <w:lang w:val="zh-CN"/>
              </w:rPr>
              <w:t>符合</w:t>
            </w:r>
            <w:r>
              <w:rPr>
                <w:rFonts w:hint="eastAsia" w:ascii="宋体" w:hAnsi="宋体" w:cs="宋体"/>
                <w:szCs w:val="21"/>
              </w:rPr>
              <w:t>安全监管总局有关危化品建设项目安全条件审查的规章</w:t>
            </w:r>
            <w:r>
              <w:rPr>
                <w:rFonts w:hint="eastAsia" w:ascii="宋体" w:hAnsi="宋体" w:cs="宋体"/>
                <w:szCs w:val="21"/>
                <w:lang w:val="zh-CN"/>
              </w:rPr>
              <w:t>规定的变更发生后，应重新进行安全审查。</w:t>
            </w:r>
          </w:p>
        </w:tc>
        <w:tc>
          <w:tcPr>
            <w:tcW w:w="2268" w:type="dxa"/>
          </w:tcPr>
          <w:p>
            <w:pPr>
              <w:spacing w:line="280" w:lineRule="exact"/>
              <w:rPr>
                <w:rFonts w:ascii="宋体" w:hAnsi="宋体" w:cs="宋体"/>
                <w:szCs w:val="21"/>
                <w:lang w:val="zh-CN"/>
              </w:rPr>
            </w:pPr>
            <w:r>
              <w:rPr>
                <w:rFonts w:hint="eastAsia" w:ascii="宋体" w:hAnsi="宋体" w:cs="宋体"/>
                <w:szCs w:val="21"/>
                <w:lang w:val="zh-CN"/>
              </w:rPr>
              <w:t>查文件：</w:t>
            </w:r>
          </w:p>
          <w:p>
            <w:pPr>
              <w:spacing w:line="280" w:lineRule="exact"/>
              <w:rPr>
                <w:rFonts w:ascii="宋体" w:hAnsi="宋体" w:cs="宋体"/>
                <w:szCs w:val="21"/>
                <w:lang w:val="zh-CN"/>
              </w:rPr>
            </w:pPr>
            <w:r>
              <w:rPr>
                <w:rFonts w:hint="eastAsia" w:ascii="宋体" w:hAnsi="宋体" w:cs="宋体"/>
                <w:szCs w:val="21"/>
                <w:lang w:val="zh-CN"/>
              </w:rPr>
              <w:t>1.变更资料，包括变更后向负责安全审查的安全监管部门报告的文件；</w:t>
            </w:r>
          </w:p>
          <w:p>
            <w:pPr>
              <w:spacing w:line="280" w:lineRule="exact"/>
              <w:rPr>
                <w:rFonts w:ascii="宋体" w:hAnsi="宋体" w:cs="宋体"/>
                <w:szCs w:val="21"/>
                <w:lang w:val="zh-CN"/>
              </w:rPr>
            </w:pPr>
            <w:r>
              <w:rPr>
                <w:rFonts w:hint="eastAsia" w:ascii="宋体" w:hAnsi="宋体" w:cs="宋体"/>
                <w:szCs w:val="21"/>
                <w:lang w:val="zh-CN"/>
              </w:rPr>
              <w:t>2.变更风险分析记录；</w:t>
            </w:r>
          </w:p>
          <w:p>
            <w:pPr>
              <w:spacing w:line="280" w:lineRule="exact"/>
              <w:rPr>
                <w:rFonts w:ascii="宋体" w:hAnsi="宋体" w:cs="宋体"/>
                <w:szCs w:val="21"/>
              </w:rPr>
            </w:pPr>
            <w:r>
              <w:rPr>
                <w:rFonts w:hint="eastAsia" w:ascii="宋体" w:hAnsi="宋体" w:cs="宋体"/>
                <w:szCs w:val="21"/>
                <w:lang w:val="zh-CN"/>
              </w:rPr>
              <w:t>3.安全评价报告和审查报告等。</w:t>
            </w:r>
          </w:p>
        </w:tc>
        <w:tc>
          <w:tcPr>
            <w:tcW w:w="1701" w:type="dxa"/>
          </w:tcPr>
          <w:p>
            <w:pPr>
              <w:spacing w:line="280" w:lineRule="exact"/>
              <w:rPr>
                <w:rFonts w:ascii="宋体" w:hAnsi="宋体" w:cs="宋体"/>
                <w:szCs w:val="21"/>
              </w:rPr>
            </w:pPr>
          </w:p>
        </w:tc>
        <w:tc>
          <w:tcPr>
            <w:tcW w:w="2268" w:type="dxa"/>
          </w:tcPr>
          <w:p>
            <w:pPr>
              <w:spacing w:line="280" w:lineRule="exact"/>
              <w:rPr>
                <w:rFonts w:ascii="宋体" w:hAnsi="宋体" w:cs="宋体"/>
                <w:szCs w:val="21"/>
                <w:lang w:val="zh-CN"/>
              </w:rPr>
            </w:pPr>
            <w:r>
              <w:rPr>
                <w:rFonts w:hint="eastAsia" w:ascii="宋体" w:hAnsi="宋体" w:cs="宋体"/>
                <w:szCs w:val="21"/>
                <w:lang w:val="zh-CN"/>
              </w:rPr>
              <w:t>1.未按变更管理程序实施变更管理的，一项扣3分；</w:t>
            </w:r>
          </w:p>
          <w:p>
            <w:pPr>
              <w:spacing w:line="280" w:lineRule="exact"/>
              <w:rPr>
                <w:rFonts w:ascii="宋体" w:hAnsi="宋体" w:cs="宋体"/>
                <w:szCs w:val="21"/>
                <w:lang w:val="zh-CN"/>
              </w:rPr>
            </w:pPr>
            <w:r>
              <w:rPr>
                <w:rFonts w:hint="eastAsia" w:ascii="宋体" w:hAnsi="宋体" w:cs="宋体"/>
                <w:szCs w:val="21"/>
                <w:lang w:val="zh-CN"/>
              </w:rPr>
              <w:t>2.变更过程未进行风险评价，一项扣3分；</w:t>
            </w:r>
          </w:p>
          <w:p>
            <w:pPr>
              <w:spacing w:line="280" w:lineRule="exact"/>
              <w:rPr>
                <w:rFonts w:ascii="宋体" w:hAnsi="宋体" w:cs="宋体"/>
                <w:szCs w:val="21"/>
              </w:rPr>
            </w:pPr>
            <w:r>
              <w:rPr>
                <w:rFonts w:hint="eastAsia" w:ascii="宋体" w:hAnsi="宋体" w:cs="宋体"/>
                <w:szCs w:val="21"/>
                <w:lang w:val="zh-CN"/>
              </w:rPr>
              <w:t>3.未按</w:t>
            </w:r>
            <w:r>
              <w:rPr>
                <w:rFonts w:hint="eastAsia" w:ascii="宋体" w:hAnsi="宋体" w:cs="宋体"/>
                <w:szCs w:val="21"/>
              </w:rPr>
              <w:t>安全监管总局有关危化品建设项目安全条件审查的规章</w:t>
            </w:r>
            <w:r>
              <w:rPr>
                <w:rFonts w:hint="eastAsia" w:ascii="宋体" w:hAnsi="宋体" w:cs="宋体"/>
                <w:szCs w:val="21"/>
                <w:lang w:val="zh-CN"/>
              </w:rPr>
              <w:t>规定需重新进行安全评价和项目设立安全审查的变更，未履行相关手续，一项扣5分。</w:t>
            </w:r>
          </w:p>
        </w:tc>
        <w:tc>
          <w:tcPr>
            <w:tcW w:w="1165" w:type="dxa"/>
            <w:vAlign w:val="center"/>
          </w:tcPr>
          <w:p>
            <w:pPr>
              <w:spacing w:line="280" w:lineRule="exact"/>
              <w:jc w:val="center"/>
              <w:rPr>
                <w:rFonts w:ascii="宋体" w:hAnsi="宋体" w:cs="宋体"/>
                <w:szCs w:val="21"/>
                <w:lang w:val="zh-CN"/>
              </w:rPr>
            </w:pPr>
            <w:r>
              <w:rPr>
                <w:rFonts w:hint="eastAsia" w:ascii="宋体" w:hAnsi="宋体" w:cs="宋体"/>
                <w:szCs w:val="21"/>
              </w:rPr>
              <w:t>不涉及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771" w:type="dxa"/>
            <w:vMerge w:val="continue"/>
          </w:tcPr>
          <w:p>
            <w:pPr>
              <w:spacing w:line="280" w:lineRule="exact"/>
              <w:rPr>
                <w:rFonts w:ascii="宋体" w:hAnsi="宋体" w:cs="宋体"/>
                <w:b/>
                <w:bCs/>
                <w:szCs w:val="21"/>
              </w:rPr>
            </w:pPr>
          </w:p>
        </w:tc>
        <w:tc>
          <w:tcPr>
            <w:tcW w:w="709" w:type="dxa"/>
            <w:vMerge w:val="continue"/>
          </w:tcPr>
          <w:p>
            <w:pPr>
              <w:spacing w:line="280" w:lineRule="exact"/>
              <w:rPr>
                <w:rFonts w:ascii="宋体" w:hAnsi="宋体" w:cs="宋体"/>
                <w:b/>
                <w:bCs/>
                <w:szCs w:val="21"/>
              </w:rPr>
            </w:pPr>
          </w:p>
        </w:tc>
        <w:tc>
          <w:tcPr>
            <w:tcW w:w="2409" w:type="dxa"/>
          </w:tcPr>
          <w:p>
            <w:pPr>
              <w:spacing w:line="280" w:lineRule="exact"/>
              <w:rPr>
                <w:rFonts w:ascii="宋体" w:hAnsi="宋体" w:cs="宋体"/>
                <w:szCs w:val="21"/>
              </w:rPr>
            </w:pPr>
            <w:r>
              <w:rPr>
                <w:rFonts w:hint="eastAsia" w:ascii="宋体" w:hAnsi="宋体" w:cs="宋体"/>
                <w:szCs w:val="21"/>
              </w:rPr>
              <w:t>5.企业应采用先进的、安全性能可靠的新技术、新工艺、新设备和新材料。</w:t>
            </w:r>
          </w:p>
        </w:tc>
        <w:tc>
          <w:tcPr>
            <w:tcW w:w="2268" w:type="dxa"/>
          </w:tcPr>
          <w:p>
            <w:pPr>
              <w:spacing w:line="280" w:lineRule="exact"/>
              <w:rPr>
                <w:rFonts w:ascii="宋体" w:hAnsi="宋体" w:cs="宋体"/>
                <w:szCs w:val="21"/>
              </w:rPr>
            </w:pPr>
            <w:r>
              <w:rPr>
                <w:rFonts w:hint="eastAsia" w:ascii="宋体" w:hAnsi="宋体" w:cs="宋体"/>
                <w:szCs w:val="21"/>
              </w:rPr>
              <w:t>1.采用先进的、安全性能可靠的新技术、新工艺、新设备和新材料；</w:t>
            </w:r>
          </w:p>
          <w:p>
            <w:pPr>
              <w:spacing w:line="280" w:lineRule="exact"/>
              <w:rPr>
                <w:rFonts w:ascii="宋体" w:hAnsi="宋体" w:cs="宋体"/>
                <w:szCs w:val="21"/>
              </w:rPr>
            </w:pPr>
            <w:r>
              <w:rPr>
                <w:rFonts w:hint="eastAsia" w:ascii="宋体" w:hAnsi="宋体" w:cs="宋体"/>
                <w:szCs w:val="21"/>
              </w:rPr>
              <w:t>2.新开发的危险化学品生产工艺，必须在小试、中试、工业化试验的基础上逐步放大到工业化生产。</w:t>
            </w:r>
          </w:p>
          <w:p>
            <w:pPr>
              <w:spacing w:line="280" w:lineRule="exact"/>
              <w:rPr>
                <w:rFonts w:ascii="宋体" w:hAnsi="宋体" w:cs="宋体"/>
                <w:szCs w:val="21"/>
              </w:rPr>
            </w:pPr>
            <w:r>
              <w:rPr>
                <w:rFonts w:hint="eastAsia" w:ascii="宋体" w:hAnsi="宋体" w:cs="宋体"/>
                <w:szCs w:val="21"/>
              </w:rPr>
              <w:t>3.国内首次采用的化工工艺，要通过省级有关部门组织专家组进行安全论证。</w:t>
            </w:r>
          </w:p>
        </w:tc>
        <w:tc>
          <w:tcPr>
            <w:tcW w:w="2268" w:type="dxa"/>
          </w:tcPr>
          <w:p>
            <w:pPr>
              <w:spacing w:line="280" w:lineRule="exact"/>
              <w:rPr>
                <w:rFonts w:ascii="宋体" w:hAnsi="宋体" w:cs="宋体"/>
                <w:szCs w:val="21"/>
                <w:lang w:val="zh-CN"/>
              </w:rPr>
            </w:pPr>
            <w:r>
              <w:rPr>
                <w:rFonts w:hint="eastAsia" w:ascii="宋体" w:hAnsi="宋体" w:cs="宋体"/>
                <w:szCs w:val="21"/>
                <w:lang w:val="zh-CN"/>
              </w:rPr>
              <w:t>查文件：</w:t>
            </w:r>
          </w:p>
          <w:p>
            <w:pPr>
              <w:spacing w:line="280" w:lineRule="exact"/>
              <w:rPr>
                <w:rFonts w:ascii="宋体" w:hAnsi="宋体" w:cs="宋体"/>
                <w:szCs w:val="21"/>
                <w:lang w:val="zh-CN"/>
              </w:rPr>
            </w:pPr>
            <w:r>
              <w:rPr>
                <w:rFonts w:hint="eastAsia" w:ascii="宋体" w:hAnsi="宋体" w:cs="宋体"/>
                <w:szCs w:val="21"/>
                <w:lang w:val="zh-CN"/>
              </w:rPr>
              <w:t>1.工艺设计文件；</w:t>
            </w:r>
          </w:p>
          <w:p>
            <w:pPr>
              <w:spacing w:line="280" w:lineRule="exact"/>
              <w:rPr>
                <w:rFonts w:ascii="宋体" w:hAnsi="宋体" w:cs="宋体"/>
                <w:szCs w:val="21"/>
                <w:lang w:val="zh-CN"/>
              </w:rPr>
            </w:pPr>
            <w:r>
              <w:rPr>
                <w:rFonts w:hint="eastAsia" w:ascii="宋体" w:hAnsi="宋体" w:cs="宋体"/>
                <w:szCs w:val="21"/>
                <w:lang w:val="zh-CN"/>
              </w:rPr>
              <w:t>2.新工艺小试、中试、工业化试验的报告。</w:t>
            </w:r>
          </w:p>
          <w:p>
            <w:pPr>
              <w:spacing w:line="280" w:lineRule="exact"/>
              <w:rPr>
                <w:rFonts w:ascii="宋体" w:hAnsi="宋体" w:cs="宋体"/>
                <w:szCs w:val="21"/>
              </w:rPr>
            </w:pPr>
            <w:r>
              <w:rPr>
                <w:rFonts w:hint="eastAsia" w:ascii="宋体" w:hAnsi="宋体" w:cs="宋体"/>
                <w:szCs w:val="21"/>
              </w:rPr>
              <w:t>现场检查：</w:t>
            </w:r>
          </w:p>
          <w:p>
            <w:pPr>
              <w:spacing w:line="280" w:lineRule="exact"/>
              <w:rPr>
                <w:rFonts w:ascii="宋体" w:hAnsi="宋体" w:cs="宋体"/>
                <w:szCs w:val="21"/>
                <w:lang w:val="zh-CN"/>
              </w:rPr>
            </w:pPr>
            <w:r>
              <w:rPr>
                <w:rFonts w:hint="eastAsia" w:ascii="宋体" w:hAnsi="宋体" w:cs="宋体"/>
                <w:szCs w:val="21"/>
              </w:rPr>
              <w:t>采用的设备、材料。</w:t>
            </w:r>
          </w:p>
        </w:tc>
        <w:tc>
          <w:tcPr>
            <w:tcW w:w="1701" w:type="dxa"/>
          </w:tcPr>
          <w:p>
            <w:pPr>
              <w:spacing w:line="280" w:lineRule="exact"/>
              <w:rPr>
                <w:rFonts w:ascii="宋体" w:hAnsi="宋体" w:cs="宋体"/>
                <w:szCs w:val="21"/>
                <w:lang w:val="zh-CN"/>
              </w:rPr>
            </w:pPr>
            <w:r>
              <w:rPr>
                <w:rFonts w:hint="eastAsia" w:ascii="宋体" w:hAnsi="宋体" w:cs="宋体"/>
                <w:szCs w:val="21"/>
                <w:lang w:val="zh-CN"/>
              </w:rPr>
              <w:t>1.采用国家明令淘汰的工艺、技术、设备、材料，扣100分（A级要素否决项）；</w:t>
            </w:r>
          </w:p>
          <w:p>
            <w:pPr>
              <w:spacing w:line="280" w:lineRule="exact"/>
              <w:rPr>
                <w:rFonts w:ascii="宋体" w:hAnsi="宋体" w:cs="宋体"/>
                <w:szCs w:val="21"/>
                <w:lang w:val="zh-CN"/>
              </w:rPr>
            </w:pPr>
            <w:r>
              <w:rPr>
                <w:rFonts w:hint="eastAsia" w:ascii="宋体" w:hAnsi="宋体" w:cs="宋体"/>
                <w:szCs w:val="21"/>
                <w:lang w:val="zh-CN"/>
              </w:rPr>
              <w:t>2.国内首次采用的化工工艺未经论证的，扣100分（A级要素否决项）；</w:t>
            </w:r>
          </w:p>
          <w:p>
            <w:pPr>
              <w:spacing w:line="280" w:lineRule="exact"/>
              <w:rPr>
                <w:rFonts w:ascii="宋体" w:hAnsi="宋体" w:cs="宋体"/>
                <w:szCs w:val="21"/>
              </w:rPr>
            </w:pPr>
            <w:r>
              <w:rPr>
                <w:rFonts w:hint="eastAsia" w:ascii="宋体" w:hAnsi="宋体" w:cs="宋体"/>
                <w:szCs w:val="21"/>
                <w:lang w:val="zh-CN"/>
              </w:rPr>
              <w:t>3.</w:t>
            </w:r>
            <w:r>
              <w:rPr>
                <w:rFonts w:hint="eastAsia" w:ascii="宋体" w:hAnsi="宋体" w:cs="宋体"/>
                <w:szCs w:val="21"/>
              </w:rPr>
              <w:t>新开发的危险化学品生产工艺，未经小试、中试、工业化试验直接进行工业化生产，扣10分（B级要素否决项）。</w:t>
            </w:r>
          </w:p>
        </w:tc>
        <w:tc>
          <w:tcPr>
            <w:tcW w:w="2268" w:type="dxa"/>
          </w:tcPr>
          <w:p>
            <w:pPr>
              <w:spacing w:line="280" w:lineRule="exact"/>
              <w:rPr>
                <w:rFonts w:ascii="宋体" w:hAnsi="宋体" w:cs="宋体"/>
                <w:szCs w:val="21"/>
              </w:rPr>
            </w:pPr>
          </w:p>
        </w:tc>
        <w:tc>
          <w:tcPr>
            <w:tcW w:w="1165" w:type="dxa"/>
            <w:vAlign w:val="center"/>
          </w:tcPr>
          <w:p>
            <w:pPr>
              <w:spacing w:line="280" w:lineRule="exact"/>
              <w:jc w:val="center"/>
              <w:rPr>
                <w:rFonts w:ascii="宋体" w:hAnsi="宋体" w:cs="宋体"/>
                <w:szCs w:val="21"/>
              </w:rPr>
            </w:pPr>
            <w:r>
              <w:rPr>
                <w:rFonts w:hint="eastAsia" w:ascii="宋体" w:hAnsi="宋体" w:cs="宋体"/>
                <w:szCs w:val="21"/>
              </w:rPr>
              <w:t>不涉及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771" w:type="dxa"/>
            <w:vMerge w:val="continue"/>
          </w:tcPr>
          <w:p>
            <w:pPr>
              <w:spacing w:line="280" w:lineRule="exact"/>
              <w:rPr>
                <w:rFonts w:ascii="宋体" w:hAnsi="宋体" w:cs="宋体"/>
                <w:b/>
                <w:bCs/>
                <w:szCs w:val="21"/>
              </w:rPr>
            </w:pPr>
          </w:p>
        </w:tc>
        <w:tc>
          <w:tcPr>
            <w:tcW w:w="709" w:type="dxa"/>
            <w:vMerge w:val="restart"/>
          </w:tcPr>
          <w:p>
            <w:pPr>
              <w:spacing w:line="280" w:lineRule="exact"/>
              <w:rPr>
                <w:rFonts w:ascii="宋体" w:hAnsi="宋体" w:cs="宋体"/>
                <w:b/>
                <w:bCs/>
                <w:szCs w:val="21"/>
                <w:lang w:val="zh-CN"/>
              </w:rPr>
            </w:pPr>
            <w:r>
              <w:rPr>
                <w:rFonts w:hint="eastAsia" w:ascii="宋体" w:hAnsi="宋体" w:cs="宋体"/>
                <w:b/>
                <w:bCs/>
                <w:szCs w:val="21"/>
                <w:lang w:val="zh-CN"/>
              </w:rPr>
              <w:t>6.2安全设施</w:t>
            </w:r>
          </w:p>
          <w:p>
            <w:pPr>
              <w:spacing w:line="280" w:lineRule="exact"/>
              <w:rPr>
                <w:rFonts w:ascii="宋体" w:hAnsi="宋体" w:cs="宋体"/>
                <w:b/>
                <w:bCs/>
                <w:szCs w:val="21"/>
              </w:rPr>
            </w:pPr>
            <w:r>
              <w:rPr>
                <w:rFonts w:hint="eastAsia" w:ascii="宋体" w:hAnsi="宋体" w:cs="宋体"/>
                <w:b/>
                <w:bCs/>
                <w:szCs w:val="21"/>
                <w:lang w:val="zh-CN"/>
              </w:rPr>
              <w:t>（20分）</w:t>
            </w:r>
          </w:p>
        </w:tc>
        <w:tc>
          <w:tcPr>
            <w:tcW w:w="2409" w:type="dxa"/>
          </w:tcPr>
          <w:p>
            <w:pPr>
              <w:spacing w:line="280" w:lineRule="exact"/>
              <w:rPr>
                <w:rFonts w:ascii="宋体" w:hAnsi="宋体" w:cs="宋体"/>
                <w:szCs w:val="21"/>
              </w:rPr>
            </w:pPr>
            <w:r>
              <w:rPr>
                <w:rFonts w:hint="eastAsia" w:ascii="宋体" w:hAnsi="宋体" w:cs="宋体"/>
                <w:szCs w:val="21"/>
              </w:rPr>
              <w:t>1.企业应严格执行安全设施管理制度，建立安全设施台账。</w:t>
            </w:r>
          </w:p>
        </w:tc>
        <w:tc>
          <w:tcPr>
            <w:tcW w:w="2268" w:type="dxa"/>
          </w:tcPr>
          <w:p>
            <w:pPr>
              <w:spacing w:line="280" w:lineRule="exact"/>
              <w:rPr>
                <w:rFonts w:ascii="宋体" w:hAnsi="宋体" w:cs="宋体"/>
                <w:szCs w:val="21"/>
              </w:rPr>
            </w:pPr>
            <w:r>
              <w:rPr>
                <w:rFonts w:hint="eastAsia" w:ascii="宋体" w:hAnsi="宋体" w:cs="宋体"/>
                <w:szCs w:val="21"/>
              </w:rPr>
              <w:t>建立安全设施台账。</w:t>
            </w:r>
          </w:p>
        </w:tc>
        <w:tc>
          <w:tcPr>
            <w:tcW w:w="2268" w:type="dxa"/>
          </w:tcPr>
          <w:p>
            <w:pPr>
              <w:spacing w:line="280" w:lineRule="exact"/>
              <w:rPr>
                <w:rFonts w:ascii="宋体" w:hAnsi="宋体" w:cs="宋体"/>
                <w:szCs w:val="21"/>
                <w:lang w:val="zh-CN"/>
              </w:rPr>
            </w:pPr>
            <w:r>
              <w:rPr>
                <w:rFonts w:hint="eastAsia" w:ascii="宋体" w:hAnsi="宋体" w:cs="宋体"/>
                <w:szCs w:val="21"/>
                <w:lang w:val="zh-CN"/>
              </w:rPr>
              <w:t>查文件：</w:t>
            </w:r>
          </w:p>
          <w:p>
            <w:pPr>
              <w:spacing w:line="280" w:lineRule="exact"/>
              <w:rPr>
                <w:rFonts w:ascii="宋体" w:hAnsi="宋体" w:cs="宋体"/>
                <w:szCs w:val="21"/>
                <w:lang w:val="zh-CN"/>
              </w:rPr>
            </w:pPr>
            <w:r>
              <w:rPr>
                <w:rFonts w:hint="eastAsia" w:ascii="宋体" w:hAnsi="宋体" w:cs="宋体"/>
                <w:szCs w:val="21"/>
                <w:lang w:val="zh-CN"/>
              </w:rPr>
              <w:t>安全设施管理台账。</w:t>
            </w:r>
          </w:p>
          <w:p>
            <w:pPr>
              <w:spacing w:line="280" w:lineRule="exact"/>
              <w:rPr>
                <w:rFonts w:ascii="宋体" w:hAnsi="宋体" w:cs="宋体"/>
                <w:szCs w:val="21"/>
                <w:lang w:val="zh-CN"/>
              </w:rPr>
            </w:pPr>
          </w:p>
        </w:tc>
        <w:tc>
          <w:tcPr>
            <w:tcW w:w="1701" w:type="dxa"/>
          </w:tcPr>
          <w:p>
            <w:pPr>
              <w:spacing w:line="280" w:lineRule="exact"/>
              <w:rPr>
                <w:rFonts w:ascii="宋体" w:hAnsi="宋体" w:cs="宋体"/>
                <w:szCs w:val="21"/>
                <w:lang w:val="zh-CN"/>
              </w:rPr>
            </w:pPr>
          </w:p>
        </w:tc>
        <w:tc>
          <w:tcPr>
            <w:tcW w:w="2268" w:type="dxa"/>
          </w:tcPr>
          <w:p>
            <w:pPr>
              <w:spacing w:line="280" w:lineRule="exact"/>
              <w:rPr>
                <w:rFonts w:ascii="宋体" w:hAnsi="宋体" w:cs="宋体"/>
                <w:szCs w:val="21"/>
              </w:rPr>
            </w:pPr>
            <w:r>
              <w:rPr>
                <w:rFonts w:hint="eastAsia" w:ascii="宋体" w:hAnsi="宋体" w:cs="宋体"/>
                <w:szCs w:val="21"/>
                <w:lang w:val="zh-CN"/>
              </w:rPr>
              <w:t>未建立安全设施台账，扣5分；台账内容不符合要求，一项扣1分。</w:t>
            </w:r>
          </w:p>
        </w:tc>
        <w:tc>
          <w:tcPr>
            <w:tcW w:w="1165" w:type="dxa"/>
            <w:vAlign w:val="center"/>
          </w:tcPr>
          <w:p>
            <w:pPr>
              <w:jc w:val="center"/>
              <w:rPr>
                <w:rFonts w:ascii="宋体" w:hAnsi="宋体" w:cs="宋体"/>
                <w:szCs w:val="21"/>
              </w:rPr>
            </w:pPr>
            <w:r>
              <w:rPr>
                <w:rFonts w:hint="eastAsia" w:ascii="宋体" w:hAnsi="宋体" w:cs="宋体"/>
                <w:szCs w:val="21"/>
              </w:rPr>
              <w:t>符合要求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771" w:type="dxa"/>
            <w:vMerge w:val="continue"/>
          </w:tcPr>
          <w:p>
            <w:pPr>
              <w:spacing w:line="280" w:lineRule="exact"/>
              <w:rPr>
                <w:rFonts w:ascii="宋体" w:hAnsi="宋体" w:cs="宋体"/>
                <w:b/>
                <w:bCs/>
                <w:szCs w:val="21"/>
              </w:rPr>
            </w:pPr>
          </w:p>
        </w:tc>
        <w:tc>
          <w:tcPr>
            <w:tcW w:w="709" w:type="dxa"/>
            <w:vMerge w:val="continue"/>
          </w:tcPr>
          <w:p>
            <w:pPr>
              <w:spacing w:line="280" w:lineRule="exact"/>
              <w:rPr>
                <w:rFonts w:ascii="宋体" w:hAnsi="宋体" w:cs="宋体"/>
                <w:b/>
                <w:bCs/>
                <w:szCs w:val="21"/>
              </w:rPr>
            </w:pPr>
          </w:p>
        </w:tc>
        <w:tc>
          <w:tcPr>
            <w:tcW w:w="2409" w:type="dxa"/>
            <w:vMerge w:val="restart"/>
          </w:tcPr>
          <w:p>
            <w:pPr>
              <w:spacing w:line="280" w:lineRule="exact"/>
              <w:rPr>
                <w:rFonts w:ascii="宋体" w:hAnsi="宋体" w:cs="宋体"/>
                <w:szCs w:val="21"/>
              </w:rPr>
            </w:pPr>
            <w:r>
              <w:rPr>
                <w:rFonts w:hint="eastAsia" w:ascii="宋体" w:hAnsi="宋体" w:cs="宋体"/>
                <w:szCs w:val="21"/>
              </w:rPr>
              <w:t>2.企业应确保安全设施配备符合国家有关规定和标准,做到：</w:t>
            </w:r>
          </w:p>
          <w:p>
            <w:pPr>
              <w:spacing w:line="280" w:lineRule="exact"/>
              <w:rPr>
                <w:rFonts w:ascii="宋体" w:hAnsi="宋体" w:cs="宋体"/>
                <w:szCs w:val="21"/>
              </w:rPr>
            </w:pPr>
            <w:r>
              <w:rPr>
                <w:rFonts w:hint="eastAsia" w:ascii="宋体" w:hAnsi="宋体" w:cs="宋体"/>
                <w:szCs w:val="21"/>
              </w:rPr>
              <w:t>（1）宜按照SH3063－1999在易燃、易爆、有毒区域设置固定式可燃气体和/或有毒气体的检测报警设施，报警信号应发送至工艺装置、储运设施等控制室或操作室；</w:t>
            </w:r>
          </w:p>
          <w:p>
            <w:pPr>
              <w:spacing w:line="280" w:lineRule="exact"/>
              <w:rPr>
                <w:rFonts w:ascii="宋体" w:hAnsi="宋体" w:cs="宋体"/>
                <w:szCs w:val="21"/>
              </w:rPr>
            </w:pPr>
            <w:r>
              <w:rPr>
                <w:rFonts w:hint="eastAsia" w:ascii="宋体" w:hAnsi="宋体" w:cs="宋体"/>
                <w:szCs w:val="21"/>
              </w:rPr>
              <w:t>（2）按照GB50351在可燃液体罐区设置防火堤，在酸、碱罐区设置围堤并进行防腐处理；</w:t>
            </w:r>
          </w:p>
          <w:p>
            <w:pPr>
              <w:spacing w:line="280" w:lineRule="exact"/>
              <w:rPr>
                <w:rFonts w:ascii="宋体" w:hAnsi="宋体" w:cs="宋体"/>
                <w:szCs w:val="21"/>
              </w:rPr>
            </w:pPr>
            <w:r>
              <w:rPr>
                <w:rFonts w:hint="eastAsia" w:ascii="宋体" w:hAnsi="宋体" w:cs="宋体"/>
                <w:szCs w:val="21"/>
              </w:rPr>
              <w:t>（3）宜按照SH3097－2000在输送易燃物料的设备、管道安装防静电设施；</w:t>
            </w:r>
          </w:p>
          <w:p>
            <w:pPr>
              <w:spacing w:line="280" w:lineRule="exact"/>
              <w:rPr>
                <w:rFonts w:ascii="宋体" w:hAnsi="宋体" w:cs="宋体"/>
                <w:szCs w:val="21"/>
              </w:rPr>
            </w:pPr>
            <w:r>
              <w:rPr>
                <w:rFonts w:hint="eastAsia" w:ascii="宋体" w:hAnsi="宋体" w:cs="宋体"/>
                <w:szCs w:val="21"/>
              </w:rPr>
              <w:t>（4）按照GB50057在厂区安装防雷设施；</w:t>
            </w:r>
          </w:p>
          <w:p>
            <w:pPr>
              <w:spacing w:line="280" w:lineRule="exact"/>
              <w:rPr>
                <w:rFonts w:ascii="宋体" w:hAnsi="宋体" w:cs="宋体"/>
                <w:szCs w:val="21"/>
              </w:rPr>
            </w:pPr>
            <w:r>
              <w:rPr>
                <w:rFonts w:hint="eastAsia" w:ascii="宋体" w:hAnsi="宋体" w:cs="宋体"/>
                <w:szCs w:val="21"/>
              </w:rPr>
              <w:t>（5）按照GB50016、GB50140配置消防设施与</w:t>
            </w:r>
          </w:p>
          <w:p>
            <w:pPr>
              <w:spacing w:line="280" w:lineRule="exact"/>
              <w:rPr>
                <w:rFonts w:ascii="宋体" w:hAnsi="宋体" w:cs="宋体"/>
                <w:szCs w:val="21"/>
              </w:rPr>
            </w:pPr>
            <w:r>
              <w:rPr>
                <w:rFonts w:hint="eastAsia" w:ascii="宋体" w:hAnsi="宋体" w:cs="宋体"/>
                <w:szCs w:val="21"/>
              </w:rPr>
              <w:t>器材；</w:t>
            </w:r>
          </w:p>
          <w:p>
            <w:pPr>
              <w:spacing w:line="280" w:lineRule="exact"/>
              <w:rPr>
                <w:rFonts w:ascii="宋体" w:hAnsi="宋体" w:cs="宋体"/>
                <w:szCs w:val="21"/>
              </w:rPr>
            </w:pPr>
            <w:r>
              <w:rPr>
                <w:rFonts w:hint="eastAsia" w:ascii="宋体" w:hAnsi="宋体" w:cs="宋体"/>
                <w:szCs w:val="21"/>
              </w:rPr>
              <w:t>（6）按照GB50058设置电力装置；</w:t>
            </w:r>
          </w:p>
          <w:p>
            <w:pPr>
              <w:spacing w:line="280" w:lineRule="exact"/>
              <w:rPr>
                <w:rFonts w:ascii="宋体" w:hAnsi="宋体" w:cs="宋体"/>
                <w:szCs w:val="21"/>
              </w:rPr>
            </w:pPr>
            <w:r>
              <w:rPr>
                <w:rFonts w:hint="eastAsia" w:ascii="宋体" w:hAnsi="宋体" w:cs="宋体"/>
                <w:szCs w:val="21"/>
              </w:rPr>
              <w:t xml:space="preserve">（7）按照GB11651配备个体防护设施； </w:t>
            </w:r>
          </w:p>
          <w:p>
            <w:pPr>
              <w:spacing w:line="280" w:lineRule="exact"/>
              <w:rPr>
                <w:rFonts w:ascii="宋体" w:hAnsi="宋体" w:cs="宋体"/>
                <w:szCs w:val="21"/>
              </w:rPr>
            </w:pPr>
            <w:r>
              <w:rPr>
                <w:rFonts w:hint="eastAsia" w:ascii="宋体" w:hAnsi="宋体" w:cs="宋体"/>
                <w:szCs w:val="21"/>
              </w:rPr>
              <w:t>（8）厂房、库房建筑应符合GB50016、GB50160；</w:t>
            </w:r>
          </w:p>
          <w:p>
            <w:pPr>
              <w:spacing w:line="280" w:lineRule="exact"/>
              <w:rPr>
                <w:rFonts w:ascii="宋体" w:hAnsi="宋体" w:cs="宋体"/>
                <w:szCs w:val="21"/>
              </w:rPr>
            </w:pPr>
            <w:r>
              <w:rPr>
                <w:rFonts w:hint="eastAsia" w:ascii="宋体" w:hAnsi="宋体" w:cs="宋体"/>
                <w:szCs w:val="21"/>
              </w:rPr>
              <w:t>（9）在工艺装置上可能引起火灾、爆炸的部位设置超温、超压等检测仪表、声和/或光报警和安全联锁装置等设施。</w:t>
            </w:r>
          </w:p>
        </w:tc>
        <w:tc>
          <w:tcPr>
            <w:tcW w:w="2268" w:type="dxa"/>
          </w:tcPr>
          <w:p>
            <w:pPr>
              <w:spacing w:line="280" w:lineRule="exact"/>
              <w:rPr>
                <w:rFonts w:ascii="宋体" w:hAnsi="宋体" w:cs="宋体"/>
                <w:szCs w:val="21"/>
              </w:rPr>
            </w:pPr>
            <w:r>
              <w:rPr>
                <w:rFonts w:hint="eastAsia" w:ascii="宋体" w:hAnsi="宋体" w:cs="宋体"/>
                <w:szCs w:val="21"/>
              </w:rPr>
              <w:t>按照国家有关规定和标准设置安全设施,做到：</w:t>
            </w:r>
          </w:p>
          <w:p>
            <w:pPr>
              <w:spacing w:line="280" w:lineRule="exact"/>
              <w:rPr>
                <w:rFonts w:ascii="宋体" w:hAnsi="宋体" w:cs="宋体"/>
                <w:szCs w:val="21"/>
              </w:rPr>
            </w:pPr>
            <w:r>
              <w:rPr>
                <w:rFonts w:hint="eastAsia" w:ascii="宋体" w:hAnsi="宋体" w:cs="宋体"/>
                <w:szCs w:val="21"/>
              </w:rPr>
              <w:t>（1）按照GB50493在易燃、易爆、有毒区域设置固定式可燃气体和/或有毒有害气体泄漏的检测报警设施，报警信号应发送至工艺装置、储运设施等控制室或操作室；</w:t>
            </w:r>
          </w:p>
          <w:p>
            <w:pPr>
              <w:spacing w:line="280" w:lineRule="exact"/>
              <w:rPr>
                <w:rFonts w:ascii="宋体" w:hAnsi="宋体" w:cs="宋体"/>
                <w:szCs w:val="21"/>
              </w:rPr>
            </w:pPr>
            <w:r>
              <w:rPr>
                <w:rFonts w:hint="eastAsia" w:ascii="宋体" w:hAnsi="宋体" w:cs="宋体"/>
                <w:szCs w:val="21"/>
              </w:rPr>
              <w:t>（2）按照GB50351在可燃液体罐区设置防火堤，在酸、碱罐区设置围堤并进行防腐处理；</w:t>
            </w:r>
          </w:p>
          <w:p>
            <w:pPr>
              <w:spacing w:line="280" w:lineRule="exact"/>
              <w:rPr>
                <w:rFonts w:ascii="宋体" w:hAnsi="宋体" w:cs="宋体"/>
                <w:szCs w:val="21"/>
              </w:rPr>
            </w:pPr>
            <w:r>
              <w:rPr>
                <w:rFonts w:hint="eastAsia" w:ascii="宋体" w:hAnsi="宋体" w:cs="宋体"/>
                <w:szCs w:val="21"/>
              </w:rPr>
              <w:t>（3）宜按照SH3097－2000在输送易燃物料的设备、管道上安装防静电设施；</w:t>
            </w:r>
          </w:p>
          <w:p>
            <w:pPr>
              <w:spacing w:line="280" w:lineRule="exact"/>
              <w:rPr>
                <w:rFonts w:ascii="宋体" w:hAnsi="宋体" w:cs="宋体"/>
                <w:szCs w:val="21"/>
              </w:rPr>
            </w:pPr>
            <w:r>
              <w:rPr>
                <w:rFonts w:hint="eastAsia" w:ascii="宋体" w:hAnsi="宋体" w:cs="宋体"/>
                <w:szCs w:val="21"/>
              </w:rPr>
              <w:t>（4）按照GB50057在厂区安装防雷设施；</w:t>
            </w:r>
          </w:p>
          <w:p>
            <w:pPr>
              <w:spacing w:line="280" w:lineRule="exact"/>
              <w:rPr>
                <w:rFonts w:ascii="宋体" w:hAnsi="宋体" w:cs="宋体"/>
                <w:szCs w:val="21"/>
              </w:rPr>
            </w:pPr>
            <w:r>
              <w:rPr>
                <w:rFonts w:hint="eastAsia" w:ascii="宋体" w:hAnsi="宋体" w:cs="宋体"/>
                <w:szCs w:val="21"/>
              </w:rPr>
              <w:t>（5）按照GB50016、GB50140配置消防设施与器材；</w:t>
            </w:r>
          </w:p>
          <w:p>
            <w:pPr>
              <w:spacing w:line="280" w:lineRule="exact"/>
              <w:rPr>
                <w:rFonts w:ascii="宋体" w:hAnsi="宋体" w:cs="宋体"/>
                <w:szCs w:val="21"/>
              </w:rPr>
            </w:pPr>
            <w:r>
              <w:rPr>
                <w:rFonts w:hint="eastAsia" w:ascii="宋体" w:hAnsi="宋体" w:cs="宋体"/>
                <w:szCs w:val="21"/>
              </w:rPr>
              <w:t>（6）按照GB50058设置电力装置；</w:t>
            </w:r>
          </w:p>
          <w:p>
            <w:pPr>
              <w:spacing w:line="280" w:lineRule="exact"/>
              <w:rPr>
                <w:rFonts w:ascii="宋体" w:hAnsi="宋体" w:cs="宋体"/>
                <w:szCs w:val="21"/>
              </w:rPr>
            </w:pPr>
            <w:r>
              <w:rPr>
                <w:rFonts w:hint="eastAsia" w:ascii="宋体" w:hAnsi="宋体" w:cs="宋体"/>
                <w:szCs w:val="21"/>
              </w:rPr>
              <w:t xml:space="preserve">（7）按照GB11651配备个体防护设施； </w:t>
            </w:r>
          </w:p>
          <w:p>
            <w:pPr>
              <w:spacing w:line="280" w:lineRule="exact"/>
              <w:rPr>
                <w:rFonts w:ascii="宋体" w:hAnsi="宋体" w:cs="宋体"/>
                <w:szCs w:val="21"/>
              </w:rPr>
            </w:pPr>
            <w:r>
              <w:rPr>
                <w:rFonts w:hint="eastAsia" w:ascii="宋体" w:hAnsi="宋体" w:cs="宋体"/>
                <w:szCs w:val="21"/>
              </w:rPr>
              <w:t>（8）厂房、库房建筑应符合GB50016、</w:t>
            </w:r>
          </w:p>
          <w:p>
            <w:pPr>
              <w:spacing w:line="280" w:lineRule="exact"/>
              <w:rPr>
                <w:rFonts w:ascii="宋体" w:hAnsi="宋体" w:cs="宋体"/>
                <w:szCs w:val="21"/>
              </w:rPr>
            </w:pPr>
            <w:r>
              <w:rPr>
                <w:rFonts w:hint="eastAsia" w:ascii="宋体" w:hAnsi="宋体" w:cs="宋体"/>
                <w:szCs w:val="21"/>
              </w:rPr>
              <w:t>GB50160的有关要求；</w:t>
            </w:r>
          </w:p>
          <w:p>
            <w:pPr>
              <w:spacing w:line="280" w:lineRule="exact"/>
              <w:rPr>
                <w:rFonts w:ascii="宋体" w:hAnsi="宋体" w:cs="宋体"/>
                <w:szCs w:val="21"/>
              </w:rPr>
            </w:pPr>
            <w:r>
              <w:rPr>
                <w:rFonts w:hint="eastAsia" w:ascii="宋体" w:hAnsi="宋体" w:cs="宋体"/>
                <w:szCs w:val="21"/>
              </w:rPr>
              <w:t>（9）在工艺装置上可能引起火灾、爆炸的部位设置超温、超压等检测仪表、声和/或光报警和安全联锁装置等设施；</w:t>
            </w:r>
          </w:p>
          <w:p>
            <w:pPr>
              <w:spacing w:line="280" w:lineRule="exact"/>
              <w:rPr>
                <w:rFonts w:ascii="宋体" w:hAnsi="宋体" w:cs="宋体"/>
                <w:szCs w:val="21"/>
              </w:rPr>
            </w:pPr>
            <w:r>
              <w:rPr>
                <w:rFonts w:hint="eastAsia" w:ascii="宋体" w:hAnsi="宋体" w:cs="宋体"/>
                <w:szCs w:val="21"/>
              </w:rPr>
              <w:t>（10）新建大型和危险程度高的化工装置，在设计阶段要进行仪表系统安全完整性等级评估，选用安全可靠的仪表、联锁控制系统；</w:t>
            </w:r>
          </w:p>
          <w:p>
            <w:pPr>
              <w:spacing w:line="280" w:lineRule="exact"/>
              <w:rPr>
                <w:rFonts w:ascii="宋体" w:hAnsi="宋体" w:cs="宋体"/>
                <w:szCs w:val="21"/>
              </w:rPr>
            </w:pPr>
            <w:r>
              <w:rPr>
                <w:rFonts w:hint="eastAsia" w:ascii="宋体" w:hAnsi="宋体" w:cs="宋体"/>
                <w:szCs w:val="21"/>
              </w:rPr>
              <w:t>（11）专家诊断按标准、规范应设置的其他安全设施。</w:t>
            </w:r>
          </w:p>
        </w:tc>
        <w:tc>
          <w:tcPr>
            <w:tcW w:w="2268" w:type="dxa"/>
          </w:tcPr>
          <w:p>
            <w:pPr>
              <w:spacing w:line="280" w:lineRule="exact"/>
              <w:rPr>
                <w:rFonts w:ascii="宋体" w:hAnsi="宋体" w:cs="宋体"/>
                <w:szCs w:val="21"/>
                <w:lang w:val="zh-CN"/>
              </w:rPr>
            </w:pPr>
            <w:r>
              <w:rPr>
                <w:rFonts w:hint="eastAsia" w:ascii="宋体" w:hAnsi="宋体" w:cs="宋体"/>
                <w:szCs w:val="21"/>
                <w:lang w:val="zh-CN"/>
              </w:rPr>
              <w:t>查文件：</w:t>
            </w:r>
          </w:p>
          <w:p>
            <w:pPr>
              <w:spacing w:line="280" w:lineRule="exact"/>
              <w:rPr>
                <w:rFonts w:ascii="宋体" w:hAnsi="宋体" w:cs="宋体"/>
                <w:szCs w:val="21"/>
                <w:lang w:val="zh-CN"/>
              </w:rPr>
            </w:pPr>
            <w:r>
              <w:rPr>
                <w:rFonts w:hint="eastAsia" w:ascii="宋体" w:hAnsi="宋体" w:cs="宋体"/>
                <w:szCs w:val="21"/>
                <w:lang w:val="zh-CN"/>
              </w:rPr>
              <w:t>安全设施管理台账。</w:t>
            </w:r>
          </w:p>
          <w:p>
            <w:pPr>
              <w:spacing w:line="280" w:lineRule="exact"/>
              <w:rPr>
                <w:rFonts w:ascii="宋体" w:hAnsi="宋体" w:cs="宋体"/>
                <w:szCs w:val="21"/>
                <w:lang w:val="zh-CN"/>
              </w:rPr>
            </w:pPr>
            <w:r>
              <w:rPr>
                <w:rFonts w:hint="eastAsia" w:ascii="宋体" w:hAnsi="宋体" w:cs="宋体"/>
                <w:szCs w:val="21"/>
                <w:lang w:val="zh-CN"/>
              </w:rPr>
              <w:t>现场检查：</w:t>
            </w:r>
          </w:p>
          <w:p>
            <w:pPr>
              <w:spacing w:line="280" w:lineRule="exact"/>
              <w:rPr>
                <w:rFonts w:ascii="宋体" w:hAnsi="宋体" w:cs="宋体"/>
                <w:szCs w:val="21"/>
                <w:lang w:val="zh-CN"/>
              </w:rPr>
            </w:pPr>
            <w:r>
              <w:rPr>
                <w:rFonts w:hint="eastAsia" w:ascii="宋体" w:hAnsi="宋体" w:cs="宋体"/>
                <w:szCs w:val="21"/>
                <w:lang w:val="zh-CN"/>
              </w:rPr>
              <w:t>各种安全设施的配备情况。</w:t>
            </w:r>
          </w:p>
          <w:p>
            <w:pPr>
              <w:spacing w:line="280" w:lineRule="exact"/>
              <w:rPr>
                <w:rFonts w:ascii="宋体" w:hAnsi="宋体" w:cs="宋体"/>
                <w:szCs w:val="21"/>
                <w:lang w:val="zh-CN"/>
              </w:rPr>
            </w:pPr>
          </w:p>
          <w:p>
            <w:pPr>
              <w:spacing w:line="280" w:lineRule="exact"/>
              <w:rPr>
                <w:rFonts w:ascii="宋体" w:hAnsi="宋体" w:cs="宋体"/>
                <w:szCs w:val="21"/>
                <w:lang w:val="zh-CN"/>
              </w:rPr>
            </w:pPr>
          </w:p>
          <w:p>
            <w:pPr>
              <w:spacing w:line="280" w:lineRule="exact"/>
              <w:rPr>
                <w:rFonts w:ascii="宋体" w:hAnsi="宋体" w:cs="宋体"/>
                <w:szCs w:val="21"/>
                <w:lang w:val="zh-CN"/>
              </w:rPr>
            </w:pPr>
          </w:p>
          <w:p>
            <w:pPr>
              <w:spacing w:line="280" w:lineRule="exact"/>
              <w:rPr>
                <w:rFonts w:ascii="宋体" w:hAnsi="宋体" w:cs="宋体"/>
                <w:szCs w:val="21"/>
                <w:lang w:val="zh-CN"/>
              </w:rPr>
            </w:pPr>
          </w:p>
          <w:p>
            <w:pPr>
              <w:spacing w:line="280" w:lineRule="exact"/>
              <w:rPr>
                <w:rFonts w:ascii="宋体" w:hAnsi="宋体" w:cs="宋体"/>
                <w:szCs w:val="21"/>
                <w:lang w:val="zh-CN"/>
              </w:rPr>
            </w:pPr>
          </w:p>
          <w:p>
            <w:pPr>
              <w:spacing w:line="280" w:lineRule="exact"/>
              <w:rPr>
                <w:rFonts w:ascii="宋体" w:hAnsi="宋体" w:cs="宋体"/>
                <w:szCs w:val="21"/>
                <w:lang w:val="zh-CN"/>
              </w:rPr>
            </w:pPr>
          </w:p>
          <w:p>
            <w:pPr>
              <w:spacing w:line="280" w:lineRule="exact"/>
              <w:rPr>
                <w:rFonts w:ascii="宋体" w:hAnsi="宋体" w:cs="宋体"/>
                <w:szCs w:val="21"/>
                <w:lang w:val="zh-CN"/>
              </w:rPr>
            </w:pPr>
          </w:p>
          <w:p>
            <w:pPr>
              <w:spacing w:line="280" w:lineRule="exact"/>
              <w:rPr>
                <w:rFonts w:ascii="宋体" w:hAnsi="宋体" w:cs="宋体"/>
                <w:szCs w:val="21"/>
                <w:lang w:val="zh-CN"/>
              </w:rPr>
            </w:pPr>
          </w:p>
          <w:p>
            <w:pPr>
              <w:spacing w:line="280" w:lineRule="exact"/>
              <w:rPr>
                <w:rFonts w:ascii="宋体" w:hAnsi="宋体" w:cs="宋体"/>
                <w:szCs w:val="21"/>
                <w:lang w:val="zh-CN"/>
              </w:rPr>
            </w:pPr>
          </w:p>
          <w:p>
            <w:pPr>
              <w:spacing w:line="280" w:lineRule="exact"/>
              <w:rPr>
                <w:rFonts w:ascii="宋体" w:hAnsi="宋体" w:cs="宋体"/>
                <w:szCs w:val="21"/>
                <w:lang w:val="zh-CN"/>
              </w:rPr>
            </w:pPr>
          </w:p>
          <w:p>
            <w:pPr>
              <w:spacing w:line="280" w:lineRule="exact"/>
              <w:rPr>
                <w:rFonts w:ascii="宋体" w:hAnsi="宋体" w:cs="宋体"/>
                <w:szCs w:val="21"/>
                <w:lang w:val="zh-CN"/>
              </w:rPr>
            </w:pPr>
          </w:p>
          <w:p>
            <w:pPr>
              <w:spacing w:line="280" w:lineRule="exact"/>
              <w:rPr>
                <w:rFonts w:ascii="宋体" w:hAnsi="宋体" w:cs="宋体"/>
                <w:szCs w:val="21"/>
                <w:lang w:val="zh-CN"/>
              </w:rPr>
            </w:pPr>
          </w:p>
          <w:p>
            <w:pPr>
              <w:spacing w:line="280" w:lineRule="exact"/>
              <w:rPr>
                <w:rFonts w:ascii="宋体" w:hAnsi="宋体" w:cs="宋体"/>
                <w:szCs w:val="21"/>
                <w:lang w:val="zh-CN"/>
              </w:rPr>
            </w:pPr>
          </w:p>
          <w:p>
            <w:pPr>
              <w:spacing w:line="280" w:lineRule="exact"/>
              <w:rPr>
                <w:rFonts w:ascii="宋体" w:hAnsi="宋体" w:cs="宋体"/>
                <w:szCs w:val="21"/>
                <w:lang w:val="zh-CN"/>
              </w:rPr>
            </w:pPr>
          </w:p>
          <w:p>
            <w:pPr>
              <w:spacing w:line="280" w:lineRule="exact"/>
              <w:rPr>
                <w:rFonts w:ascii="宋体" w:hAnsi="宋体" w:cs="宋体"/>
                <w:szCs w:val="21"/>
                <w:lang w:val="zh-CN"/>
              </w:rPr>
            </w:pPr>
          </w:p>
          <w:p>
            <w:pPr>
              <w:spacing w:line="280" w:lineRule="exact"/>
              <w:rPr>
                <w:rFonts w:ascii="宋体" w:hAnsi="宋体" w:cs="宋体"/>
                <w:szCs w:val="21"/>
                <w:lang w:val="zh-CN"/>
              </w:rPr>
            </w:pPr>
          </w:p>
          <w:p>
            <w:pPr>
              <w:spacing w:line="280" w:lineRule="exact"/>
              <w:rPr>
                <w:rFonts w:ascii="宋体" w:hAnsi="宋体" w:cs="宋体"/>
                <w:szCs w:val="21"/>
                <w:lang w:val="zh-CN"/>
              </w:rPr>
            </w:pPr>
          </w:p>
          <w:p>
            <w:pPr>
              <w:spacing w:line="280" w:lineRule="exact"/>
              <w:rPr>
                <w:rFonts w:ascii="宋体" w:hAnsi="宋体" w:cs="宋体"/>
                <w:szCs w:val="21"/>
                <w:lang w:val="zh-CN"/>
              </w:rPr>
            </w:pPr>
          </w:p>
          <w:p>
            <w:pPr>
              <w:spacing w:line="280" w:lineRule="exact"/>
              <w:rPr>
                <w:rFonts w:ascii="宋体" w:hAnsi="宋体" w:cs="宋体"/>
                <w:szCs w:val="21"/>
                <w:lang w:val="zh-CN"/>
              </w:rPr>
            </w:pPr>
          </w:p>
          <w:p>
            <w:pPr>
              <w:spacing w:line="280" w:lineRule="exact"/>
              <w:rPr>
                <w:rFonts w:ascii="宋体" w:hAnsi="宋体" w:cs="宋体"/>
                <w:szCs w:val="21"/>
                <w:lang w:val="zh-CN"/>
              </w:rPr>
            </w:pPr>
          </w:p>
          <w:p>
            <w:pPr>
              <w:spacing w:line="280" w:lineRule="exact"/>
              <w:rPr>
                <w:rFonts w:ascii="宋体" w:hAnsi="宋体" w:cs="宋体"/>
                <w:szCs w:val="21"/>
                <w:lang w:val="zh-CN"/>
              </w:rPr>
            </w:pPr>
          </w:p>
          <w:p>
            <w:pPr>
              <w:spacing w:line="280" w:lineRule="exact"/>
              <w:rPr>
                <w:rFonts w:ascii="宋体" w:hAnsi="宋体" w:cs="宋体"/>
                <w:szCs w:val="21"/>
                <w:lang w:val="zh-CN"/>
              </w:rPr>
            </w:pPr>
          </w:p>
          <w:p>
            <w:pPr>
              <w:spacing w:line="280" w:lineRule="exact"/>
              <w:rPr>
                <w:rFonts w:ascii="宋体" w:hAnsi="宋体" w:cs="宋体"/>
                <w:szCs w:val="21"/>
                <w:lang w:val="zh-CN"/>
              </w:rPr>
            </w:pPr>
          </w:p>
          <w:p>
            <w:pPr>
              <w:spacing w:line="280" w:lineRule="exact"/>
              <w:rPr>
                <w:rFonts w:ascii="宋体" w:hAnsi="宋体" w:cs="宋体"/>
                <w:szCs w:val="21"/>
                <w:lang w:val="zh-CN"/>
              </w:rPr>
            </w:pPr>
          </w:p>
          <w:p>
            <w:pPr>
              <w:spacing w:line="280" w:lineRule="exact"/>
              <w:rPr>
                <w:rFonts w:ascii="宋体" w:hAnsi="宋体" w:cs="宋体"/>
                <w:szCs w:val="21"/>
                <w:lang w:val="zh-CN"/>
              </w:rPr>
            </w:pPr>
          </w:p>
          <w:p>
            <w:pPr>
              <w:spacing w:line="280" w:lineRule="exact"/>
              <w:rPr>
                <w:rFonts w:ascii="宋体" w:hAnsi="宋体" w:cs="宋体"/>
                <w:szCs w:val="21"/>
                <w:lang w:val="zh-CN"/>
              </w:rPr>
            </w:pPr>
          </w:p>
          <w:p>
            <w:pPr>
              <w:spacing w:line="280" w:lineRule="exact"/>
              <w:rPr>
                <w:rFonts w:ascii="宋体" w:hAnsi="宋体" w:cs="宋体"/>
                <w:szCs w:val="21"/>
                <w:lang w:val="zh-CN"/>
              </w:rPr>
            </w:pPr>
          </w:p>
          <w:p>
            <w:pPr>
              <w:spacing w:line="280" w:lineRule="exact"/>
              <w:rPr>
                <w:rFonts w:ascii="宋体" w:hAnsi="宋体" w:cs="宋体"/>
                <w:szCs w:val="21"/>
                <w:lang w:val="zh-CN"/>
              </w:rPr>
            </w:pPr>
          </w:p>
          <w:p>
            <w:pPr>
              <w:spacing w:line="280" w:lineRule="exact"/>
              <w:rPr>
                <w:rFonts w:ascii="宋体" w:hAnsi="宋体" w:cs="宋体"/>
                <w:szCs w:val="21"/>
                <w:lang w:val="zh-CN"/>
              </w:rPr>
            </w:pPr>
          </w:p>
          <w:p>
            <w:pPr>
              <w:spacing w:line="280" w:lineRule="exact"/>
              <w:rPr>
                <w:rFonts w:ascii="宋体" w:hAnsi="宋体" w:cs="宋体"/>
                <w:szCs w:val="21"/>
                <w:lang w:val="zh-CN"/>
              </w:rPr>
            </w:pPr>
          </w:p>
          <w:p>
            <w:pPr>
              <w:spacing w:line="280" w:lineRule="exact"/>
              <w:rPr>
                <w:rFonts w:ascii="宋体" w:hAnsi="宋体" w:cs="宋体"/>
                <w:szCs w:val="21"/>
                <w:lang w:val="zh-CN"/>
              </w:rPr>
            </w:pPr>
          </w:p>
          <w:p>
            <w:pPr>
              <w:spacing w:line="280" w:lineRule="exact"/>
              <w:rPr>
                <w:rFonts w:ascii="宋体" w:hAnsi="宋体" w:cs="宋体"/>
                <w:szCs w:val="21"/>
                <w:lang w:val="zh-CN"/>
              </w:rPr>
            </w:pPr>
          </w:p>
          <w:p>
            <w:pPr>
              <w:spacing w:line="280" w:lineRule="exact"/>
              <w:rPr>
                <w:rFonts w:ascii="宋体" w:hAnsi="宋体" w:cs="宋体"/>
                <w:szCs w:val="21"/>
                <w:lang w:val="zh-CN"/>
              </w:rPr>
            </w:pPr>
          </w:p>
          <w:p>
            <w:pPr>
              <w:spacing w:line="280" w:lineRule="exact"/>
              <w:rPr>
                <w:rFonts w:ascii="宋体" w:hAnsi="宋体" w:cs="宋体"/>
                <w:szCs w:val="21"/>
                <w:lang w:val="zh-CN"/>
              </w:rPr>
            </w:pPr>
          </w:p>
          <w:p>
            <w:pPr>
              <w:spacing w:line="280" w:lineRule="exact"/>
              <w:rPr>
                <w:rFonts w:ascii="宋体" w:hAnsi="宋体" w:cs="宋体"/>
                <w:szCs w:val="21"/>
                <w:lang w:val="zh-CN"/>
              </w:rPr>
            </w:pPr>
          </w:p>
          <w:p>
            <w:pPr>
              <w:spacing w:line="280" w:lineRule="exact"/>
              <w:rPr>
                <w:rFonts w:ascii="宋体" w:hAnsi="宋体" w:cs="宋体"/>
                <w:szCs w:val="21"/>
                <w:lang w:val="zh-CN"/>
              </w:rPr>
            </w:pPr>
          </w:p>
        </w:tc>
        <w:tc>
          <w:tcPr>
            <w:tcW w:w="1701" w:type="dxa"/>
          </w:tcPr>
          <w:p>
            <w:pPr>
              <w:spacing w:line="280" w:lineRule="exact"/>
              <w:rPr>
                <w:rFonts w:ascii="宋体" w:hAnsi="宋体" w:cs="宋体"/>
                <w:szCs w:val="21"/>
              </w:rPr>
            </w:pPr>
            <w:r>
              <w:rPr>
                <w:rFonts w:hint="eastAsia" w:ascii="宋体" w:hAnsi="宋体" w:cs="宋体"/>
                <w:szCs w:val="21"/>
              </w:rPr>
              <w:t>1.未在危险工艺装置上可能引起火灾、爆炸的部位设置超温、超压等检测仪表、声和/或光报警和安全联锁装置等设施，扣20分（B级要素否决项）；</w:t>
            </w:r>
          </w:p>
          <w:p>
            <w:pPr>
              <w:spacing w:line="280" w:lineRule="exact"/>
              <w:rPr>
                <w:rFonts w:ascii="宋体" w:hAnsi="宋体" w:cs="宋体"/>
                <w:szCs w:val="21"/>
              </w:rPr>
            </w:pPr>
            <w:r>
              <w:rPr>
                <w:rFonts w:hint="eastAsia" w:ascii="宋体" w:hAnsi="宋体" w:cs="宋体"/>
                <w:szCs w:val="21"/>
              </w:rPr>
              <w:t>2.没有按标准设置有毒有害、可燃气体泄漏报警仪的，扣20分（B级要素否决项）；</w:t>
            </w:r>
          </w:p>
          <w:p>
            <w:pPr>
              <w:spacing w:line="280" w:lineRule="exact"/>
              <w:rPr>
                <w:rFonts w:ascii="宋体" w:hAnsi="宋体" w:cs="宋体"/>
                <w:szCs w:val="21"/>
              </w:rPr>
            </w:pPr>
            <w:r>
              <w:rPr>
                <w:rFonts w:hint="eastAsia" w:ascii="宋体" w:hAnsi="宋体" w:cs="宋体"/>
                <w:szCs w:val="21"/>
              </w:rPr>
              <w:t>3.经专家诊断没有按标准、规范设置其他安全设施的，扣20分（B级要素否决项）。</w:t>
            </w:r>
          </w:p>
        </w:tc>
        <w:tc>
          <w:tcPr>
            <w:tcW w:w="2268" w:type="dxa"/>
          </w:tcPr>
          <w:p>
            <w:pPr>
              <w:spacing w:line="280" w:lineRule="exact"/>
              <w:rPr>
                <w:rFonts w:ascii="宋体" w:hAnsi="宋体" w:cs="宋体"/>
                <w:szCs w:val="21"/>
                <w:lang w:val="zh-CN"/>
              </w:rPr>
            </w:pPr>
            <w:r>
              <w:rPr>
                <w:rFonts w:hint="eastAsia" w:ascii="宋体" w:hAnsi="宋体" w:cs="宋体"/>
                <w:szCs w:val="21"/>
                <w:lang w:val="zh-CN"/>
              </w:rPr>
              <w:t>1.应当配备的安全设施缺失，一项扣2分；</w:t>
            </w:r>
          </w:p>
          <w:p>
            <w:pPr>
              <w:spacing w:line="280" w:lineRule="exact"/>
              <w:rPr>
                <w:rFonts w:ascii="宋体" w:hAnsi="宋体" w:cs="宋体"/>
                <w:szCs w:val="21"/>
              </w:rPr>
            </w:pPr>
            <w:r>
              <w:rPr>
                <w:rFonts w:hint="eastAsia" w:ascii="宋体" w:hAnsi="宋体" w:cs="宋体"/>
                <w:szCs w:val="21"/>
              </w:rPr>
              <w:t>2.安全设施的配备、安装不符合国家有关规定，一项扣2分；</w:t>
            </w:r>
          </w:p>
          <w:p>
            <w:pPr>
              <w:spacing w:line="280" w:lineRule="exact"/>
              <w:rPr>
                <w:rFonts w:ascii="宋体" w:hAnsi="宋体" w:cs="宋体"/>
                <w:szCs w:val="21"/>
              </w:rPr>
            </w:pPr>
            <w:r>
              <w:rPr>
                <w:rFonts w:hint="eastAsia" w:ascii="宋体" w:hAnsi="宋体" w:cs="宋体"/>
                <w:szCs w:val="21"/>
              </w:rPr>
              <w:t>3.新建大型和危险程度高的化工装置，在设计阶段未进行仪表系统安全完整性等级评估的，扣2分。</w:t>
            </w:r>
          </w:p>
          <w:p>
            <w:pPr>
              <w:spacing w:line="280" w:lineRule="exact"/>
              <w:rPr>
                <w:rFonts w:ascii="宋体" w:hAnsi="宋体" w:cs="宋体"/>
                <w:szCs w:val="21"/>
              </w:rPr>
            </w:pPr>
          </w:p>
          <w:p>
            <w:pPr>
              <w:spacing w:line="280" w:lineRule="exact"/>
              <w:rPr>
                <w:rFonts w:ascii="宋体" w:hAnsi="宋体" w:cs="宋体"/>
                <w:szCs w:val="21"/>
              </w:rPr>
            </w:pPr>
          </w:p>
          <w:p>
            <w:pPr>
              <w:spacing w:line="280" w:lineRule="exact"/>
              <w:rPr>
                <w:rFonts w:ascii="宋体" w:hAnsi="宋体" w:cs="宋体"/>
                <w:szCs w:val="21"/>
              </w:rPr>
            </w:pPr>
          </w:p>
          <w:p>
            <w:pPr>
              <w:spacing w:line="280" w:lineRule="exact"/>
              <w:rPr>
                <w:rFonts w:ascii="宋体" w:hAnsi="宋体" w:cs="宋体"/>
                <w:szCs w:val="21"/>
              </w:rPr>
            </w:pPr>
          </w:p>
          <w:p>
            <w:pPr>
              <w:spacing w:line="280" w:lineRule="exact"/>
              <w:rPr>
                <w:rFonts w:ascii="宋体" w:hAnsi="宋体" w:cs="宋体"/>
                <w:szCs w:val="21"/>
              </w:rPr>
            </w:pPr>
          </w:p>
          <w:p>
            <w:pPr>
              <w:spacing w:line="280" w:lineRule="exact"/>
              <w:rPr>
                <w:rFonts w:ascii="宋体" w:hAnsi="宋体" w:cs="宋体"/>
                <w:szCs w:val="21"/>
              </w:rPr>
            </w:pPr>
          </w:p>
          <w:p>
            <w:pPr>
              <w:spacing w:line="280" w:lineRule="exact"/>
              <w:rPr>
                <w:rFonts w:ascii="宋体" w:hAnsi="宋体" w:cs="宋体"/>
                <w:szCs w:val="21"/>
              </w:rPr>
            </w:pPr>
          </w:p>
          <w:p>
            <w:pPr>
              <w:spacing w:line="280" w:lineRule="exact"/>
              <w:rPr>
                <w:rFonts w:ascii="宋体" w:hAnsi="宋体" w:cs="宋体"/>
                <w:szCs w:val="21"/>
              </w:rPr>
            </w:pPr>
          </w:p>
          <w:p>
            <w:pPr>
              <w:spacing w:line="280" w:lineRule="exact"/>
              <w:rPr>
                <w:rFonts w:ascii="宋体" w:hAnsi="宋体" w:cs="宋体"/>
                <w:szCs w:val="21"/>
              </w:rPr>
            </w:pPr>
          </w:p>
          <w:p>
            <w:pPr>
              <w:spacing w:line="280" w:lineRule="exact"/>
              <w:rPr>
                <w:rFonts w:ascii="宋体" w:hAnsi="宋体" w:cs="宋体"/>
                <w:szCs w:val="21"/>
              </w:rPr>
            </w:pPr>
          </w:p>
          <w:p>
            <w:pPr>
              <w:spacing w:line="280" w:lineRule="exact"/>
              <w:rPr>
                <w:rFonts w:ascii="宋体" w:hAnsi="宋体" w:cs="宋体"/>
                <w:szCs w:val="21"/>
              </w:rPr>
            </w:pPr>
          </w:p>
          <w:p>
            <w:pPr>
              <w:spacing w:line="280" w:lineRule="exact"/>
              <w:rPr>
                <w:rFonts w:ascii="宋体" w:hAnsi="宋体" w:cs="宋体"/>
                <w:szCs w:val="21"/>
              </w:rPr>
            </w:pPr>
          </w:p>
          <w:p>
            <w:pPr>
              <w:spacing w:line="280" w:lineRule="exact"/>
              <w:rPr>
                <w:rFonts w:ascii="宋体" w:hAnsi="宋体" w:cs="宋体"/>
                <w:szCs w:val="21"/>
              </w:rPr>
            </w:pPr>
          </w:p>
          <w:p>
            <w:pPr>
              <w:spacing w:line="280" w:lineRule="exact"/>
              <w:rPr>
                <w:rFonts w:ascii="宋体" w:hAnsi="宋体" w:cs="宋体"/>
                <w:szCs w:val="21"/>
              </w:rPr>
            </w:pPr>
          </w:p>
          <w:p>
            <w:pPr>
              <w:spacing w:line="280" w:lineRule="exact"/>
              <w:rPr>
                <w:rFonts w:ascii="宋体" w:hAnsi="宋体" w:cs="宋体"/>
                <w:szCs w:val="21"/>
              </w:rPr>
            </w:pPr>
          </w:p>
          <w:p>
            <w:pPr>
              <w:spacing w:line="280" w:lineRule="exact"/>
              <w:rPr>
                <w:rFonts w:ascii="宋体" w:hAnsi="宋体" w:cs="宋体"/>
                <w:szCs w:val="21"/>
              </w:rPr>
            </w:pPr>
          </w:p>
          <w:p>
            <w:pPr>
              <w:spacing w:line="280" w:lineRule="exact"/>
              <w:rPr>
                <w:rFonts w:ascii="宋体" w:hAnsi="宋体" w:cs="宋体"/>
                <w:szCs w:val="21"/>
              </w:rPr>
            </w:pPr>
          </w:p>
          <w:p>
            <w:pPr>
              <w:spacing w:line="280" w:lineRule="exact"/>
              <w:rPr>
                <w:rFonts w:ascii="宋体" w:hAnsi="宋体" w:cs="宋体"/>
                <w:szCs w:val="21"/>
              </w:rPr>
            </w:pPr>
          </w:p>
          <w:p>
            <w:pPr>
              <w:spacing w:line="280" w:lineRule="exact"/>
              <w:rPr>
                <w:rFonts w:ascii="宋体" w:hAnsi="宋体" w:cs="宋体"/>
                <w:szCs w:val="21"/>
              </w:rPr>
            </w:pPr>
          </w:p>
          <w:p>
            <w:pPr>
              <w:spacing w:line="280" w:lineRule="exact"/>
              <w:rPr>
                <w:rFonts w:ascii="宋体" w:hAnsi="宋体" w:cs="宋体"/>
                <w:szCs w:val="21"/>
              </w:rPr>
            </w:pPr>
          </w:p>
          <w:p>
            <w:pPr>
              <w:spacing w:line="280" w:lineRule="exact"/>
              <w:rPr>
                <w:rFonts w:ascii="宋体" w:hAnsi="宋体" w:cs="宋体"/>
                <w:szCs w:val="21"/>
              </w:rPr>
            </w:pPr>
          </w:p>
          <w:p>
            <w:pPr>
              <w:spacing w:line="280" w:lineRule="exact"/>
              <w:rPr>
                <w:rFonts w:ascii="宋体" w:hAnsi="宋体" w:cs="宋体"/>
                <w:szCs w:val="21"/>
              </w:rPr>
            </w:pPr>
          </w:p>
          <w:p>
            <w:pPr>
              <w:spacing w:line="280" w:lineRule="exact"/>
              <w:rPr>
                <w:rFonts w:ascii="宋体" w:hAnsi="宋体" w:cs="宋体"/>
                <w:szCs w:val="21"/>
              </w:rPr>
            </w:pPr>
          </w:p>
          <w:p>
            <w:pPr>
              <w:spacing w:line="280" w:lineRule="exact"/>
              <w:rPr>
                <w:rFonts w:ascii="宋体" w:hAnsi="宋体" w:cs="宋体"/>
                <w:szCs w:val="21"/>
              </w:rPr>
            </w:pPr>
          </w:p>
          <w:p>
            <w:pPr>
              <w:spacing w:line="280" w:lineRule="exact"/>
              <w:rPr>
                <w:rFonts w:ascii="宋体" w:hAnsi="宋体" w:cs="宋体"/>
                <w:szCs w:val="21"/>
              </w:rPr>
            </w:pPr>
          </w:p>
          <w:p>
            <w:pPr>
              <w:spacing w:line="280" w:lineRule="exact"/>
              <w:rPr>
                <w:rFonts w:ascii="宋体" w:hAnsi="宋体" w:cs="宋体"/>
                <w:szCs w:val="21"/>
              </w:rPr>
            </w:pPr>
          </w:p>
          <w:p>
            <w:pPr>
              <w:spacing w:line="280" w:lineRule="exact"/>
              <w:rPr>
                <w:rFonts w:ascii="宋体" w:hAnsi="宋体" w:cs="宋体"/>
                <w:szCs w:val="21"/>
              </w:rPr>
            </w:pPr>
          </w:p>
          <w:p>
            <w:pPr>
              <w:spacing w:line="280" w:lineRule="exact"/>
              <w:rPr>
                <w:rFonts w:ascii="宋体" w:hAnsi="宋体" w:cs="宋体"/>
                <w:szCs w:val="21"/>
              </w:rPr>
            </w:pPr>
          </w:p>
          <w:p>
            <w:pPr>
              <w:spacing w:line="280" w:lineRule="exact"/>
              <w:rPr>
                <w:rFonts w:ascii="宋体" w:hAnsi="宋体" w:cs="宋体"/>
                <w:szCs w:val="21"/>
              </w:rPr>
            </w:pPr>
          </w:p>
          <w:p>
            <w:pPr>
              <w:spacing w:line="280" w:lineRule="exact"/>
              <w:rPr>
                <w:rFonts w:ascii="宋体" w:hAnsi="宋体" w:cs="宋体"/>
                <w:szCs w:val="21"/>
              </w:rPr>
            </w:pPr>
          </w:p>
          <w:p>
            <w:pPr>
              <w:spacing w:line="280" w:lineRule="exact"/>
              <w:rPr>
                <w:rFonts w:ascii="宋体" w:hAnsi="宋体" w:cs="宋体"/>
                <w:szCs w:val="21"/>
              </w:rPr>
            </w:pPr>
          </w:p>
        </w:tc>
        <w:tc>
          <w:tcPr>
            <w:tcW w:w="1165" w:type="dxa"/>
            <w:vAlign w:val="center"/>
          </w:tcPr>
          <w:p>
            <w:pPr>
              <w:jc w:val="center"/>
              <w:rPr>
                <w:rFonts w:ascii="宋体" w:hAnsi="宋体" w:cs="宋体"/>
                <w:szCs w:val="21"/>
              </w:rPr>
            </w:pPr>
            <w:r>
              <w:rPr>
                <w:rFonts w:hint="eastAsia" w:ascii="宋体" w:hAnsi="宋体" w:cs="宋体"/>
                <w:bCs/>
                <w:sz w:val="18"/>
                <w:szCs w:val="18"/>
                <w:lang w:val="en-US" w:eastAsia="zh-CN"/>
              </w:rPr>
              <w:t>车间部分</w:t>
            </w:r>
            <w:r>
              <w:rPr>
                <w:rFonts w:hint="default" w:ascii="宋体" w:hAnsi="宋体" w:eastAsia="宋体" w:cs="宋体"/>
                <w:bCs/>
                <w:sz w:val="18"/>
                <w:szCs w:val="18"/>
                <w:lang w:val="en-US" w:eastAsia="zh-CN"/>
              </w:rPr>
              <w:t>管道介质标识褪色看不清，不易识别</w:t>
            </w:r>
            <w:r>
              <w:rPr>
                <w:rFonts w:hint="eastAsia" w:ascii="宋体" w:hAnsi="宋体" w:eastAsia="宋体" w:cs="宋体"/>
                <w:bCs/>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771" w:type="dxa"/>
            <w:vMerge w:val="continue"/>
          </w:tcPr>
          <w:p>
            <w:pPr>
              <w:spacing w:line="280" w:lineRule="exact"/>
              <w:rPr>
                <w:rFonts w:ascii="宋体" w:hAnsi="宋体" w:cs="宋体"/>
                <w:b/>
                <w:bCs/>
                <w:szCs w:val="21"/>
              </w:rPr>
            </w:pPr>
          </w:p>
        </w:tc>
        <w:tc>
          <w:tcPr>
            <w:tcW w:w="709" w:type="dxa"/>
            <w:vMerge w:val="continue"/>
          </w:tcPr>
          <w:p>
            <w:pPr>
              <w:spacing w:line="280" w:lineRule="exact"/>
              <w:rPr>
                <w:rFonts w:ascii="宋体" w:hAnsi="宋体" w:cs="宋体"/>
                <w:b/>
                <w:bCs/>
                <w:szCs w:val="21"/>
              </w:rPr>
            </w:pPr>
          </w:p>
        </w:tc>
        <w:tc>
          <w:tcPr>
            <w:tcW w:w="2409" w:type="dxa"/>
            <w:vMerge w:val="continue"/>
          </w:tcPr>
          <w:p>
            <w:pPr>
              <w:spacing w:line="280" w:lineRule="exact"/>
              <w:rPr>
                <w:rFonts w:ascii="宋体" w:hAnsi="宋体" w:cs="宋体"/>
                <w:szCs w:val="21"/>
              </w:rPr>
            </w:pPr>
          </w:p>
        </w:tc>
        <w:tc>
          <w:tcPr>
            <w:tcW w:w="2268" w:type="dxa"/>
          </w:tcPr>
          <w:p>
            <w:pPr>
              <w:spacing w:line="280" w:lineRule="exact"/>
              <w:rPr>
                <w:rFonts w:ascii="宋体" w:hAnsi="宋体" w:cs="宋体"/>
                <w:szCs w:val="21"/>
              </w:rPr>
            </w:pPr>
            <w:r>
              <w:rPr>
                <w:rFonts w:hint="eastAsia" w:ascii="宋体" w:hAnsi="宋体" w:cs="宋体"/>
                <w:szCs w:val="21"/>
              </w:rPr>
              <w:t>二级企业化工生产装置设置自动化控制系统，涉及危险化工工艺和重点监管危险化学品的化工生产装置根据风险状况设置了安全联锁或紧急停车系统等；</w:t>
            </w:r>
          </w:p>
        </w:tc>
        <w:tc>
          <w:tcPr>
            <w:tcW w:w="2268" w:type="dxa"/>
          </w:tcPr>
          <w:p>
            <w:pPr>
              <w:spacing w:line="280" w:lineRule="exact"/>
              <w:rPr>
                <w:rFonts w:ascii="宋体" w:hAnsi="宋体" w:cs="宋体"/>
                <w:szCs w:val="21"/>
                <w:lang w:val="zh-CN"/>
              </w:rPr>
            </w:pPr>
            <w:r>
              <w:rPr>
                <w:rFonts w:hint="eastAsia" w:ascii="宋体" w:hAnsi="宋体" w:cs="宋体"/>
                <w:szCs w:val="21"/>
                <w:lang w:val="zh-CN"/>
              </w:rPr>
              <w:t>查文件：</w:t>
            </w:r>
          </w:p>
          <w:p>
            <w:pPr>
              <w:spacing w:line="280" w:lineRule="exact"/>
              <w:rPr>
                <w:rFonts w:ascii="宋体" w:hAnsi="宋体" w:cs="宋体"/>
                <w:szCs w:val="21"/>
                <w:lang w:val="zh-CN"/>
              </w:rPr>
            </w:pPr>
            <w:r>
              <w:rPr>
                <w:rFonts w:hint="eastAsia" w:ascii="宋体" w:hAnsi="宋体" w:cs="宋体"/>
                <w:szCs w:val="21"/>
                <w:lang w:val="zh-CN"/>
              </w:rPr>
              <w:t>安全设施管理台账。</w:t>
            </w:r>
          </w:p>
          <w:p>
            <w:pPr>
              <w:spacing w:line="280" w:lineRule="exact"/>
              <w:rPr>
                <w:rFonts w:ascii="宋体" w:hAnsi="宋体" w:cs="宋体"/>
                <w:szCs w:val="21"/>
                <w:lang w:val="zh-CN"/>
              </w:rPr>
            </w:pPr>
            <w:r>
              <w:rPr>
                <w:rFonts w:hint="eastAsia" w:ascii="宋体" w:hAnsi="宋体" w:cs="宋体"/>
                <w:szCs w:val="21"/>
                <w:lang w:val="zh-CN"/>
              </w:rPr>
              <w:t>现场检查：</w:t>
            </w:r>
          </w:p>
          <w:p>
            <w:pPr>
              <w:spacing w:line="280" w:lineRule="exact"/>
              <w:rPr>
                <w:rFonts w:ascii="宋体" w:hAnsi="宋体" w:cs="宋体"/>
                <w:szCs w:val="21"/>
                <w:lang w:val="zh-CN"/>
              </w:rPr>
            </w:pPr>
            <w:r>
              <w:rPr>
                <w:rFonts w:hint="eastAsia" w:ascii="宋体" w:hAnsi="宋体" w:cs="宋体"/>
                <w:szCs w:val="21"/>
                <w:lang w:val="zh-CN"/>
              </w:rPr>
              <w:t>各种安全设施的设置及运行情况。</w:t>
            </w:r>
          </w:p>
          <w:p>
            <w:pPr>
              <w:spacing w:line="280" w:lineRule="exact"/>
              <w:rPr>
                <w:rFonts w:ascii="宋体" w:hAnsi="宋体" w:cs="宋体"/>
                <w:szCs w:val="21"/>
                <w:lang w:val="zh-CN"/>
              </w:rPr>
            </w:pPr>
          </w:p>
        </w:tc>
        <w:tc>
          <w:tcPr>
            <w:tcW w:w="1701" w:type="dxa"/>
          </w:tcPr>
          <w:p>
            <w:pPr>
              <w:spacing w:line="280" w:lineRule="exact"/>
              <w:rPr>
                <w:rFonts w:ascii="宋体" w:hAnsi="宋体" w:cs="宋体"/>
                <w:szCs w:val="21"/>
              </w:rPr>
            </w:pPr>
            <w:r>
              <w:rPr>
                <w:rFonts w:hint="eastAsia" w:ascii="宋体" w:hAnsi="宋体" w:cs="宋体"/>
                <w:szCs w:val="21"/>
              </w:rPr>
              <w:t>二级企业化工生产装置未设置自动化控制系统，或涉及危险化工工艺和重点监管危险化学品的化工生产装置未根据风险状况设置安全联锁或紧急停车系统等，扣100分（A级要素否决项）。</w:t>
            </w:r>
          </w:p>
        </w:tc>
        <w:tc>
          <w:tcPr>
            <w:tcW w:w="2268" w:type="dxa"/>
          </w:tcPr>
          <w:p>
            <w:pPr>
              <w:spacing w:line="280" w:lineRule="exact"/>
              <w:rPr>
                <w:rFonts w:ascii="宋体" w:hAnsi="宋体" w:cs="宋体"/>
                <w:szCs w:val="21"/>
                <w:lang w:val="zh-CN"/>
              </w:rPr>
            </w:pPr>
          </w:p>
        </w:tc>
        <w:tc>
          <w:tcPr>
            <w:tcW w:w="1165" w:type="dxa"/>
            <w:vAlign w:val="center"/>
          </w:tcPr>
          <w:p>
            <w:pPr>
              <w:spacing w:line="280" w:lineRule="exact"/>
              <w:jc w:val="center"/>
              <w:rPr>
                <w:rFonts w:ascii="宋体" w:hAnsi="宋体" w:cs="宋体"/>
                <w:szCs w:val="21"/>
              </w:rPr>
            </w:pPr>
            <w:r>
              <w:rPr>
                <w:rFonts w:hint="eastAsia" w:ascii="宋体" w:hAnsi="宋体" w:cs="宋体"/>
                <w:szCs w:val="21"/>
              </w:rPr>
              <w:t>不涉及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771" w:type="dxa"/>
            <w:vMerge w:val="continue"/>
          </w:tcPr>
          <w:p>
            <w:pPr>
              <w:spacing w:line="280" w:lineRule="exact"/>
              <w:rPr>
                <w:rFonts w:ascii="宋体" w:hAnsi="宋体" w:cs="宋体"/>
                <w:b/>
                <w:bCs/>
                <w:szCs w:val="21"/>
              </w:rPr>
            </w:pPr>
          </w:p>
        </w:tc>
        <w:tc>
          <w:tcPr>
            <w:tcW w:w="709" w:type="dxa"/>
            <w:vMerge w:val="continue"/>
          </w:tcPr>
          <w:p>
            <w:pPr>
              <w:spacing w:line="280" w:lineRule="exact"/>
              <w:rPr>
                <w:rFonts w:ascii="宋体" w:hAnsi="宋体" w:cs="宋体"/>
                <w:b/>
                <w:bCs/>
                <w:szCs w:val="21"/>
              </w:rPr>
            </w:pPr>
          </w:p>
        </w:tc>
        <w:tc>
          <w:tcPr>
            <w:tcW w:w="2409" w:type="dxa"/>
            <w:vMerge w:val="continue"/>
          </w:tcPr>
          <w:p>
            <w:pPr>
              <w:spacing w:line="280" w:lineRule="exact"/>
              <w:rPr>
                <w:rFonts w:ascii="宋体" w:hAnsi="宋体" w:cs="宋体"/>
                <w:szCs w:val="21"/>
              </w:rPr>
            </w:pPr>
          </w:p>
        </w:tc>
        <w:tc>
          <w:tcPr>
            <w:tcW w:w="2268" w:type="dxa"/>
          </w:tcPr>
          <w:p>
            <w:pPr>
              <w:spacing w:line="280" w:lineRule="exact"/>
              <w:rPr>
                <w:rFonts w:ascii="宋体" w:hAnsi="宋体" w:cs="宋体"/>
                <w:szCs w:val="21"/>
              </w:rPr>
            </w:pPr>
            <w:r>
              <w:rPr>
                <w:rFonts w:hint="eastAsia" w:ascii="宋体" w:hAnsi="宋体" w:cs="宋体"/>
                <w:szCs w:val="21"/>
              </w:rPr>
              <w:t>一级企业涉及危险化工工艺的化工生产装置设置了安全仪表系统，并建立安全仪表系统功能安全管理体系。</w:t>
            </w:r>
          </w:p>
        </w:tc>
        <w:tc>
          <w:tcPr>
            <w:tcW w:w="2268" w:type="dxa"/>
          </w:tcPr>
          <w:p>
            <w:pPr>
              <w:spacing w:line="280" w:lineRule="exact"/>
              <w:rPr>
                <w:rFonts w:ascii="宋体" w:hAnsi="宋体" w:cs="宋体"/>
                <w:szCs w:val="21"/>
                <w:lang w:val="zh-CN"/>
              </w:rPr>
            </w:pPr>
            <w:r>
              <w:rPr>
                <w:rFonts w:hint="eastAsia" w:ascii="宋体" w:hAnsi="宋体" w:cs="宋体"/>
                <w:szCs w:val="21"/>
                <w:lang w:val="zh-CN"/>
              </w:rPr>
              <w:t>查文件：</w:t>
            </w:r>
          </w:p>
          <w:p>
            <w:pPr>
              <w:spacing w:line="280" w:lineRule="exact"/>
              <w:rPr>
                <w:rFonts w:ascii="宋体" w:hAnsi="宋体" w:cs="宋体"/>
                <w:szCs w:val="21"/>
                <w:lang w:val="zh-CN"/>
              </w:rPr>
            </w:pPr>
            <w:r>
              <w:rPr>
                <w:rFonts w:hint="eastAsia" w:ascii="宋体" w:hAnsi="宋体" w:cs="宋体"/>
                <w:szCs w:val="21"/>
                <w:lang w:val="zh-CN"/>
              </w:rPr>
              <w:t>安全设施管理台账。</w:t>
            </w:r>
          </w:p>
          <w:p>
            <w:pPr>
              <w:spacing w:line="280" w:lineRule="exact"/>
              <w:rPr>
                <w:rFonts w:ascii="宋体" w:hAnsi="宋体" w:cs="宋体"/>
                <w:szCs w:val="21"/>
                <w:lang w:val="zh-CN"/>
              </w:rPr>
            </w:pPr>
            <w:r>
              <w:rPr>
                <w:rFonts w:hint="eastAsia" w:ascii="宋体" w:hAnsi="宋体" w:cs="宋体"/>
                <w:szCs w:val="21"/>
                <w:lang w:val="zh-CN"/>
              </w:rPr>
              <w:t>现场检查：</w:t>
            </w:r>
          </w:p>
          <w:p>
            <w:pPr>
              <w:spacing w:line="280" w:lineRule="exact"/>
              <w:rPr>
                <w:rFonts w:ascii="宋体" w:hAnsi="宋体" w:cs="宋体"/>
                <w:szCs w:val="21"/>
                <w:lang w:val="zh-CN"/>
              </w:rPr>
            </w:pPr>
            <w:r>
              <w:rPr>
                <w:rFonts w:hint="eastAsia" w:ascii="宋体" w:hAnsi="宋体" w:cs="宋体"/>
                <w:szCs w:val="21"/>
              </w:rPr>
              <w:t>安全仪表系统设置情况及安全仪表系统功能安全管理体系运行</w:t>
            </w:r>
            <w:r>
              <w:rPr>
                <w:rFonts w:hint="eastAsia" w:ascii="宋体" w:hAnsi="宋体" w:cs="宋体"/>
                <w:szCs w:val="21"/>
                <w:lang w:val="zh-CN"/>
              </w:rPr>
              <w:t>情况。</w:t>
            </w:r>
          </w:p>
          <w:p>
            <w:pPr>
              <w:spacing w:line="280" w:lineRule="exact"/>
              <w:rPr>
                <w:rFonts w:ascii="宋体" w:hAnsi="宋体" w:cs="宋体"/>
                <w:szCs w:val="21"/>
                <w:lang w:val="zh-CN"/>
              </w:rPr>
            </w:pPr>
          </w:p>
        </w:tc>
        <w:tc>
          <w:tcPr>
            <w:tcW w:w="1701" w:type="dxa"/>
          </w:tcPr>
          <w:p>
            <w:pPr>
              <w:spacing w:line="280" w:lineRule="exact"/>
              <w:rPr>
                <w:rFonts w:ascii="宋体" w:hAnsi="宋体" w:cs="宋体"/>
                <w:szCs w:val="21"/>
              </w:rPr>
            </w:pPr>
            <w:r>
              <w:rPr>
                <w:rFonts w:hint="eastAsia" w:ascii="宋体" w:hAnsi="宋体" w:cs="宋体"/>
                <w:szCs w:val="21"/>
              </w:rPr>
              <w:t>一级企业涉及危险化工工艺的化工装置未设置安全仪表系统，或未建立安全仪表系统功能安全管理体系，扣100分（A级要素否决项）。</w:t>
            </w:r>
          </w:p>
        </w:tc>
        <w:tc>
          <w:tcPr>
            <w:tcW w:w="2268" w:type="dxa"/>
          </w:tcPr>
          <w:p>
            <w:pPr>
              <w:spacing w:line="280" w:lineRule="exact"/>
              <w:rPr>
                <w:rFonts w:ascii="宋体" w:hAnsi="宋体" w:cs="宋体"/>
                <w:szCs w:val="21"/>
                <w:lang w:val="zh-CN"/>
              </w:rPr>
            </w:pPr>
          </w:p>
        </w:tc>
        <w:tc>
          <w:tcPr>
            <w:tcW w:w="1165" w:type="dxa"/>
            <w:vAlign w:val="center"/>
          </w:tcPr>
          <w:p>
            <w:pPr>
              <w:spacing w:line="280" w:lineRule="exact"/>
              <w:jc w:val="center"/>
              <w:rPr>
                <w:rFonts w:ascii="宋体" w:hAnsi="宋体" w:cs="宋体"/>
                <w:szCs w:val="21"/>
              </w:rPr>
            </w:pPr>
            <w:r>
              <w:rPr>
                <w:rFonts w:hint="eastAsia" w:ascii="宋体" w:hAnsi="宋体" w:cs="宋体"/>
                <w:szCs w:val="21"/>
              </w:rPr>
              <w:t>不涉及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771" w:type="dxa"/>
            <w:vMerge w:val="continue"/>
          </w:tcPr>
          <w:p>
            <w:pPr>
              <w:spacing w:line="280" w:lineRule="exact"/>
              <w:rPr>
                <w:rFonts w:ascii="宋体" w:hAnsi="宋体" w:cs="宋体"/>
                <w:b/>
                <w:bCs/>
                <w:szCs w:val="21"/>
              </w:rPr>
            </w:pPr>
          </w:p>
        </w:tc>
        <w:tc>
          <w:tcPr>
            <w:tcW w:w="709" w:type="dxa"/>
            <w:vMerge w:val="continue"/>
          </w:tcPr>
          <w:p>
            <w:pPr>
              <w:spacing w:line="280" w:lineRule="exact"/>
              <w:rPr>
                <w:rFonts w:ascii="宋体" w:hAnsi="宋体" w:cs="宋体"/>
                <w:b/>
                <w:bCs/>
                <w:szCs w:val="21"/>
              </w:rPr>
            </w:pPr>
          </w:p>
        </w:tc>
        <w:tc>
          <w:tcPr>
            <w:tcW w:w="2409" w:type="dxa"/>
          </w:tcPr>
          <w:p>
            <w:pPr>
              <w:spacing w:line="280" w:lineRule="exact"/>
              <w:rPr>
                <w:rFonts w:ascii="宋体" w:hAnsi="宋体" w:cs="宋体"/>
                <w:szCs w:val="21"/>
              </w:rPr>
            </w:pPr>
            <w:r>
              <w:rPr>
                <w:rFonts w:hint="eastAsia" w:ascii="宋体" w:hAnsi="宋体" w:cs="宋体"/>
                <w:szCs w:val="21"/>
              </w:rPr>
              <w:t>3.企业的各种安全设施应有专人负责管理，定期检查和维护保养。</w:t>
            </w:r>
          </w:p>
        </w:tc>
        <w:tc>
          <w:tcPr>
            <w:tcW w:w="2268" w:type="dxa"/>
          </w:tcPr>
          <w:p>
            <w:pPr>
              <w:spacing w:line="280" w:lineRule="exact"/>
              <w:rPr>
                <w:rFonts w:ascii="宋体" w:hAnsi="宋体" w:cs="宋体"/>
                <w:szCs w:val="21"/>
              </w:rPr>
            </w:pPr>
            <w:r>
              <w:rPr>
                <w:rFonts w:hint="eastAsia" w:ascii="宋体" w:hAnsi="宋体" w:cs="宋体"/>
                <w:szCs w:val="21"/>
              </w:rPr>
              <w:t>1.专人负责管理各种安全设施；</w:t>
            </w:r>
          </w:p>
          <w:p>
            <w:pPr>
              <w:spacing w:line="280" w:lineRule="exact"/>
              <w:rPr>
                <w:rFonts w:ascii="宋体" w:hAnsi="宋体" w:cs="宋体"/>
                <w:szCs w:val="21"/>
              </w:rPr>
            </w:pPr>
            <w:r>
              <w:rPr>
                <w:rFonts w:hint="eastAsia" w:ascii="宋体" w:hAnsi="宋体" w:cs="宋体"/>
                <w:szCs w:val="21"/>
              </w:rPr>
              <w:t>2.建立安全设施管理档案；</w:t>
            </w:r>
          </w:p>
          <w:p>
            <w:pPr>
              <w:spacing w:line="280" w:lineRule="exact"/>
              <w:rPr>
                <w:rFonts w:ascii="宋体" w:hAnsi="宋体" w:cs="宋体"/>
                <w:szCs w:val="21"/>
              </w:rPr>
            </w:pPr>
            <w:r>
              <w:rPr>
                <w:rFonts w:hint="eastAsia" w:ascii="宋体" w:hAnsi="宋体" w:cs="宋体"/>
                <w:szCs w:val="21"/>
              </w:rPr>
              <w:t>3.定期检查和维护保养安全设施，并建立记录。</w:t>
            </w:r>
          </w:p>
        </w:tc>
        <w:tc>
          <w:tcPr>
            <w:tcW w:w="2268" w:type="dxa"/>
          </w:tcPr>
          <w:p>
            <w:pPr>
              <w:spacing w:line="280" w:lineRule="exact"/>
              <w:rPr>
                <w:rFonts w:ascii="宋体" w:hAnsi="宋体" w:cs="宋体"/>
                <w:szCs w:val="21"/>
              </w:rPr>
            </w:pPr>
            <w:r>
              <w:rPr>
                <w:rFonts w:hint="eastAsia" w:ascii="宋体" w:hAnsi="宋体" w:cs="宋体"/>
                <w:szCs w:val="21"/>
              </w:rPr>
              <w:t>查文件：</w:t>
            </w:r>
          </w:p>
          <w:p>
            <w:pPr>
              <w:spacing w:line="280" w:lineRule="exact"/>
              <w:rPr>
                <w:rFonts w:ascii="宋体" w:hAnsi="宋体" w:cs="宋体"/>
                <w:szCs w:val="21"/>
                <w:lang w:val="zh-CN"/>
              </w:rPr>
            </w:pPr>
            <w:r>
              <w:rPr>
                <w:rFonts w:hint="eastAsia" w:ascii="宋体" w:hAnsi="宋体" w:cs="宋体"/>
                <w:szCs w:val="21"/>
              </w:rPr>
              <w:t>1.</w:t>
            </w:r>
            <w:r>
              <w:rPr>
                <w:rFonts w:hint="eastAsia" w:ascii="宋体" w:hAnsi="宋体" w:cs="宋体"/>
                <w:szCs w:val="21"/>
                <w:lang w:val="zh-CN"/>
              </w:rPr>
              <w:t>安全设施管理制度；</w:t>
            </w:r>
          </w:p>
          <w:p>
            <w:pPr>
              <w:spacing w:line="280" w:lineRule="exact"/>
              <w:rPr>
                <w:rFonts w:ascii="宋体" w:hAnsi="宋体" w:cs="宋体"/>
                <w:szCs w:val="21"/>
                <w:lang w:val="zh-CN"/>
              </w:rPr>
            </w:pPr>
            <w:r>
              <w:rPr>
                <w:rFonts w:hint="eastAsia" w:ascii="宋体" w:hAnsi="宋体" w:cs="宋体"/>
                <w:szCs w:val="21"/>
                <w:lang w:val="zh-CN"/>
              </w:rPr>
              <w:t>2.安全设施维护保养检查记录。</w:t>
            </w:r>
          </w:p>
          <w:p>
            <w:pPr>
              <w:spacing w:line="280" w:lineRule="exact"/>
              <w:rPr>
                <w:rFonts w:ascii="宋体" w:hAnsi="宋体" w:cs="宋体"/>
                <w:szCs w:val="21"/>
                <w:lang w:val="zh-CN"/>
              </w:rPr>
            </w:pPr>
            <w:r>
              <w:rPr>
                <w:rFonts w:hint="eastAsia" w:ascii="宋体" w:hAnsi="宋体" w:cs="宋体"/>
                <w:szCs w:val="21"/>
                <w:lang w:val="zh-CN"/>
              </w:rPr>
              <w:t>现场检查：</w:t>
            </w:r>
          </w:p>
          <w:p>
            <w:pPr>
              <w:spacing w:line="280" w:lineRule="exact"/>
              <w:rPr>
                <w:rFonts w:ascii="宋体" w:hAnsi="宋体" w:cs="宋体"/>
                <w:szCs w:val="21"/>
                <w:lang w:val="zh-CN"/>
              </w:rPr>
            </w:pPr>
            <w:r>
              <w:rPr>
                <w:rFonts w:hint="eastAsia" w:ascii="宋体" w:hAnsi="宋体" w:cs="宋体"/>
                <w:szCs w:val="21"/>
                <w:lang w:val="zh-CN"/>
              </w:rPr>
              <w:t>安全设施的完整性。</w:t>
            </w:r>
          </w:p>
        </w:tc>
        <w:tc>
          <w:tcPr>
            <w:tcW w:w="1701" w:type="dxa"/>
          </w:tcPr>
          <w:p>
            <w:pPr>
              <w:spacing w:line="280" w:lineRule="exact"/>
              <w:rPr>
                <w:rFonts w:ascii="宋体" w:hAnsi="宋体" w:cs="宋体"/>
                <w:szCs w:val="21"/>
                <w:lang w:val="zh-CN"/>
              </w:rPr>
            </w:pPr>
          </w:p>
        </w:tc>
        <w:tc>
          <w:tcPr>
            <w:tcW w:w="2268" w:type="dxa"/>
          </w:tcPr>
          <w:p>
            <w:pPr>
              <w:spacing w:line="280" w:lineRule="exact"/>
              <w:rPr>
                <w:rFonts w:ascii="宋体" w:hAnsi="宋体" w:cs="宋体"/>
                <w:szCs w:val="21"/>
                <w:lang w:val="zh-CN"/>
              </w:rPr>
            </w:pPr>
            <w:r>
              <w:rPr>
                <w:rFonts w:hint="eastAsia" w:ascii="宋体" w:hAnsi="宋体" w:cs="宋体"/>
                <w:szCs w:val="21"/>
              </w:rPr>
              <w:t>1.</w:t>
            </w:r>
            <w:r>
              <w:rPr>
                <w:rFonts w:hint="eastAsia" w:ascii="宋体" w:hAnsi="宋体" w:cs="宋体"/>
                <w:szCs w:val="21"/>
                <w:lang w:val="zh-CN"/>
              </w:rPr>
              <w:t>无专人负责管理安全设施，或无安全设施管理档案，一项扣2分；</w:t>
            </w:r>
          </w:p>
          <w:p>
            <w:pPr>
              <w:spacing w:line="280" w:lineRule="exact"/>
              <w:rPr>
                <w:rFonts w:ascii="宋体" w:hAnsi="宋体" w:cs="宋体"/>
                <w:szCs w:val="21"/>
                <w:lang w:val="zh-CN"/>
              </w:rPr>
            </w:pPr>
            <w:r>
              <w:rPr>
                <w:rFonts w:hint="eastAsia" w:ascii="宋体" w:hAnsi="宋体" w:cs="宋体"/>
                <w:szCs w:val="21"/>
                <w:lang w:val="zh-CN"/>
              </w:rPr>
              <w:t>2.未建立安全设施维护保养检查记录或未进行定期检查和维护保养，一项扣2分；</w:t>
            </w:r>
          </w:p>
          <w:p>
            <w:pPr>
              <w:spacing w:line="280" w:lineRule="exact"/>
              <w:rPr>
                <w:rFonts w:ascii="宋体" w:hAnsi="宋体" w:cs="宋体"/>
                <w:szCs w:val="21"/>
              </w:rPr>
            </w:pPr>
            <w:r>
              <w:rPr>
                <w:rFonts w:hint="eastAsia" w:ascii="宋体" w:hAnsi="宋体" w:cs="宋体"/>
                <w:szCs w:val="21"/>
                <w:lang w:val="zh-CN"/>
              </w:rPr>
              <w:t>3.现场安全设施不符合完整性要求，1处扣2分。</w:t>
            </w:r>
          </w:p>
        </w:tc>
        <w:tc>
          <w:tcPr>
            <w:tcW w:w="1165" w:type="dxa"/>
            <w:vAlign w:val="center"/>
          </w:tcPr>
          <w:p>
            <w:pPr>
              <w:spacing w:line="280" w:lineRule="exact"/>
              <w:jc w:val="center"/>
              <w:rPr>
                <w:rFonts w:ascii="宋体" w:hAnsi="宋体" w:cs="宋体"/>
                <w:szCs w:val="21"/>
                <w:lang w:val="zh-CN"/>
              </w:rPr>
            </w:pPr>
            <w:r>
              <w:rPr>
                <w:rFonts w:hint="eastAsia" w:ascii="宋体" w:hAnsi="宋体" w:cs="宋体"/>
                <w:szCs w:val="21"/>
              </w:rPr>
              <w:t>符合要求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771" w:type="dxa"/>
            <w:vMerge w:val="continue"/>
          </w:tcPr>
          <w:p>
            <w:pPr>
              <w:spacing w:line="280" w:lineRule="exact"/>
              <w:rPr>
                <w:rFonts w:ascii="宋体" w:hAnsi="宋体" w:cs="宋体"/>
                <w:b/>
                <w:bCs/>
                <w:szCs w:val="21"/>
              </w:rPr>
            </w:pPr>
          </w:p>
        </w:tc>
        <w:tc>
          <w:tcPr>
            <w:tcW w:w="709" w:type="dxa"/>
            <w:vMerge w:val="continue"/>
          </w:tcPr>
          <w:p>
            <w:pPr>
              <w:spacing w:line="280" w:lineRule="exact"/>
              <w:rPr>
                <w:rFonts w:ascii="宋体" w:hAnsi="宋体" w:cs="宋体"/>
                <w:b/>
                <w:bCs/>
                <w:szCs w:val="21"/>
              </w:rPr>
            </w:pPr>
          </w:p>
        </w:tc>
        <w:tc>
          <w:tcPr>
            <w:tcW w:w="2409" w:type="dxa"/>
          </w:tcPr>
          <w:p>
            <w:pPr>
              <w:spacing w:line="280" w:lineRule="exact"/>
              <w:rPr>
                <w:rFonts w:ascii="宋体" w:hAnsi="宋体" w:cs="宋体"/>
                <w:szCs w:val="21"/>
              </w:rPr>
            </w:pPr>
            <w:r>
              <w:rPr>
                <w:rFonts w:hint="eastAsia" w:ascii="宋体" w:hAnsi="宋体" w:cs="宋体"/>
                <w:szCs w:val="21"/>
              </w:rPr>
              <w:t>4.安全设施应编入设备检维修计划，定期检维修。安全设施不得随意拆除、挪用或弃置不用，因检维修拆除的，检维修完毕后应立即复原。</w:t>
            </w:r>
          </w:p>
        </w:tc>
        <w:tc>
          <w:tcPr>
            <w:tcW w:w="2268" w:type="dxa"/>
          </w:tcPr>
          <w:p>
            <w:pPr>
              <w:spacing w:line="280" w:lineRule="exact"/>
              <w:rPr>
                <w:rFonts w:ascii="宋体" w:hAnsi="宋体" w:cs="宋体"/>
                <w:szCs w:val="21"/>
              </w:rPr>
            </w:pPr>
            <w:r>
              <w:rPr>
                <w:rFonts w:hint="eastAsia" w:ascii="宋体" w:hAnsi="宋体" w:cs="宋体"/>
                <w:szCs w:val="21"/>
              </w:rPr>
              <w:t>1.安全设施应编入设备检维修计划，定期检维修；</w:t>
            </w:r>
          </w:p>
          <w:p>
            <w:pPr>
              <w:spacing w:line="280" w:lineRule="exact"/>
              <w:rPr>
                <w:rFonts w:ascii="宋体" w:hAnsi="宋体" w:cs="宋体"/>
                <w:szCs w:val="21"/>
              </w:rPr>
            </w:pPr>
            <w:r>
              <w:rPr>
                <w:rFonts w:hint="eastAsia" w:ascii="宋体" w:hAnsi="宋体" w:cs="宋体"/>
                <w:szCs w:val="21"/>
              </w:rPr>
              <w:t>2.安全设施不得随意拆除、挪用或弃置不用，因检维修拆除的，检维修完毕后应立即复原。</w:t>
            </w:r>
          </w:p>
        </w:tc>
        <w:tc>
          <w:tcPr>
            <w:tcW w:w="2268" w:type="dxa"/>
          </w:tcPr>
          <w:p>
            <w:pPr>
              <w:spacing w:line="280" w:lineRule="exact"/>
              <w:rPr>
                <w:rFonts w:ascii="宋体" w:hAnsi="宋体" w:cs="宋体"/>
                <w:szCs w:val="21"/>
                <w:lang w:val="zh-CN"/>
              </w:rPr>
            </w:pPr>
            <w:r>
              <w:rPr>
                <w:rFonts w:hint="eastAsia" w:ascii="宋体" w:hAnsi="宋体" w:cs="宋体"/>
                <w:szCs w:val="21"/>
                <w:lang w:val="zh-CN"/>
              </w:rPr>
              <w:t>查文件：</w:t>
            </w:r>
          </w:p>
          <w:p>
            <w:pPr>
              <w:spacing w:line="280" w:lineRule="exact"/>
              <w:rPr>
                <w:rFonts w:ascii="宋体" w:hAnsi="宋体" w:cs="宋体"/>
                <w:szCs w:val="21"/>
                <w:lang w:val="zh-CN"/>
              </w:rPr>
            </w:pPr>
            <w:r>
              <w:rPr>
                <w:rFonts w:hint="eastAsia" w:ascii="宋体" w:hAnsi="宋体" w:cs="宋体"/>
                <w:szCs w:val="21"/>
                <w:lang w:val="zh-CN"/>
              </w:rPr>
              <w:t>1.设备检维修计划；</w:t>
            </w:r>
          </w:p>
          <w:p>
            <w:pPr>
              <w:spacing w:line="280" w:lineRule="exact"/>
              <w:rPr>
                <w:rFonts w:ascii="宋体" w:hAnsi="宋体" w:cs="宋体"/>
                <w:szCs w:val="21"/>
                <w:lang w:val="zh-CN"/>
              </w:rPr>
            </w:pPr>
            <w:r>
              <w:rPr>
                <w:rFonts w:hint="eastAsia" w:ascii="宋体" w:hAnsi="宋体" w:cs="宋体"/>
                <w:szCs w:val="21"/>
                <w:lang w:val="zh-CN"/>
              </w:rPr>
              <w:t>2.安全设施检维修记录；</w:t>
            </w:r>
          </w:p>
          <w:p>
            <w:pPr>
              <w:spacing w:line="280" w:lineRule="exact"/>
              <w:rPr>
                <w:rFonts w:ascii="宋体" w:hAnsi="宋体" w:cs="宋体"/>
                <w:szCs w:val="21"/>
                <w:lang w:val="zh-CN"/>
              </w:rPr>
            </w:pPr>
            <w:r>
              <w:rPr>
                <w:rFonts w:hint="eastAsia" w:ascii="宋体" w:hAnsi="宋体" w:cs="宋体"/>
                <w:szCs w:val="21"/>
                <w:lang w:val="zh-CN"/>
              </w:rPr>
              <w:t>3.安全设施拆除、停用资料。</w:t>
            </w:r>
          </w:p>
          <w:p>
            <w:pPr>
              <w:spacing w:line="280" w:lineRule="exact"/>
              <w:rPr>
                <w:rFonts w:ascii="宋体" w:hAnsi="宋体" w:cs="宋体"/>
                <w:szCs w:val="21"/>
                <w:lang w:val="zh-CN"/>
              </w:rPr>
            </w:pPr>
            <w:r>
              <w:rPr>
                <w:rFonts w:hint="eastAsia" w:ascii="宋体" w:hAnsi="宋体" w:cs="宋体"/>
                <w:szCs w:val="21"/>
                <w:lang w:val="zh-CN"/>
              </w:rPr>
              <w:t>现场检查：</w:t>
            </w:r>
          </w:p>
          <w:p>
            <w:pPr>
              <w:spacing w:line="280" w:lineRule="exact"/>
              <w:rPr>
                <w:rFonts w:ascii="宋体" w:hAnsi="宋体" w:cs="宋体"/>
                <w:szCs w:val="21"/>
              </w:rPr>
            </w:pPr>
            <w:r>
              <w:rPr>
                <w:rFonts w:hint="eastAsia" w:ascii="宋体" w:hAnsi="宋体" w:cs="宋体"/>
                <w:szCs w:val="21"/>
                <w:lang w:val="zh-CN"/>
              </w:rPr>
              <w:t>安全设施是否存在随意拆除、挪用或弃置不用的情况。</w:t>
            </w:r>
          </w:p>
        </w:tc>
        <w:tc>
          <w:tcPr>
            <w:tcW w:w="1701" w:type="dxa"/>
          </w:tcPr>
          <w:p>
            <w:pPr>
              <w:spacing w:line="280" w:lineRule="exact"/>
              <w:rPr>
                <w:rFonts w:ascii="宋体" w:hAnsi="宋体" w:cs="宋体"/>
                <w:szCs w:val="21"/>
              </w:rPr>
            </w:pPr>
          </w:p>
        </w:tc>
        <w:tc>
          <w:tcPr>
            <w:tcW w:w="2268" w:type="dxa"/>
          </w:tcPr>
          <w:p>
            <w:pPr>
              <w:spacing w:line="280" w:lineRule="exact"/>
              <w:rPr>
                <w:rFonts w:ascii="宋体" w:hAnsi="宋体" w:cs="宋体"/>
                <w:szCs w:val="21"/>
                <w:lang w:val="zh-CN"/>
              </w:rPr>
            </w:pPr>
            <w:r>
              <w:rPr>
                <w:rFonts w:hint="eastAsia" w:ascii="宋体" w:hAnsi="宋体" w:cs="宋体"/>
                <w:szCs w:val="21"/>
                <w:lang w:val="zh-CN"/>
              </w:rPr>
              <w:t>1.未将安全设施编入设备检维修计划，一项扣2分；</w:t>
            </w:r>
          </w:p>
          <w:p>
            <w:pPr>
              <w:spacing w:line="280" w:lineRule="exact"/>
              <w:rPr>
                <w:rFonts w:ascii="宋体" w:hAnsi="宋体" w:cs="宋体"/>
                <w:szCs w:val="21"/>
                <w:lang w:val="zh-CN"/>
              </w:rPr>
            </w:pPr>
            <w:r>
              <w:rPr>
                <w:rFonts w:hint="eastAsia" w:ascii="宋体" w:hAnsi="宋体" w:cs="宋体"/>
                <w:szCs w:val="21"/>
                <w:lang w:val="zh-CN"/>
              </w:rPr>
              <w:t>2.安全设施未按计划检维修的，一处扣2分；</w:t>
            </w:r>
          </w:p>
          <w:p>
            <w:pPr>
              <w:spacing w:line="280" w:lineRule="exact"/>
              <w:rPr>
                <w:rFonts w:ascii="宋体" w:hAnsi="宋体" w:cs="宋体"/>
                <w:szCs w:val="21"/>
                <w:lang w:val="zh-CN"/>
              </w:rPr>
            </w:pPr>
            <w:r>
              <w:rPr>
                <w:rFonts w:hint="eastAsia" w:ascii="宋体" w:hAnsi="宋体" w:cs="宋体"/>
                <w:szCs w:val="21"/>
                <w:lang w:val="zh-CN"/>
              </w:rPr>
              <w:t>3.随意拆除、停用、挪用或弃置不用</w:t>
            </w:r>
            <w:r>
              <w:rPr>
                <w:rFonts w:hint="eastAsia" w:ascii="宋体" w:hAnsi="宋体" w:cs="宋体"/>
                <w:szCs w:val="21"/>
              </w:rPr>
              <w:t>安全设施</w:t>
            </w:r>
            <w:r>
              <w:rPr>
                <w:rFonts w:hint="eastAsia" w:ascii="宋体" w:hAnsi="宋体" w:cs="宋体"/>
                <w:szCs w:val="21"/>
                <w:lang w:val="zh-CN"/>
              </w:rPr>
              <w:t>，</w:t>
            </w:r>
            <w:r>
              <w:rPr>
                <w:rFonts w:hint="eastAsia" w:ascii="宋体" w:hAnsi="宋体" w:cs="宋体"/>
                <w:szCs w:val="21"/>
              </w:rPr>
              <w:t>一处</w:t>
            </w:r>
            <w:r>
              <w:rPr>
                <w:rFonts w:hint="eastAsia" w:ascii="宋体" w:hAnsi="宋体" w:cs="宋体"/>
                <w:szCs w:val="21"/>
                <w:lang w:val="zh-CN"/>
              </w:rPr>
              <w:t>扣5分；</w:t>
            </w:r>
          </w:p>
          <w:p>
            <w:pPr>
              <w:spacing w:line="280" w:lineRule="exact"/>
              <w:rPr>
                <w:rFonts w:ascii="宋体" w:hAnsi="宋体" w:cs="宋体"/>
                <w:szCs w:val="21"/>
              </w:rPr>
            </w:pPr>
            <w:r>
              <w:rPr>
                <w:rFonts w:hint="eastAsia" w:ascii="宋体" w:hAnsi="宋体" w:cs="宋体"/>
                <w:szCs w:val="21"/>
                <w:lang w:val="zh-CN"/>
              </w:rPr>
              <w:t>4.因检维修拆除，检维修完毕未立即复原，</w:t>
            </w:r>
            <w:r>
              <w:rPr>
                <w:rFonts w:hint="eastAsia" w:ascii="宋体" w:hAnsi="宋体" w:cs="宋体"/>
                <w:szCs w:val="21"/>
              </w:rPr>
              <w:t>一处</w:t>
            </w:r>
            <w:r>
              <w:rPr>
                <w:rFonts w:hint="eastAsia" w:ascii="宋体" w:hAnsi="宋体" w:cs="宋体"/>
                <w:szCs w:val="21"/>
                <w:lang w:val="zh-CN"/>
              </w:rPr>
              <w:t>扣2分。</w:t>
            </w:r>
          </w:p>
        </w:tc>
        <w:tc>
          <w:tcPr>
            <w:tcW w:w="1165" w:type="dxa"/>
            <w:vAlign w:val="center"/>
          </w:tcPr>
          <w:p>
            <w:pPr>
              <w:spacing w:line="280" w:lineRule="exact"/>
              <w:jc w:val="center"/>
              <w:rPr>
                <w:rFonts w:ascii="宋体" w:hAnsi="宋体" w:cs="宋体"/>
                <w:b/>
                <w:bCs/>
                <w:szCs w:val="21"/>
              </w:rPr>
            </w:pPr>
            <w:r>
              <w:rPr>
                <w:rFonts w:hint="eastAsia" w:ascii="宋体" w:hAnsi="宋体" w:cs="宋体"/>
                <w:szCs w:val="21"/>
              </w:rPr>
              <w:t>符合要求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771" w:type="dxa"/>
            <w:vMerge w:val="continue"/>
          </w:tcPr>
          <w:p>
            <w:pPr>
              <w:spacing w:line="280" w:lineRule="exact"/>
              <w:rPr>
                <w:rFonts w:ascii="宋体" w:hAnsi="宋体" w:cs="宋体"/>
                <w:b/>
                <w:bCs/>
                <w:szCs w:val="21"/>
              </w:rPr>
            </w:pPr>
          </w:p>
        </w:tc>
        <w:tc>
          <w:tcPr>
            <w:tcW w:w="709" w:type="dxa"/>
            <w:vMerge w:val="continue"/>
          </w:tcPr>
          <w:p>
            <w:pPr>
              <w:spacing w:line="280" w:lineRule="exact"/>
              <w:rPr>
                <w:rFonts w:ascii="宋体" w:hAnsi="宋体" w:cs="宋体"/>
                <w:b/>
                <w:bCs/>
                <w:szCs w:val="21"/>
              </w:rPr>
            </w:pPr>
          </w:p>
        </w:tc>
        <w:tc>
          <w:tcPr>
            <w:tcW w:w="2409" w:type="dxa"/>
          </w:tcPr>
          <w:p>
            <w:pPr>
              <w:spacing w:line="280" w:lineRule="exact"/>
              <w:rPr>
                <w:rFonts w:ascii="宋体" w:hAnsi="宋体" w:cs="宋体"/>
                <w:szCs w:val="21"/>
              </w:rPr>
            </w:pPr>
            <w:r>
              <w:rPr>
                <w:rFonts w:hint="eastAsia" w:ascii="宋体" w:hAnsi="宋体" w:cs="宋体"/>
                <w:szCs w:val="21"/>
              </w:rPr>
              <w:t>5.企业应对监视和测量设备进行规范管理，建立监视和测量设备台账，定期进行校准和维护，并保存校准和维护活动的记录。</w:t>
            </w:r>
          </w:p>
        </w:tc>
        <w:tc>
          <w:tcPr>
            <w:tcW w:w="2268" w:type="dxa"/>
          </w:tcPr>
          <w:p>
            <w:pPr>
              <w:spacing w:line="280" w:lineRule="exact"/>
              <w:rPr>
                <w:rFonts w:ascii="宋体" w:hAnsi="宋体" w:cs="宋体"/>
                <w:szCs w:val="21"/>
              </w:rPr>
            </w:pPr>
            <w:r>
              <w:rPr>
                <w:rFonts w:hint="eastAsia" w:ascii="宋体" w:hAnsi="宋体" w:cs="宋体"/>
                <w:szCs w:val="21"/>
              </w:rPr>
              <w:t>1.对监视和测量设备进行规范管理；</w:t>
            </w:r>
          </w:p>
          <w:p>
            <w:pPr>
              <w:spacing w:line="280" w:lineRule="exact"/>
              <w:rPr>
                <w:rFonts w:ascii="宋体" w:hAnsi="宋体" w:cs="宋体"/>
                <w:szCs w:val="21"/>
              </w:rPr>
            </w:pPr>
            <w:r>
              <w:rPr>
                <w:rFonts w:hint="eastAsia" w:ascii="宋体" w:hAnsi="宋体" w:cs="宋体"/>
                <w:szCs w:val="21"/>
              </w:rPr>
              <w:t>2.建立监视和测量设备台账；</w:t>
            </w:r>
          </w:p>
          <w:p>
            <w:pPr>
              <w:spacing w:line="280" w:lineRule="exact"/>
              <w:rPr>
                <w:rFonts w:ascii="宋体" w:hAnsi="宋体" w:cs="宋体"/>
                <w:szCs w:val="21"/>
              </w:rPr>
            </w:pPr>
            <w:r>
              <w:rPr>
                <w:rFonts w:hint="eastAsia" w:ascii="宋体" w:hAnsi="宋体" w:cs="宋体"/>
                <w:szCs w:val="21"/>
              </w:rPr>
              <w:t>3.定期进行校准和维护；</w:t>
            </w:r>
          </w:p>
          <w:p>
            <w:pPr>
              <w:spacing w:line="280" w:lineRule="exact"/>
              <w:rPr>
                <w:rFonts w:ascii="宋体" w:hAnsi="宋体" w:cs="宋体"/>
                <w:szCs w:val="21"/>
              </w:rPr>
            </w:pPr>
            <w:r>
              <w:rPr>
                <w:rFonts w:hint="eastAsia" w:ascii="宋体" w:hAnsi="宋体" w:cs="宋体"/>
                <w:szCs w:val="21"/>
              </w:rPr>
              <w:t>4.保存校准和维护活动的记录；</w:t>
            </w:r>
          </w:p>
          <w:p>
            <w:pPr>
              <w:spacing w:line="280" w:lineRule="exact"/>
              <w:rPr>
                <w:rFonts w:ascii="宋体" w:hAnsi="宋体" w:cs="宋体"/>
                <w:szCs w:val="21"/>
              </w:rPr>
            </w:pPr>
            <w:r>
              <w:rPr>
                <w:rFonts w:hint="eastAsia" w:ascii="宋体" w:hAnsi="宋体" w:cs="宋体"/>
                <w:szCs w:val="21"/>
              </w:rPr>
              <w:t>5.对风险较高的系统或装置，要加强在线检测或功能测试，保证设备、设施的完整性。</w:t>
            </w:r>
          </w:p>
        </w:tc>
        <w:tc>
          <w:tcPr>
            <w:tcW w:w="2268" w:type="dxa"/>
          </w:tcPr>
          <w:p>
            <w:pPr>
              <w:spacing w:line="280" w:lineRule="exact"/>
              <w:rPr>
                <w:rFonts w:ascii="宋体" w:hAnsi="宋体" w:cs="宋体"/>
                <w:szCs w:val="21"/>
              </w:rPr>
            </w:pPr>
            <w:r>
              <w:rPr>
                <w:rFonts w:hint="eastAsia" w:ascii="宋体" w:hAnsi="宋体" w:cs="宋体"/>
                <w:szCs w:val="21"/>
              </w:rPr>
              <w:t>查文件：</w:t>
            </w:r>
          </w:p>
          <w:p>
            <w:pPr>
              <w:spacing w:line="280" w:lineRule="exact"/>
              <w:rPr>
                <w:rFonts w:ascii="宋体" w:hAnsi="宋体" w:cs="宋体"/>
                <w:szCs w:val="21"/>
              </w:rPr>
            </w:pPr>
            <w:r>
              <w:rPr>
                <w:rFonts w:hint="eastAsia" w:ascii="宋体" w:hAnsi="宋体" w:cs="宋体"/>
                <w:szCs w:val="21"/>
              </w:rPr>
              <w:t>1.监视和测量设备管理制度；</w:t>
            </w:r>
          </w:p>
          <w:p>
            <w:pPr>
              <w:spacing w:line="280" w:lineRule="exact"/>
              <w:rPr>
                <w:rFonts w:ascii="宋体" w:hAnsi="宋体" w:cs="宋体"/>
                <w:szCs w:val="21"/>
              </w:rPr>
            </w:pPr>
            <w:r>
              <w:rPr>
                <w:rFonts w:hint="eastAsia" w:ascii="宋体" w:hAnsi="宋体" w:cs="宋体"/>
                <w:szCs w:val="21"/>
              </w:rPr>
              <w:t>2.监视和测量设备台账；</w:t>
            </w:r>
          </w:p>
          <w:p>
            <w:pPr>
              <w:spacing w:line="280" w:lineRule="exact"/>
              <w:rPr>
                <w:rFonts w:ascii="宋体" w:hAnsi="宋体" w:cs="宋体"/>
                <w:szCs w:val="21"/>
              </w:rPr>
            </w:pPr>
            <w:r>
              <w:rPr>
                <w:rFonts w:hint="eastAsia" w:ascii="宋体" w:hAnsi="宋体" w:cs="宋体"/>
                <w:szCs w:val="21"/>
              </w:rPr>
              <w:t>3.监视和测量设备检验报告；</w:t>
            </w:r>
          </w:p>
          <w:p>
            <w:pPr>
              <w:spacing w:line="280" w:lineRule="exact"/>
              <w:rPr>
                <w:rFonts w:ascii="宋体" w:hAnsi="宋体" w:cs="宋体"/>
                <w:szCs w:val="21"/>
              </w:rPr>
            </w:pPr>
            <w:r>
              <w:rPr>
                <w:rFonts w:hint="eastAsia" w:ascii="宋体" w:hAnsi="宋体" w:cs="宋体"/>
                <w:szCs w:val="21"/>
              </w:rPr>
              <w:t>4.校验和维护记录。</w:t>
            </w:r>
          </w:p>
          <w:p>
            <w:pPr>
              <w:spacing w:line="280" w:lineRule="exact"/>
              <w:rPr>
                <w:rFonts w:ascii="宋体" w:hAnsi="宋体" w:cs="宋体"/>
                <w:szCs w:val="21"/>
              </w:rPr>
            </w:pPr>
            <w:r>
              <w:rPr>
                <w:rFonts w:hint="eastAsia" w:ascii="宋体" w:hAnsi="宋体" w:cs="宋体"/>
                <w:szCs w:val="21"/>
              </w:rPr>
              <w:t>现场检查：</w:t>
            </w:r>
          </w:p>
          <w:p>
            <w:pPr>
              <w:spacing w:line="280" w:lineRule="exact"/>
              <w:rPr>
                <w:rFonts w:ascii="宋体" w:hAnsi="宋体" w:cs="宋体"/>
                <w:szCs w:val="21"/>
                <w:lang w:val="zh-CN"/>
              </w:rPr>
            </w:pPr>
            <w:r>
              <w:rPr>
                <w:rFonts w:hint="eastAsia" w:ascii="宋体" w:hAnsi="宋体" w:cs="宋体"/>
                <w:szCs w:val="21"/>
              </w:rPr>
              <w:t>监视和测量设备的完整性及校验合格标志。</w:t>
            </w:r>
          </w:p>
        </w:tc>
        <w:tc>
          <w:tcPr>
            <w:tcW w:w="1701" w:type="dxa"/>
          </w:tcPr>
          <w:p>
            <w:pPr>
              <w:spacing w:line="280" w:lineRule="exact"/>
              <w:rPr>
                <w:rFonts w:ascii="宋体" w:hAnsi="宋体" w:cs="宋体"/>
                <w:szCs w:val="21"/>
              </w:rPr>
            </w:pPr>
          </w:p>
        </w:tc>
        <w:tc>
          <w:tcPr>
            <w:tcW w:w="2268" w:type="dxa"/>
          </w:tcPr>
          <w:p>
            <w:pPr>
              <w:spacing w:line="280" w:lineRule="exact"/>
              <w:rPr>
                <w:rFonts w:ascii="宋体" w:hAnsi="宋体" w:cs="宋体"/>
                <w:szCs w:val="21"/>
              </w:rPr>
            </w:pPr>
            <w:r>
              <w:rPr>
                <w:rFonts w:hint="eastAsia" w:ascii="宋体" w:hAnsi="宋体" w:cs="宋体"/>
                <w:szCs w:val="21"/>
              </w:rPr>
              <w:t>1.未建立监视和测量设备台账，扣5分；台账内容不符合要求，一项扣1分；</w:t>
            </w:r>
          </w:p>
          <w:p>
            <w:pPr>
              <w:spacing w:line="280" w:lineRule="exact"/>
              <w:rPr>
                <w:rFonts w:ascii="宋体" w:hAnsi="宋体" w:cs="宋体"/>
                <w:szCs w:val="21"/>
              </w:rPr>
            </w:pPr>
            <w:r>
              <w:rPr>
                <w:rFonts w:hint="eastAsia" w:ascii="宋体" w:hAnsi="宋体" w:cs="宋体"/>
                <w:szCs w:val="21"/>
              </w:rPr>
              <w:t>2.监视和测量设备维护记录内容不符合要求，一项扣2分；</w:t>
            </w:r>
          </w:p>
          <w:p>
            <w:pPr>
              <w:spacing w:line="280" w:lineRule="exact"/>
              <w:rPr>
                <w:rFonts w:ascii="宋体" w:hAnsi="宋体" w:cs="宋体"/>
                <w:szCs w:val="21"/>
              </w:rPr>
            </w:pPr>
            <w:r>
              <w:rPr>
                <w:rFonts w:hint="eastAsia" w:ascii="宋体" w:hAnsi="宋体" w:cs="宋体"/>
                <w:szCs w:val="21"/>
              </w:rPr>
              <w:t>3.未定期校验或校验不合格仍在使用，1台次扣5分；</w:t>
            </w:r>
          </w:p>
          <w:p>
            <w:pPr>
              <w:spacing w:line="280" w:lineRule="exact"/>
              <w:rPr>
                <w:rFonts w:ascii="宋体" w:hAnsi="宋体" w:cs="宋体"/>
                <w:szCs w:val="21"/>
              </w:rPr>
            </w:pPr>
            <w:r>
              <w:rPr>
                <w:rFonts w:hint="eastAsia" w:ascii="宋体" w:hAnsi="宋体" w:cs="宋体"/>
                <w:szCs w:val="21"/>
              </w:rPr>
              <w:t>4.现场监视和测量设备不完好或无检验合格标志，1台扣2分；</w:t>
            </w:r>
          </w:p>
          <w:p>
            <w:pPr>
              <w:spacing w:line="280" w:lineRule="exact"/>
              <w:rPr>
                <w:rFonts w:ascii="宋体" w:hAnsi="宋体" w:cs="宋体"/>
                <w:szCs w:val="21"/>
              </w:rPr>
            </w:pPr>
            <w:r>
              <w:rPr>
                <w:rFonts w:hint="eastAsia" w:ascii="宋体" w:hAnsi="宋体" w:cs="宋体"/>
                <w:szCs w:val="21"/>
              </w:rPr>
              <w:t>5.对风险较高的系统或装置，未设置在线检测或未进行功能测试，1台次扣2分。</w:t>
            </w:r>
          </w:p>
        </w:tc>
        <w:tc>
          <w:tcPr>
            <w:tcW w:w="1165" w:type="dxa"/>
            <w:vAlign w:val="center"/>
          </w:tcPr>
          <w:p>
            <w:pPr>
              <w:spacing w:line="280" w:lineRule="exact"/>
              <w:jc w:val="center"/>
              <w:rPr>
                <w:rFonts w:ascii="宋体" w:hAnsi="宋体" w:cs="宋体"/>
                <w:b/>
                <w:bCs/>
                <w:szCs w:val="21"/>
              </w:rPr>
            </w:pPr>
            <w:r>
              <w:rPr>
                <w:rFonts w:hint="eastAsia" w:ascii="宋体" w:hAnsi="宋体" w:cs="宋体"/>
                <w:szCs w:val="21"/>
              </w:rPr>
              <w:t>符合要求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771" w:type="dxa"/>
            <w:vMerge w:val="continue"/>
          </w:tcPr>
          <w:p>
            <w:pPr>
              <w:spacing w:line="280" w:lineRule="exact"/>
              <w:rPr>
                <w:rFonts w:ascii="宋体" w:hAnsi="宋体" w:cs="宋体"/>
                <w:b/>
                <w:bCs/>
                <w:szCs w:val="21"/>
              </w:rPr>
            </w:pPr>
          </w:p>
        </w:tc>
        <w:tc>
          <w:tcPr>
            <w:tcW w:w="709" w:type="dxa"/>
            <w:vMerge w:val="restart"/>
          </w:tcPr>
          <w:p>
            <w:pPr>
              <w:spacing w:line="280" w:lineRule="exact"/>
              <w:rPr>
                <w:rFonts w:ascii="宋体" w:hAnsi="宋体" w:cs="宋体"/>
                <w:b/>
                <w:bCs/>
                <w:szCs w:val="21"/>
                <w:lang w:val="zh-CN"/>
              </w:rPr>
            </w:pPr>
            <w:r>
              <w:rPr>
                <w:rFonts w:hint="eastAsia" w:ascii="宋体" w:hAnsi="宋体" w:cs="宋体"/>
                <w:b/>
                <w:bCs/>
                <w:szCs w:val="21"/>
                <w:lang w:val="zh-CN"/>
              </w:rPr>
              <w:t>6.3特种设备</w:t>
            </w:r>
          </w:p>
          <w:p>
            <w:pPr>
              <w:spacing w:line="280" w:lineRule="exact"/>
              <w:rPr>
                <w:rFonts w:ascii="宋体" w:hAnsi="宋体" w:cs="宋体"/>
                <w:b/>
                <w:bCs/>
                <w:szCs w:val="21"/>
              </w:rPr>
            </w:pPr>
            <w:r>
              <w:rPr>
                <w:rFonts w:hint="eastAsia" w:ascii="宋体" w:hAnsi="宋体" w:cs="宋体"/>
                <w:b/>
                <w:bCs/>
                <w:szCs w:val="21"/>
                <w:lang w:val="zh-CN"/>
              </w:rPr>
              <w:t>（10分）</w:t>
            </w:r>
          </w:p>
        </w:tc>
        <w:tc>
          <w:tcPr>
            <w:tcW w:w="2409" w:type="dxa"/>
          </w:tcPr>
          <w:p>
            <w:pPr>
              <w:spacing w:line="280" w:lineRule="exact"/>
              <w:rPr>
                <w:rFonts w:ascii="宋体" w:hAnsi="宋体" w:cs="宋体"/>
                <w:szCs w:val="21"/>
              </w:rPr>
            </w:pPr>
            <w:r>
              <w:rPr>
                <w:rFonts w:hint="eastAsia" w:ascii="宋体" w:hAnsi="宋体" w:cs="宋体"/>
                <w:szCs w:val="21"/>
              </w:rPr>
              <w:t>1.企业应按照《特种设备安全监察条例》管理规定，对特种设备进行规范管理。</w:t>
            </w:r>
          </w:p>
        </w:tc>
        <w:tc>
          <w:tcPr>
            <w:tcW w:w="2268" w:type="dxa"/>
          </w:tcPr>
          <w:p>
            <w:pPr>
              <w:spacing w:line="280" w:lineRule="exact"/>
              <w:rPr>
                <w:rFonts w:ascii="宋体" w:hAnsi="宋体" w:cs="宋体"/>
                <w:szCs w:val="21"/>
              </w:rPr>
            </w:pPr>
            <w:r>
              <w:rPr>
                <w:rFonts w:hint="eastAsia" w:ascii="宋体" w:hAnsi="宋体" w:cs="宋体"/>
                <w:szCs w:val="21"/>
              </w:rPr>
              <w:t>按照《特种设备安全监察条例》的规定，对特种设备进行规范管理。</w:t>
            </w:r>
          </w:p>
        </w:tc>
        <w:tc>
          <w:tcPr>
            <w:tcW w:w="2268" w:type="dxa"/>
          </w:tcPr>
          <w:p>
            <w:pPr>
              <w:spacing w:line="280" w:lineRule="exact"/>
              <w:rPr>
                <w:rFonts w:ascii="宋体" w:hAnsi="宋体" w:cs="宋体"/>
                <w:szCs w:val="21"/>
              </w:rPr>
            </w:pPr>
            <w:r>
              <w:rPr>
                <w:rFonts w:hint="eastAsia" w:ascii="宋体" w:hAnsi="宋体" w:cs="宋体"/>
                <w:szCs w:val="21"/>
              </w:rPr>
              <w:t>查文件：</w:t>
            </w:r>
          </w:p>
          <w:p>
            <w:pPr>
              <w:spacing w:line="280" w:lineRule="exact"/>
              <w:rPr>
                <w:rFonts w:ascii="宋体" w:hAnsi="宋体" w:cs="宋体"/>
                <w:szCs w:val="21"/>
                <w:lang w:val="zh-CN"/>
              </w:rPr>
            </w:pPr>
            <w:r>
              <w:rPr>
                <w:rFonts w:hint="eastAsia" w:ascii="宋体" w:hAnsi="宋体" w:cs="宋体"/>
                <w:szCs w:val="21"/>
                <w:lang w:val="zh-CN"/>
              </w:rPr>
              <w:t>1.特种设备管理制度；</w:t>
            </w:r>
          </w:p>
          <w:p>
            <w:pPr>
              <w:spacing w:line="280" w:lineRule="exact"/>
              <w:rPr>
                <w:rFonts w:ascii="宋体" w:hAnsi="宋体" w:cs="宋体"/>
                <w:szCs w:val="21"/>
              </w:rPr>
            </w:pPr>
            <w:r>
              <w:rPr>
                <w:rFonts w:hint="eastAsia" w:ascii="宋体" w:hAnsi="宋体" w:cs="宋体"/>
                <w:szCs w:val="21"/>
                <w:lang w:val="zh-CN"/>
              </w:rPr>
              <w:t>2.特种设备台账和</w:t>
            </w:r>
            <w:r>
              <w:rPr>
                <w:rFonts w:hint="eastAsia" w:ascii="宋体" w:hAnsi="宋体" w:cs="宋体"/>
                <w:szCs w:val="21"/>
              </w:rPr>
              <w:t>定期检验报告。</w:t>
            </w:r>
          </w:p>
        </w:tc>
        <w:tc>
          <w:tcPr>
            <w:tcW w:w="1701" w:type="dxa"/>
          </w:tcPr>
          <w:p>
            <w:pPr>
              <w:spacing w:line="280" w:lineRule="exact"/>
              <w:rPr>
                <w:rFonts w:ascii="宋体" w:hAnsi="宋体" w:cs="宋体"/>
                <w:szCs w:val="21"/>
              </w:rPr>
            </w:pPr>
          </w:p>
        </w:tc>
        <w:tc>
          <w:tcPr>
            <w:tcW w:w="2268" w:type="dxa"/>
          </w:tcPr>
          <w:p>
            <w:pPr>
              <w:spacing w:line="280" w:lineRule="exact"/>
              <w:rPr>
                <w:rFonts w:ascii="宋体" w:hAnsi="宋体" w:cs="宋体"/>
                <w:szCs w:val="21"/>
              </w:rPr>
            </w:pPr>
            <w:r>
              <w:rPr>
                <w:rFonts w:hint="eastAsia" w:ascii="宋体" w:hAnsi="宋体" w:cs="宋体"/>
                <w:szCs w:val="21"/>
                <w:lang w:val="zh-CN"/>
              </w:rPr>
              <w:t>1.</w:t>
            </w:r>
            <w:r>
              <w:rPr>
                <w:rFonts w:hint="eastAsia" w:ascii="宋体" w:hAnsi="宋体" w:cs="宋体"/>
                <w:szCs w:val="21"/>
              </w:rPr>
              <w:t>管理制度内容不符合要求，一项扣1分；</w:t>
            </w:r>
          </w:p>
          <w:p>
            <w:pPr>
              <w:spacing w:line="280" w:lineRule="exact"/>
              <w:rPr>
                <w:rFonts w:ascii="宋体" w:hAnsi="宋体" w:cs="宋体"/>
                <w:szCs w:val="21"/>
              </w:rPr>
            </w:pPr>
            <w:r>
              <w:rPr>
                <w:rFonts w:hint="eastAsia" w:ascii="宋体" w:hAnsi="宋体" w:cs="宋体"/>
                <w:szCs w:val="21"/>
                <w:lang w:val="zh-CN"/>
              </w:rPr>
              <w:t>2.</w:t>
            </w:r>
            <w:r>
              <w:rPr>
                <w:rFonts w:hint="eastAsia" w:ascii="宋体" w:hAnsi="宋体" w:cs="宋体"/>
                <w:szCs w:val="21"/>
              </w:rPr>
              <w:t>未定期检验，1台扣1分</w:t>
            </w:r>
            <w:r>
              <w:rPr>
                <w:rFonts w:hint="eastAsia" w:ascii="宋体" w:hAnsi="宋体" w:cs="宋体"/>
                <w:szCs w:val="21"/>
                <w:lang w:val="zh-CN"/>
              </w:rPr>
              <w:t>。</w:t>
            </w:r>
          </w:p>
        </w:tc>
        <w:tc>
          <w:tcPr>
            <w:tcW w:w="1165" w:type="dxa"/>
            <w:vAlign w:val="center"/>
          </w:tcPr>
          <w:p>
            <w:pPr>
              <w:spacing w:line="280" w:lineRule="exact"/>
              <w:jc w:val="center"/>
              <w:rPr>
                <w:rFonts w:ascii="宋体" w:hAnsi="宋体" w:cs="宋体"/>
                <w:szCs w:val="21"/>
              </w:rPr>
            </w:pPr>
            <w:r>
              <w:rPr>
                <w:rFonts w:hint="eastAsia" w:ascii="宋体" w:hAnsi="宋体" w:cs="宋体"/>
                <w:szCs w:val="21"/>
              </w:rPr>
              <w:t>符合要求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771" w:type="dxa"/>
            <w:vMerge w:val="continue"/>
          </w:tcPr>
          <w:p>
            <w:pPr>
              <w:spacing w:line="280" w:lineRule="exact"/>
              <w:rPr>
                <w:rFonts w:ascii="宋体" w:hAnsi="宋体" w:cs="宋体"/>
                <w:b/>
                <w:bCs/>
                <w:szCs w:val="21"/>
              </w:rPr>
            </w:pPr>
          </w:p>
        </w:tc>
        <w:tc>
          <w:tcPr>
            <w:tcW w:w="709" w:type="dxa"/>
            <w:vMerge w:val="continue"/>
          </w:tcPr>
          <w:p>
            <w:pPr>
              <w:spacing w:line="280" w:lineRule="exact"/>
              <w:rPr>
                <w:rFonts w:ascii="宋体" w:hAnsi="宋体" w:cs="宋体"/>
                <w:b/>
                <w:bCs/>
                <w:szCs w:val="21"/>
              </w:rPr>
            </w:pPr>
          </w:p>
        </w:tc>
        <w:tc>
          <w:tcPr>
            <w:tcW w:w="2409" w:type="dxa"/>
          </w:tcPr>
          <w:p>
            <w:pPr>
              <w:spacing w:line="280" w:lineRule="exact"/>
              <w:rPr>
                <w:rFonts w:ascii="宋体" w:hAnsi="宋体" w:cs="宋体"/>
                <w:szCs w:val="21"/>
              </w:rPr>
            </w:pPr>
            <w:r>
              <w:rPr>
                <w:rFonts w:hint="eastAsia" w:ascii="宋体" w:hAnsi="宋体" w:cs="宋体"/>
                <w:szCs w:val="21"/>
              </w:rPr>
              <w:t>2.企业应建立特种设备台账和档案。</w:t>
            </w:r>
          </w:p>
        </w:tc>
        <w:tc>
          <w:tcPr>
            <w:tcW w:w="2268" w:type="dxa"/>
          </w:tcPr>
          <w:p>
            <w:pPr>
              <w:spacing w:line="280" w:lineRule="exact"/>
              <w:rPr>
                <w:rFonts w:ascii="宋体" w:hAnsi="宋体" w:cs="宋体"/>
                <w:szCs w:val="21"/>
              </w:rPr>
            </w:pPr>
            <w:r>
              <w:rPr>
                <w:rFonts w:hint="eastAsia" w:ascii="宋体" w:hAnsi="宋体" w:cs="宋体"/>
                <w:szCs w:val="21"/>
              </w:rPr>
              <w:t>建立特种设备台账和档案，包括</w:t>
            </w:r>
            <w:r>
              <w:rPr>
                <w:rFonts w:hint="eastAsia" w:ascii="宋体" w:hAnsi="宋体" w:cs="宋体"/>
                <w:szCs w:val="21"/>
                <w:lang w:val="zh-CN"/>
              </w:rPr>
              <w:t>特种设备技术资料、</w:t>
            </w:r>
            <w:r>
              <w:rPr>
                <w:rFonts w:hint="eastAsia" w:ascii="宋体" w:hAnsi="宋体" w:cs="宋体"/>
                <w:szCs w:val="21"/>
              </w:rPr>
              <w:t>特种设备登记注册表、特种设备及安全附件定期检测检验记录、特种设备运行记录和故障记录、特种设备日常维修保养记录、特种设备事故应急救援预案及演练记录。</w:t>
            </w:r>
          </w:p>
        </w:tc>
        <w:tc>
          <w:tcPr>
            <w:tcW w:w="2268" w:type="dxa"/>
          </w:tcPr>
          <w:p>
            <w:pPr>
              <w:spacing w:line="280" w:lineRule="exact"/>
              <w:rPr>
                <w:rFonts w:ascii="宋体" w:hAnsi="宋体" w:cs="宋体"/>
                <w:szCs w:val="21"/>
                <w:lang w:val="zh-CN"/>
              </w:rPr>
            </w:pPr>
            <w:r>
              <w:rPr>
                <w:rFonts w:hint="eastAsia" w:ascii="宋体" w:hAnsi="宋体" w:cs="宋体"/>
                <w:szCs w:val="21"/>
                <w:lang w:val="zh-CN"/>
              </w:rPr>
              <w:t>查文件：</w:t>
            </w:r>
          </w:p>
          <w:p>
            <w:pPr>
              <w:spacing w:line="280" w:lineRule="exact"/>
              <w:rPr>
                <w:rFonts w:ascii="宋体" w:hAnsi="宋体" w:cs="宋体"/>
                <w:szCs w:val="21"/>
              </w:rPr>
            </w:pPr>
            <w:r>
              <w:rPr>
                <w:rFonts w:hint="eastAsia" w:ascii="宋体" w:hAnsi="宋体" w:cs="宋体"/>
                <w:szCs w:val="21"/>
                <w:lang w:val="zh-CN"/>
              </w:rPr>
              <w:t>特种设备台账和档案。</w:t>
            </w:r>
          </w:p>
        </w:tc>
        <w:tc>
          <w:tcPr>
            <w:tcW w:w="1701" w:type="dxa"/>
          </w:tcPr>
          <w:p>
            <w:pPr>
              <w:spacing w:line="280" w:lineRule="exact"/>
              <w:rPr>
                <w:rFonts w:ascii="宋体" w:hAnsi="宋体" w:cs="宋体"/>
                <w:szCs w:val="21"/>
                <w:lang w:val="zh-CN"/>
              </w:rPr>
            </w:pPr>
          </w:p>
        </w:tc>
        <w:tc>
          <w:tcPr>
            <w:tcW w:w="2268" w:type="dxa"/>
          </w:tcPr>
          <w:p>
            <w:pPr>
              <w:spacing w:line="280" w:lineRule="exact"/>
              <w:rPr>
                <w:rFonts w:ascii="宋体" w:hAnsi="宋体" w:cs="宋体"/>
                <w:szCs w:val="21"/>
              </w:rPr>
            </w:pPr>
            <w:r>
              <w:rPr>
                <w:rFonts w:hint="eastAsia" w:ascii="宋体" w:hAnsi="宋体" w:cs="宋体"/>
                <w:szCs w:val="21"/>
                <w:lang w:val="zh-CN"/>
              </w:rPr>
              <w:t>未建立台账或档案，扣5分；台账和</w:t>
            </w:r>
            <w:r>
              <w:rPr>
                <w:rFonts w:hint="eastAsia" w:ascii="宋体" w:hAnsi="宋体" w:cs="宋体"/>
                <w:szCs w:val="21"/>
              </w:rPr>
              <w:t>档案内容不符合要求</w:t>
            </w:r>
            <w:r>
              <w:rPr>
                <w:rFonts w:hint="eastAsia" w:ascii="宋体" w:hAnsi="宋体" w:cs="宋体"/>
                <w:szCs w:val="21"/>
                <w:lang w:val="zh-CN"/>
              </w:rPr>
              <w:t>，</w:t>
            </w:r>
            <w:r>
              <w:rPr>
                <w:rFonts w:hint="eastAsia" w:ascii="宋体" w:hAnsi="宋体" w:cs="宋体"/>
                <w:szCs w:val="21"/>
              </w:rPr>
              <w:t>一项</w:t>
            </w:r>
            <w:r>
              <w:rPr>
                <w:rFonts w:hint="eastAsia" w:ascii="宋体" w:hAnsi="宋体" w:cs="宋体"/>
                <w:szCs w:val="21"/>
                <w:lang w:val="zh-CN"/>
              </w:rPr>
              <w:t>扣1分。</w:t>
            </w:r>
          </w:p>
        </w:tc>
        <w:tc>
          <w:tcPr>
            <w:tcW w:w="1165" w:type="dxa"/>
            <w:vAlign w:val="center"/>
          </w:tcPr>
          <w:p>
            <w:pPr>
              <w:spacing w:line="280" w:lineRule="exact"/>
              <w:jc w:val="center"/>
              <w:rPr>
                <w:rFonts w:ascii="宋体" w:hAnsi="宋体" w:cs="宋体"/>
                <w:szCs w:val="21"/>
                <w:lang w:val="zh-CN"/>
              </w:rPr>
            </w:pPr>
            <w:r>
              <w:rPr>
                <w:rFonts w:hint="eastAsia" w:ascii="宋体" w:hAnsi="宋体" w:cs="宋体"/>
                <w:szCs w:val="21"/>
              </w:rPr>
              <w:t>符合要求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771" w:type="dxa"/>
            <w:vMerge w:val="continue"/>
          </w:tcPr>
          <w:p>
            <w:pPr>
              <w:spacing w:line="280" w:lineRule="exact"/>
              <w:rPr>
                <w:rFonts w:ascii="宋体" w:hAnsi="宋体" w:cs="宋体"/>
                <w:b/>
                <w:bCs/>
                <w:szCs w:val="21"/>
              </w:rPr>
            </w:pPr>
          </w:p>
        </w:tc>
        <w:tc>
          <w:tcPr>
            <w:tcW w:w="709" w:type="dxa"/>
            <w:vMerge w:val="continue"/>
          </w:tcPr>
          <w:p>
            <w:pPr>
              <w:spacing w:line="280" w:lineRule="exact"/>
              <w:rPr>
                <w:rFonts w:ascii="宋体" w:hAnsi="宋体" w:cs="宋体"/>
                <w:b/>
                <w:bCs/>
                <w:szCs w:val="21"/>
              </w:rPr>
            </w:pPr>
          </w:p>
        </w:tc>
        <w:tc>
          <w:tcPr>
            <w:tcW w:w="2409" w:type="dxa"/>
          </w:tcPr>
          <w:p>
            <w:pPr>
              <w:spacing w:line="280" w:lineRule="exact"/>
              <w:rPr>
                <w:rFonts w:ascii="宋体" w:hAnsi="宋体" w:cs="宋体"/>
                <w:szCs w:val="21"/>
              </w:rPr>
            </w:pPr>
            <w:r>
              <w:rPr>
                <w:rFonts w:hint="eastAsia" w:ascii="宋体" w:hAnsi="宋体" w:cs="宋体"/>
                <w:szCs w:val="21"/>
              </w:rPr>
              <w:t>3.特种设备投入使用前或者投入使用后30日内，企业应当向直辖市或者设区的市特种设备监督管理部门登记注册。</w:t>
            </w:r>
          </w:p>
        </w:tc>
        <w:tc>
          <w:tcPr>
            <w:tcW w:w="2268" w:type="dxa"/>
          </w:tcPr>
          <w:p>
            <w:pPr>
              <w:spacing w:line="280" w:lineRule="exact"/>
              <w:rPr>
                <w:rFonts w:ascii="宋体" w:hAnsi="宋体" w:cs="宋体"/>
                <w:szCs w:val="21"/>
              </w:rPr>
            </w:pPr>
            <w:r>
              <w:rPr>
                <w:rFonts w:hint="eastAsia" w:ascii="宋体" w:hAnsi="宋体" w:cs="宋体"/>
                <w:szCs w:val="21"/>
              </w:rPr>
              <w:t>特种设备投入使用前或者投入使用后30日内，应当向直辖市或者设区的市特种设备监督管理部门登记，登记标志置于设备显著位置。</w:t>
            </w:r>
          </w:p>
        </w:tc>
        <w:tc>
          <w:tcPr>
            <w:tcW w:w="2268" w:type="dxa"/>
          </w:tcPr>
          <w:p>
            <w:pPr>
              <w:spacing w:line="280" w:lineRule="exact"/>
              <w:rPr>
                <w:rFonts w:ascii="宋体" w:hAnsi="宋体" w:cs="宋体"/>
                <w:szCs w:val="21"/>
              </w:rPr>
            </w:pPr>
            <w:r>
              <w:rPr>
                <w:rFonts w:hint="eastAsia" w:ascii="宋体" w:hAnsi="宋体" w:cs="宋体"/>
                <w:szCs w:val="21"/>
              </w:rPr>
              <w:t>查文件：</w:t>
            </w:r>
          </w:p>
          <w:p>
            <w:pPr>
              <w:spacing w:line="280" w:lineRule="exact"/>
              <w:rPr>
                <w:rFonts w:ascii="宋体" w:hAnsi="宋体" w:cs="宋体"/>
                <w:szCs w:val="21"/>
              </w:rPr>
            </w:pPr>
            <w:r>
              <w:rPr>
                <w:rFonts w:hint="eastAsia" w:ascii="宋体" w:hAnsi="宋体" w:cs="宋体"/>
                <w:szCs w:val="21"/>
              </w:rPr>
              <w:t>特种设备</w:t>
            </w:r>
            <w:r>
              <w:rPr>
                <w:rFonts w:hint="eastAsia" w:ascii="宋体" w:hAnsi="宋体" w:cs="宋体"/>
                <w:szCs w:val="21"/>
                <w:lang w:val="zh-CN"/>
              </w:rPr>
              <w:t>台账和</w:t>
            </w:r>
            <w:r>
              <w:rPr>
                <w:rFonts w:hint="eastAsia" w:ascii="宋体" w:hAnsi="宋体" w:cs="宋体"/>
                <w:szCs w:val="21"/>
              </w:rPr>
              <w:t>档案。</w:t>
            </w:r>
          </w:p>
          <w:p>
            <w:pPr>
              <w:spacing w:line="280" w:lineRule="exact"/>
              <w:rPr>
                <w:rFonts w:ascii="宋体" w:hAnsi="宋体" w:cs="宋体"/>
                <w:szCs w:val="21"/>
              </w:rPr>
            </w:pPr>
            <w:r>
              <w:rPr>
                <w:rFonts w:hint="eastAsia" w:ascii="宋体" w:hAnsi="宋体" w:cs="宋体"/>
                <w:szCs w:val="21"/>
              </w:rPr>
              <w:t>现场检查：</w:t>
            </w:r>
          </w:p>
          <w:p>
            <w:pPr>
              <w:spacing w:line="280" w:lineRule="exact"/>
              <w:rPr>
                <w:rFonts w:ascii="宋体" w:hAnsi="宋体" w:cs="宋体"/>
                <w:szCs w:val="21"/>
                <w:lang w:val="zh-CN"/>
              </w:rPr>
            </w:pPr>
            <w:r>
              <w:rPr>
                <w:rFonts w:hint="eastAsia" w:ascii="宋体" w:hAnsi="宋体" w:cs="宋体"/>
                <w:szCs w:val="21"/>
              </w:rPr>
              <w:t>登记标志。</w:t>
            </w:r>
          </w:p>
        </w:tc>
        <w:tc>
          <w:tcPr>
            <w:tcW w:w="1701" w:type="dxa"/>
          </w:tcPr>
          <w:p>
            <w:pPr>
              <w:spacing w:line="280" w:lineRule="exact"/>
              <w:rPr>
                <w:rFonts w:ascii="宋体" w:hAnsi="宋体" w:cs="宋体"/>
                <w:szCs w:val="21"/>
                <w:lang w:val="zh-CN"/>
              </w:rPr>
            </w:pPr>
          </w:p>
        </w:tc>
        <w:tc>
          <w:tcPr>
            <w:tcW w:w="2268" w:type="dxa"/>
          </w:tcPr>
          <w:p>
            <w:pPr>
              <w:spacing w:line="280" w:lineRule="exact"/>
              <w:rPr>
                <w:rFonts w:ascii="宋体" w:hAnsi="宋体" w:cs="宋体"/>
                <w:szCs w:val="21"/>
              </w:rPr>
            </w:pPr>
            <w:r>
              <w:rPr>
                <w:rFonts w:hint="eastAsia" w:ascii="宋体" w:hAnsi="宋体" w:cs="宋体"/>
                <w:szCs w:val="21"/>
              </w:rPr>
              <w:t>1.未办理登记，1台扣2分；</w:t>
            </w:r>
          </w:p>
          <w:p>
            <w:pPr>
              <w:spacing w:line="280" w:lineRule="exact"/>
              <w:rPr>
                <w:rFonts w:ascii="宋体" w:hAnsi="宋体" w:cs="宋体"/>
                <w:szCs w:val="21"/>
              </w:rPr>
            </w:pPr>
            <w:r>
              <w:rPr>
                <w:rFonts w:hint="eastAsia" w:ascii="宋体" w:hAnsi="宋体" w:cs="宋体"/>
                <w:szCs w:val="21"/>
              </w:rPr>
              <w:t>2.无标志，1台扣1分。</w:t>
            </w:r>
          </w:p>
        </w:tc>
        <w:tc>
          <w:tcPr>
            <w:tcW w:w="1165" w:type="dxa"/>
            <w:vAlign w:val="center"/>
          </w:tcPr>
          <w:p>
            <w:pPr>
              <w:spacing w:line="280" w:lineRule="exact"/>
              <w:jc w:val="center"/>
              <w:rPr>
                <w:rFonts w:ascii="宋体" w:hAnsi="宋体" w:cs="宋体"/>
                <w:szCs w:val="21"/>
              </w:rPr>
            </w:pPr>
            <w:r>
              <w:rPr>
                <w:rFonts w:hint="eastAsia" w:ascii="宋体" w:hAnsi="宋体" w:cs="宋体"/>
                <w:szCs w:val="21"/>
              </w:rPr>
              <w:t>符合要求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771" w:type="dxa"/>
            <w:vMerge w:val="continue"/>
          </w:tcPr>
          <w:p>
            <w:pPr>
              <w:spacing w:line="280" w:lineRule="exact"/>
              <w:rPr>
                <w:rFonts w:ascii="宋体" w:hAnsi="宋体" w:cs="宋体"/>
                <w:b/>
                <w:bCs/>
                <w:szCs w:val="21"/>
              </w:rPr>
            </w:pPr>
          </w:p>
        </w:tc>
        <w:tc>
          <w:tcPr>
            <w:tcW w:w="709" w:type="dxa"/>
            <w:vMerge w:val="continue"/>
          </w:tcPr>
          <w:p>
            <w:pPr>
              <w:spacing w:line="280" w:lineRule="exact"/>
              <w:rPr>
                <w:rFonts w:ascii="宋体" w:hAnsi="宋体" w:cs="宋体"/>
                <w:b/>
                <w:bCs/>
                <w:szCs w:val="21"/>
              </w:rPr>
            </w:pPr>
          </w:p>
        </w:tc>
        <w:tc>
          <w:tcPr>
            <w:tcW w:w="2409" w:type="dxa"/>
          </w:tcPr>
          <w:p>
            <w:pPr>
              <w:spacing w:line="280" w:lineRule="exact"/>
              <w:rPr>
                <w:rFonts w:ascii="宋体" w:hAnsi="宋体" w:cs="宋体"/>
                <w:szCs w:val="21"/>
              </w:rPr>
            </w:pPr>
            <w:r>
              <w:rPr>
                <w:rFonts w:hint="eastAsia" w:ascii="宋体" w:hAnsi="宋体" w:cs="宋体"/>
                <w:szCs w:val="21"/>
              </w:rPr>
              <w:t>4.企业应对在用特种设备进行经常性日常维护保养，至少每月进行1次检查，并保存记录。</w:t>
            </w:r>
          </w:p>
        </w:tc>
        <w:tc>
          <w:tcPr>
            <w:tcW w:w="2268" w:type="dxa"/>
          </w:tcPr>
          <w:p>
            <w:pPr>
              <w:spacing w:line="280" w:lineRule="exact"/>
              <w:rPr>
                <w:rFonts w:ascii="宋体" w:hAnsi="宋体" w:cs="宋体"/>
                <w:szCs w:val="21"/>
              </w:rPr>
            </w:pPr>
            <w:r>
              <w:rPr>
                <w:rFonts w:hint="eastAsia" w:ascii="宋体" w:hAnsi="宋体" w:cs="宋体"/>
                <w:szCs w:val="21"/>
              </w:rPr>
              <w:t>对在用特种设备进行经常性日常维护保养，至少每月进行1次检查，并保存记录。</w:t>
            </w:r>
          </w:p>
        </w:tc>
        <w:tc>
          <w:tcPr>
            <w:tcW w:w="2268" w:type="dxa"/>
          </w:tcPr>
          <w:p>
            <w:pPr>
              <w:spacing w:line="280" w:lineRule="exact"/>
              <w:rPr>
                <w:rFonts w:ascii="宋体" w:hAnsi="宋体" w:cs="宋体"/>
                <w:szCs w:val="21"/>
              </w:rPr>
            </w:pPr>
            <w:r>
              <w:rPr>
                <w:rFonts w:hint="eastAsia" w:ascii="宋体" w:hAnsi="宋体" w:cs="宋体"/>
                <w:szCs w:val="21"/>
              </w:rPr>
              <w:t>查文件：</w:t>
            </w:r>
          </w:p>
          <w:p>
            <w:pPr>
              <w:spacing w:line="280" w:lineRule="exact"/>
              <w:rPr>
                <w:rFonts w:ascii="宋体" w:hAnsi="宋体" w:cs="宋体"/>
                <w:szCs w:val="21"/>
              </w:rPr>
            </w:pPr>
            <w:r>
              <w:rPr>
                <w:rFonts w:hint="eastAsia" w:ascii="宋体" w:hAnsi="宋体" w:cs="宋体"/>
                <w:szCs w:val="21"/>
              </w:rPr>
              <w:t>特种设备维护保养记录。</w:t>
            </w:r>
          </w:p>
          <w:p>
            <w:pPr>
              <w:spacing w:line="280" w:lineRule="exact"/>
              <w:rPr>
                <w:rFonts w:ascii="宋体" w:hAnsi="宋体" w:cs="宋体"/>
                <w:szCs w:val="21"/>
              </w:rPr>
            </w:pPr>
            <w:r>
              <w:rPr>
                <w:rFonts w:hint="eastAsia" w:ascii="宋体" w:hAnsi="宋体" w:cs="宋体"/>
                <w:szCs w:val="21"/>
              </w:rPr>
              <w:t>现场检查：</w:t>
            </w:r>
          </w:p>
          <w:p>
            <w:pPr>
              <w:spacing w:line="280" w:lineRule="exact"/>
              <w:rPr>
                <w:rFonts w:ascii="宋体" w:hAnsi="宋体" w:cs="宋体"/>
                <w:szCs w:val="21"/>
              </w:rPr>
            </w:pPr>
            <w:r>
              <w:rPr>
                <w:rFonts w:hint="eastAsia" w:ascii="宋体" w:hAnsi="宋体" w:cs="宋体"/>
                <w:szCs w:val="21"/>
              </w:rPr>
              <w:t>特种设备日常维护保养状态。</w:t>
            </w:r>
          </w:p>
        </w:tc>
        <w:tc>
          <w:tcPr>
            <w:tcW w:w="1701" w:type="dxa"/>
          </w:tcPr>
          <w:p>
            <w:pPr>
              <w:spacing w:line="280" w:lineRule="exact"/>
              <w:rPr>
                <w:rFonts w:ascii="宋体" w:hAnsi="宋体" w:cs="宋体"/>
                <w:szCs w:val="21"/>
              </w:rPr>
            </w:pPr>
          </w:p>
        </w:tc>
        <w:tc>
          <w:tcPr>
            <w:tcW w:w="2268" w:type="dxa"/>
          </w:tcPr>
          <w:p>
            <w:pPr>
              <w:spacing w:line="280" w:lineRule="exact"/>
              <w:rPr>
                <w:rFonts w:ascii="宋体" w:hAnsi="宋体" w:cs="宋体"/>
                <w:szCs w:val="21"/>
              </w:rPr>
            </w:pPr>
            <w:r>
              <w:rPr>
                <w:rFonts w:hint="eastAsia" w:ascii="宋体" w:hAnsi="宋体" w:cs="宋体"/>
                <w:szCs w:val="21"/>
              </w:rPr>
              <w:t>1.未按规定进行检查和维护保养，扣2分；</w:t>
            </w:r>
          </w:p>
          <w:p>
            <w:pPr>
              <w:spacing w:line="280" w:lineRule="exact"/>
              <w:rPr>
                <w:rFonts w:ascii="宋体" w:hAnsi="宋体" w:cs="宋体"/>
                <w:szCs w:val="21"/>
              </w:rPr>
            </w:pPr>
            <w:r>
              <w:rPr>
                <w:rFonts w:hint="eastAsia" w:ascii="宋体" w:hAnsi="宋体" w:cs="宋体"/>
                <w:szCs w:val="21"/>
              </w:rPr>
              <w:t>2.未建立日常维护保养、检查记录，或记录内容不符合要求，一项扣1分；</w:t>
            </w:r>
          </w:p>
          <w:p>
            <w:pPr>
              <w:spacing w:line="280" w:lineRule="exact"/>
              <w:rPr>
                <w:rFonts w:ascii="宋体" w:hAnsi="宋体" w:cs="宋体"/>
                <w:szCs w:val="21"/>
              </w:rPr>
            </w:pPr>
            <w:r>
              <w:rPr>
                <w:rFonts w:hint="eastAsia" w:ascii="宋体" w:hAnsi="宋体" w:cs="宋体"/>
                <w:szCs w:val="21"/>
              </w:rPr>
              <w:t>3.特种设备存在缺陷，1台次扣1分。</w:t>
            </w:r>
          </w:p>
        </w:tc>
        <w:tc>
          <w:tcPr>
            <w:tcW w:w="1165" w:type="dxa"/>
            <w:vAlign w:val="center"/>
          </w:tcPr>
          <w:p>
            <w:pPr>
              <w:spacing w:line="280" w:lineRule="exact"/>
              <w:jc w:val="center"/>
              <w:rPr>
                <w:rFonts w:ascii="宋体" w:hAnsi="宋体" w:cs="宋体"/>
                <w:szCs w:val="21"/>
              </w:rPr>
            </w:pPr>
            <w:r>
              <w:rPr>
                <w:rFonts w:hint="eastAsia" w:ascii="宋体" w:hAnsi="宋体" w:cs="宋体"/>
                <w:szCs w:val="21"/>
              </w:rPr>
              <w:t>符合要求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771" w:type="dxa"/>
            <w:vMerge w:val="continue"/>
          </w:tcPr>
          <w:p>
            <w:pPr>
              <w:spacing w:line="280" w:lineRule="exact"/>
              <w:rPr>
                <w:rFonts w:ascii="宋体" w:hAnsi="宋体" w:cs="宋体"/>
                <w:b/>
                <w:bCs/>
                <w:szCs w:val="21"/>
              </w:rPr>
            </w:pPr>
          </w:p>
        </w:tc>
        <w:tc>
          <w:tcPr>
            <w:tcW w:w="709" w:type="dxa"/>
            <w:vMerge w:val="continue"/>
          </w:tcPr>
          <w:p>
            <w:pPr>
              <w:spacing w:line="280" w:lineRule="exact"/>
              <w:rPr>
                <w:rFonts w:ascii="宋体" w:hAnsi="宋体" w:cs="宋体"/>
                <w:b/>
                <w:bCs/>
                <w:szCs w:val="21"/>
              </w:rPr>
            </w:pPr>
          </w:p>
        </w:tc>
        <w:tc>
          <w:tcPr>
            <w:tcW w:w="2409" w:type="dxa"/>
          </w:tcPr>
          <w:p>
            <w:pPr>
              <w:spacing w:line="280" w:lineRule="exact"/>
              <w:rPr>
                <w:rFonts w:ascii="宋体" w:hAnsi="宋体" w:cs="宋体"/>
                <w:szCs w:val="21"/>
              </w:rPr>
            </w:pPr>
            <w:r>
              <w:rPr>
                <w:rFonts w:hint="eastAsia" w:ascii="宋体" w:hAnsi="宋体" w:cs="宋体"/>
                <w:szCs w:val="21"/>
              </w:rPr>
              <w:t>5.企业应对在用特种设备及安全附件、安全保护装置、测量调控装置及有关附属仪器仪表进行定期校验、检修，并保存记录。</w:t>
            </w:r>
          </w:p>
        </w:tc>
        <w:tc>
          <w:tcPr>
            <w:tcW w:w="2268" w:type="dxa"/>
          </w:tcPr>
          <w:p>
            <w:pPr>
              <w:spacing w:line="280" w:lineRule="exact"/>
              <w:rPr>
                <w:rFonts w:ascii="宋体" w:hAnsi="宋体" w:cs="宋体"/>
                <w:szCs w:val="21"/>
              </w:rPr>
            </w:pPr>
            <w:r>
              <w:rPr>
                <w:rFonts w:hint="eastAsia" w:ascii="宋体" w:hAnsi="宋体" w:cs="宋体"/>
                <w:szCs w:val="21"/>
              </w:rPr>
              <w:t>对在用特种设备及安全附件、安全保护装置、测量调控装置及有关附属仪器仪表进行定期校验、检修，并保存记录。</w:t>
            </w:r>
          </w:p>
        </w:tc>
        <w:tc>
          <w:tcPr>
            <w:tcW w:w="2268" w:type="dxa"/>
          </w:tcPr>
          <w:p>
            <w:pPr>
              <w:spacing w:line="280" w:lineRule="exact"/>
              <w:rPr>
                <w:rFonts w:ascii="宋体" w:hAnsi="宋体" w:cs="宋体"/>
                <w:szCs w:val="21"/>
              </w:rPr>
            </w:pPr>
            <w:r>
              <w:rPr>
                <w:rFonts w:hint="eastAsia" w:ascii="宋体" w:hAnsi="宋体" w:cs="宋体"/>
                <w:szCs w:val="21"/>
              </w:rPr>
              <w:t>查文件：</w:t>
            </w:r>
          </w:p>
          <w:p>
            <w:pPr>
              <w:spacing w:line="280" w:lineRule="exact"/>
              <w:rPr>
                <w:rFonts w:ascii="宋体" w:hAnsi="宋体" w:cs="宋体"/>
                <w:szCs w:val="21"/>
              </w:rPr>
            </w:pPr>
            <w:r>
              <w:rPr>
                <w:rFonts w:hint="eastAsia" w:ascii="宋体" w:hAnsi="宋体" w:cs="宋体"/>
                <w:szCs w:val="21"/>
              </w:rPr>
              <w:t>校验报告、检修记录。</w:t>
            </w:r>
          </w:p>
        </w:tc>
        <w:tc>
          <w:tcPr>
            <w:tcW w:w="1701" w:type="dxa"/>
          </w:tcPr>
          <w:p>
            <w:pPr>
              <w:spacing w:line="280" w:lineRule="exact"/>
              <w:rPr>
                <w:rFonts w:ascii="宋体" w:hAnsi="宋体" w:cs="宋体"/>
                <w:szCs w:val="21"/>
              </w:rPr>
            </w:pPr>
          </w:p>
        </w:tc>
        <w:tc>
          <w:tcPr>
            <w:tcW w:w="2268" w:type="dxa"/>
          </w:tcPr>
          <w:p>
            <w:pPr>
              <w:spacing w:line="280" w:lineRule="exact"/>
              <w:rPr>
                <w:rFonts w:ascii="宋体" w:hAnsi="宋体" w:cs="宋体"/>
                <w:szCs w:val="21"/>
              </w:rPr>
            </w:pPr>
            <w:r>
              <w:rPr>
                <w:rFonts w:hint="eastAsia" w:ascii="宋体" w:hAnsi="宋体" w:cs="宋体"/>
                <w:szCs w:val="21"/>
              </w:rPr>
              <w:t>1.未定期校验或无校验报告，1台次扣4分；</w:t>
            </w:r>
          </w:p>
          <w:p>
            <w:pPr>
              <w:spacing w:line="280" w:lineRule="exact"/>
              <w:rPr>
                <w:rFonts w:ascii="宋体" w:hAnsi="宋体" w:cs="宋体"/>
                <w:szCs w:val="21"/>
              </w:rPr>
            </w:pPr>
            <w:r>
              <w:rPr>
                <w:rFonts w:hint="eastAsia" w:ascii="宋体" w:hAnsi="宋体" w:cs="宋体"/>
                <w:szCs w:val="21"/>
              </w:rPr>
              <w:t>2.未定期检修或未保存记录，1台次扣1分。</w:t>
            </w:r>
          </w:p>
        </w:tc>
        <w:tc>
          <w:tcPr>
            <w:tcW w:w="1165" w:type="dxa"/>
            <w:vAlign w:val="center"/>
          </w:tcPr>
          <w:p>
            <w:pPr>
              <w:spacing w:line="280" w:lineRule="exact"/>
              <w:jc w:val="center"/>
              <w:rPr>
                <w:rFonts w:ascii="宋体" w:hAnsi="宋体" w:cs="宋体"/>
                <w:szCs w:val="21"/>
              </w:rPr>
            </w:pPr>
            <w:r>
              <w:rPr>
                <w:rFonts w:hint="eastAsia" w:ascii="宋体" w:hAnsi="宋体" w:cs="宋体"/>
                <w:szCs w:val="21"/>
              </w:rPr>
              <w:t>符合要求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771" w:type="dxa"/>
            <w:vMerge w:val="continue"/>
          </w:tcPr>
          <w:p>
            <w:pPr>
              <w:spacing w:line="280" w:lineRule="exact"/>
              <w:rPr>
                <w:rFonts w:ascii="宋体" w:hAnsi="宋体" w:cs="宋体"/>
                <w:b/>
                <w:bCs/>
                <w:szCs w:val="21"/>
              </w:rPr>
            </w:pPr>
          </w:p>
        </w:tc>
        <w:tc>
          <w:tcPr>
            <w:tcW w:w="709" w:type="dxa"/>
            <w:vMerge w:val="continue"/>
          </w:tcPr>
          <w:p>
            <w:pPr>
              <w:spacing w:line="280" w:lineRule="exact"/>
              <w:rPr>
                <w:rFonts w:ascii="宋体" w:hAnsi="宋体" w:cs="宋体"/>
                <w:b/>
                <w:bCs/>
                <w:szCs w:val="21"/>
              </w:rPr>
            </w:pPr>
          </w:p>
        </w:tc>
        <w:tc>
          <w:tcPr>
            <w:tcW w:w="2409" w:type="dxa"/>
          </w:tcPr>
          <w:p>
            <w:pPr>
              <w:spacing w:line="280" w:lineRule="exact"/>
              <w:rPr>
                <w:rFonts w:ascii="宋体" w:hAnsi="宋体" w:cs="宋体"/>
                <w:szCs w:val="21"/>
              </w:rPr>
            </w:pPr>
            <w:r>
              <w:rPr>
                <w:rFonts w:hint="eastAsia" w:ascii="宋体" w:hAnsi="宋体" w:cs="宋体"/>
                <w:szCs w:val="21"/>
              </w:rPr>
              <w:t>6.企业应在特种设备检验合格有效期届满前一个月向特种设备检验检测机构提出定期检验要求。未经定期检验或者检验不合格的特种设备，不得继续使用。企业应将安全检验合格标志置于或者附着于特种设备的显著位置。</w:t>
            </w:r>
          </w:p>
        </w:tc>
        <w:tc>
          <w:tcPr>
            <w:tcW w:w="2268" w:type="dxa"/>
          </w:tcPr>
          <w:p>
            <w:pPr>
              <w:spacing w:line="280" w:lineRule="exact"/>
              <w:rPr>
                <w:rFonts w:ascii="宋体" w:hAnsi="宋体" w:cs="宋体"/>
                <w:szCs w:val="21"/>
              </w:rPr>
            </w:pPr>
            <w:r>
              <w:rPr>
                <w:rFonts w:hint="eastAsia" w:ascii="宋体" w:hAnsi="宋体" w:cs="宋体"/>
                <w:szCs w:val="21"/>
              </w:rPr>
              <w:t>1.特种设备检验合格有效期届满前一个月向特种设备检验检测机构提出定期检验要求；</w:t>
            </w:r>
          </w:p>
          <w:p>
            <w:pPr>
              <w:spacing w:line="280" w:lineRule="exact"/>
              <w:rPr>
                <w:rFonts w:ascii="宋体" w:hAnsi="宋体" w:cs="宋体"/>
                <w:szCs w:val="21"/>
              </w:rPr>
            </w:pPr>
            <w:r>
              <w:rPr>
                <w:rFonts w:hint="eastAsia" w:ascii="宋体" w:hAnsi="宋体" w:cs="宋体"/>
                <w:szCs w:val="21"/>
              </w:rPr>
              <w:t>2.未经定期检验或者检验不合格的特种设备，不得继续使用；</w:t>
            </w:r>
          </w:p>
          <w:p>
            <w:pPr>
              <w:spacing w:line="280" w:lineRule="exact"/>
              <w:rPr>
                <w:rFonts w:ascii="宋体" w:hAnsi="宋体" w:cs="宋体"/>
                <w:szCs w:val="21"/>
              </w:rPr>
            </w:pPr>
            <w:r>
              <w:rPr>
                <w:rFonts w:hint="eastAsia" w:ascii="宋体" w:hAnsi="宋体" w:cs="宋体"/>
                <w:szCs w:val="21"/>
              </w:rPr>
              <w:t>3.将安全检验合格标志置于或者附着于特种设备的显著位置。</w:t>
            </w:r>
          </w:p>
        </w:tc>
        <w:tc>
          <w:tcPr>
            <w:tcW w:w="2268" w:type="dxa"/>
          </w:tcPr>
          <w:p>
            <w:pPr>
              <w:spacing w:line="280" w:lineRule="exact"/>
              <w:rPr>
                <w:rFonts w:ascii="宋体" w:hAnsi="宋体" w:cs="宋体"/>
                <w:szCs w:val="21"/>
                <w:lang w:val="zh-CN"/>
              </w:rPr>
            </w:pPr>
            <w:r>
              <w:rPr>
                <w:rFonts w:hint="eastAsia" w:ascii="宋体" w:hAnsi="宋体" w:cs="宋体"/>
                <w:szCs w:val="21"/>
                <w:lang w:val="zh-CN"/>
              </w:rPr>
              <w:t>查文件：</w:t>
            </w:r>
          </w:p>
          <w:p>
            <w:pPr>
              <w:spacing w:line="280" w:lineRule="exact"/>
              <w:rPr>
                <w:rFonts w:ascii="宋体" w:hAnsi="宋体" w:cs="宋体"/>
                <w:szCs w:val="21"/>
              </w:rPr>
            </w:pPr>
            <w:r>
              <w:rPr>
                <w:rFonts w:hint="eastAsia" w:ascii="宋体" w:hAnsi="宋体" w:cs="宋体"/>
                <w:szCs w:val="21"/>
                <w:lang w:val="zh-CN"/>
              </w:rPr>
              <w:t>1.</w:t>
            </w:r>
            <w:r>
              <w:rPr>
                <w:rFonts w:hint="eastAsia" w:ascii="宋体" w:hAnsi="宋体" w:cs="宋体"/>
                <w:szCs w:val="21"/>
              </w:rPr>
              <w:t>特种设备档案；</w:t>
            </w:r>
          </w:p>
          <w:p>
            <w:pPr>
              <w:spacing w:line="280" w:lineRule="exact"/>
              <w:rPr>
                <w:rFonts w:ascii="宋体" w:hAnsi="宋体" w:cs="宋体"/>
                <w:szCs w:val="21"/>
              </w:rPr>
            </w:pPr>
            <w:r>
              <w:rPr>
                <w:rFonts w:hint="eastAsia" w:ascii="宋体" w:hAnsi="宋体" w:cs="宋体"/>
                <w:szCs w:val="21"/>
              </w:rPr>
              <w:t>2.定期检验申请资料。</w:t>
            </w:r>
          </w:p>
          <w:p>
            <w:pPr>
              <w:spacing w:line="280" w:lineRule="exact"/>
              <w:rPr>
                <w:rFonts w:ascii="宋体" w:hAnsi="宋体" w:cs="宋体"/>
                <w:szCs w:val="21"/>
              </w:rPr>
            </w:pPr>
            <w:r>
              <w:rPr>
                <w:rFonts w:hint="eastAsia" w:ascii="宋体" w:hAnsi="宋体" w:cs="宋体"/>
                <w:szCs w:val="21"/>
              </w:rPr>
              <w:t>现场检查：</w:t>
            </w:r>
          </w:p>
          <w:p>
            <w:pPr>
              <w:spacing w:line="280" w:lineRule="exact"/>
              <w:rPr>
                <w:rFonts w:ascii="宋体" w:hAnsi="宋体" w:cs="宋体"/>
                <w:szCs w:val="21"/>
              </w:rPr>
            </w:pPr>
            <w:r>
              <w:rPr>
                <w:rFonts w:hint="eastAsia" w:ascii="宋体" w:hAnsi="宋体" w:cs="宋体"/>
                <w:szCs w:val="21"/>
              </w:rPr>
              <w:t>特种设备检验合格标志。</w:t>
            </w:r>
          </w:p>
        </w:tc>
        <w:tc>
          <w:tcPr>
            <w:tcW w:w="1701" w:type="dxa"/>
          </w:tcPr>
          <w:p>
            <w:pPr>
              <w:spacing w:line="280" w:lineRule="exact"/>
              <w:rPr>
                <w:rFonts w:ascii="宋体" w:hAnsi="宋体" w:cs="宋体"/>
                <w:szCs w:val="21"/>
              </w:rPr>
            </w:pPr>
          </w:p>
        </w:tc>
        <w:tc>
          <w:tcPr>
            <w:tcW w:w="2268" w:type="dxa"/>
          </w:tcPr>
          <w:p>
            <w:pPr>
              <w:spacing w:line="280" w:lineRule="exact"/>
              <w:rPr>
                <w:rFonts w:ascii="宋体" w:hAnsi="宋体" w:cs="宋体"/>
                <w:szCs w:val="21"/>
              </w:rPr>
            </w:pPr>
            <w:r>
              <w:rPr>
                <w:rFonts w:hint="eastAsia" w:ascii="宋体" w:hAnsi="宋体" w:cs="宋体"/>
                <w:szCs w:val="21"/>
              </w:rPr>
              <w:t>1.存在未检验或检验不合格或无检验报告的在用特种设备，1台次扣4分；</w:t>
            </w:r>
          </w:p>
          <w:p>
            <w:pPr>
              <w:spacing w:line="280" w:lineRule="exact"/>
              <w:rPr>
                <w:rFonts w:ascii="宋体" w:hAnsi="宋体" w:cs="宋体"/>
                <w:szCs w:val="21"/>
              </w:rPr>
            </w:pPr>
            <w:r>
              <w:rPr>
                <w:rFonts w:hint="eastAsia" w:ascii="宋体" w:hAnsi="宋体" w:cs="宋体"/>
                <w:szCs w:val="21"/>
              </w:rPr>
              <w:t>2.未按规定提出检验要求的，1台次扣1分；</w:t>
            </w:r>
          </w:p>
          <w:p>
            <w:pPr>
              <w:spacing w:line="280" w:lineRule="exact"/>
              <w:rPr>
                <w:rFonts w:ascii="宋体" w:hAnsi="宋体" w:cs="宋体"/>
                <w:szCs w:val="21"/>
              </w:rPr>
            </w:pPr>
            <w:r>
              <w:rPr>
                <w:rFonts w:hint="eastAsia" w:ascii="宋体" w:hAnsi="宋体" w:cs="宋体"/>
                <w:szCs w:val="21"/>
              </w:rPr>
              <w:t>3.特种设备上无检验合格标志，1台次扣1分。</w:t>
            </w:r>
          </w:p>
        </w:tc>
        <w:tc>
          <w:tcPr>
            <w:tcW w:w="1165" w:type="dxa"/>
            <w:vAlign w:val="center"/>
          </w:tcPr>
          <w:p>
            <w:pPr>
              <w:spacing w:line="280" w:lineRule="exact"/>
              <w:jc w:val="center"/>
              <w:rPr>
                <w:rFonts w:ascii="宋体" w:hAnsi="宋体" w:cs="宋体"/>
                <w:szCs w:val="21"/>
              </w:rPr>
            </w:pPr>
            <w:r>
              <w:rPr>
                <w:rFonts w:hint="eastAsia" w:ascii="宋体" w:hAnsi="宋体" w:cs="宋体"/>
                <w:szCs w:val="21"/>
              </w:rPr>
              <w:t>符合要求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771" w:type="dxa"/>
            <w:vMerge w:val="continue"/>
          </w:tcPr>
          <w:p>
            <w:pPr>
              <w:spacing w:line="280" w:lineRule="exact"/>
              <w:rPr>
                <w:rFonts w:ascii="宋体" w:hAnsi="宋体" w:cs="宋体"/>
                <w:b/>
                <w:bCs/>
                <w:szCs w:val="21"/>
              </w:rPr>
            </w:pPr>
          </w:p>
        </w:tc>
        <w:tc>
          <w:tcPr>
            <w:tcW w:w="709" w:type="dxa"/>
            <w:vMerge w:val="continue"/>
          </w:tcPr>
          <w:p>
            <w:pPr>
              <w:spacing w:line="280" w:lineRule="exact"/>
              <w:rPr>
                <w:rFonts w:ascii="宋体" w:hAnsi="宋体" w:cs="宋体"/>
                <w:b/>
                <w:bCs/>
                <w:szCs w:val="21"/>
              </w:rPr>
            </w:pPr>
          </w:p>
        </w:tc>
        <w:tc>
          <w:tcPr>
            <w:tcW w:w="2409" w:type="dxa"/>
          </w:tcPr>
          <w:p>
            <w:pPr>
              <w:spacing w:line="280" w:lineRule="exact"/>
              <w:rPr>
                <w:rFonts w:ascii="宋体" w:hAnsi="宋体" w:cs="宋体"/>
                <w:szCs w:val="21"/>
              </w:rPr>
            </w:pPr>
            <w:r>
              <w:rPr>
                <w:rFonts w:hint="eastAsia" w:ascii="宋体" w:hAnsi="宋体" w:cs="宋体"/>
                <w:szCs w:val="21"/>
              </w:rPr>
              <w:t>7.企业特种设备存在严重事故隐患，无改造、维修价值，或者超过安全技术规范规定使用年限，应及时予以报废，并向原登记的特种设备监督管理部门办理注销。</w:t>
            </w:r>
          </w:p>
        </w:tc>
        <w:tc>
          <w:tcPr>
            <w:tcW w:w="2268" w:type="dxa"/>
          </w:tcPr>
          <w:p>
            <w:pPr>
              <w:spacing w:line="280" w:lineRule="exact"/>
              <w:rPr>
                <w:rFonts w:ascii="宋体" w:hAnsi="宋体" w:cs="宋体"/>
                <w:szCs w:val="21"/>
              </w:rPr>
            </w:pPr>
            <w:r>
              <w:rPr>
                <w:rFonts w:hint="eastAsia" w:ascii="宋体" w:hAnsi="宋体" w:cs="宋体"/>
                <w:szCs w:val="21"/>
              </w:rPr>
              <w:t>1.特种设备存在严重事故隐患，无改造、维修价值，或者超过安全技术规范规定使用年限，应及时予以报废；</w:t>
            </w:r>
          </w:p>
          <w:p>
            <w:pPr>
              <w:spacing w:line="280" w:lineRule="exact"/>
              <w:rPr>
                <w:rFonts w:ascii="宋体" w:hAnsi="宋体" w:cs="宋体"/>
                <w:szCs w:val="21"/>
              </w:rPr>
            </w:pPr>
            <w:r>
              <w:rPr>
                <w:rFonts w:hint="eastAsia" w:ascii="宋体" w:hAnsi="宋体" w:cs="宋体"/>
                <w:szCs w:val="21"/>
              </w:rPr>
              <w:t>2.向原登记的特种设备监督管理部门办理注销。</w:t>
            </w:r>
          </w:p>
        </w:tc>
        <w:tc>
          <w:tcPr>
            <w:tcW w:w="2268" w:type="dxa"/>
          </w:tcPr>
          <w:p>
            <w:pPr>
              <w:spacing w:line="280" w:lineRule="exact"/>
              <w:rPr>
                <w:rFonts w:ascii="宋体" w:hAnsi="宋体" w:cs="宋体"/>
                <w:szCs w:val="21"/>
              </w:rPr>
            </w:pPr>
            <w:r>
              <w:rPr>
                <w:rFonts w:hint="eastAsia" w:ascii="宋体" w:hAnsi="宋体" w:cs="宋体"/>
                <w:szCs w:val="21"/>
              </w:rPr>
              <w:t>查文件：</w:t>
            </w:r>
          </w:p>
          <w:p>
            <w:pPr>
              <w:spacing w:line="280" w:lineRule="exact"/>
              <w:rPr>
                <w:rFonts w:ascii="宋体" w:hAnsi="宋体" w:cs="宋体"/>
                <w:szCs w:val="21"/>
              </w:rPr>
            </w:pPr>
            <w:r>
              <w:rPr>
                <w:rFonts w:hint="eastAsia" w:ascii="宋体" w:hAnsi="宋体" w:cs="宋体"/>
                <w:szCs w:val="21"/>
              </w:rPr>
              <w:t>1.特种设备档案和事故隐患台账；</w:t>
            </w:r>
          </w:p>
          <w:p>
            <w:pPr>
              <w:spacing w:line="280" w:lineRule="exact"/>
              <w:rPr>
                <w:rFonts w:ascii="宋体" w:hAnsi="宋体" w:cs="宋体"/>
                <w:szCs w:val="21"/>
              </w:rPr>
            </w:pPr>
            <w:r>
              <w:rPr>
                <w:rFonts w:hint="eastAsia" w:ascii="宋体" w:hAnsi="宋体" w:cs="宋体"/>
                <w:szCs w:val="21"/>
              </w:rPr>
              <w:t>2.报废的特种设备注销手续。</w:t>
            </w:r>
          </w:p>
          <w:p>
            <w:pPr>
              <w:spacing w:line="280" w:lineRule="exact"/>
              <w:rPr>
                <w:rFonts w:ascii="宋体" w:hAnsi="宋体" w:cs="宋体"/>
                <w:szCs w:val="21"/>
              </w:rPr>
            </w:pPr>
            <w:r>
              <w:rPr>
                <w:rFonts w:hint="eastAsia" w:ascii="宋体" w:hAnsi="宋体" w:cs="宋体"/>
                <w:szCs w:val="21"/>
              </w:rPr>
              <w:t>现场检查：</w:t>
            </w:r>
          </w:p>
          <w:p>
            <w:pPr>
              <w:spacing w:line="280" w:lineRule="exact"/>
              <w:rPr>
                <w:rFonts w:ascii="宋体" w:hAnsi="宋体" w:cs="宋体"/>
                <w:szCs w:val="21"/>
                <w:lang w:val="zh-CN"/>
              </w:rPr>
            </w:pPr>
            <w:r>
              <w:rPr>
                <w:rFonts w:hint="eastAsia" w:ascii="宋体" w:hAnsi="宋体" w:cs="宋体"/>
                <w:szCs w:val="21"/>
              </w:rPr>
              <w:t>特种设备是否有报废但仍在使用的现象。</w:t>
            </w:r>
          </w:p>
        </w:tc>
        <w:tc>
          <w:tcPr>
            <w:tcW w:w="1701" w:type="dxa"/>
          </w:tcPr>
          <w:p>
            <w:pPr>
              <w:spacing w:line="280" w:lineRule="exact"/>
              <w:rPr>
                <w:rFonts w:ascii="宋体" w:hAnsi="宋体" w:cs="宋体"/>
                <w:szCs w:val="21"/>
              </w:rPr>
            </w:pPr>
            <w:r>
              <w:rPr>
                <w:rFonts w:hint="eastAsia" w:ascii="宋体" w:hAnsi="宋体" w:cs="宋体"/>
                <w:szCs w:val="21"/>
              </w:rPr>
              <w:t>1.未及时报废，1台次扣10分（B级要素否决项）；</w:t>
            </w:r>
          </w:p>
          <w:p>
            <w:pPr>
              <w:spacing w:line="280" w:lineRule="exact"/>
              <w:rPr>
                <w:rFonts w:ascii="宋体" w:hAnsi="宋体" w:cs="宋体"/>
                <w:szCs w:val="21"/>
              </w:rPr>
            </w:pPr>
            <w:r>
              <w:rPr>
                <w:rFonts w:hint="eastAsia" w:ascii="宋体" w:hAnsi="宋体" w:cs="宋体"/>
                <w:szCs w:val="21"/>
              </w:rPr>
              <w:t>2.已报废的特种设备，仍在现场使用，1台次扣10分（B级要素否决项）。</w:t>
            </w:r>
          </w:p>
        </w:tc>
        <w:tc>
          <w:tcPr>
            <w:tcW w:w="2268" w:type="dxa"/>
          </w:tcPr>
          <w:p>
            <w:pPr>
              <w:spacing w:line="280" w:lineRule="exact"/>
              <w:rPr>
                <w:rFonts w:ascii="宋体" w:hAnsi="宋体" w:cs="宋体"/>
                <w:szCs w:val="21"/>
              </w:rPr>
            </w:pPr>
            <w:r>
              <w:rPr>
                <w:rFonts w:hint="eastAsia" w:ascii="宋体" w:hAnsi="宋体" w:cs="宋体"/>
                <w:szCs w:val="21"/>
              </w:rPr>
              <w:t>未办理注销手续，1台次扣1分。</w:t>
            </w:r>
          </w:p>
        </w:tc>
        <w:tc>
          <w:tcPr>
            <w:tcW w:w="1165" w:type="dxa"/>
            <w:vAlign w:val="center"/>
          </w:tcPr>
          <w:p>
            <w:pPr>
              <w:spacing w:line="280" w:lineRule="exact"/>
              <w:jc w:val="center"/>
              <w:rPr>
                <w:rFonts w:ascii="宋体" w:hAnsi="宋体" w:cs="宋体"/>
                <w:szCs w:val="21"/>
              </w:rPr>
            </w:pPr>
            <w:r>
              <w:rPr>
                <w:rFonts w:hint="eastAsia" w:ascii="宋体" w:hAnsi="宋体" w:cs="宋体"/>
                <w:szCs w:val="21"/>
              </w:rPr>
              <w:t>符合要求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771" w:type="dxa"/>
            <w:vMerge w:val="continue"/>
          </w:tcPr>
          <w:p>
            <w:pPr>
              <w:spacing w:line="280" w:lineRule="exact"/>
              <w:rPr>
                <w:rFonts w:ascii="宋体" w:hAnsi="宋体" w:cs="宋体"/>
                <w:b/>
                <w:bCs/>
                <w:szCs w:val="21"/>
              </w:rPr>
            </w:pPr>
          </w:p>
        </w:tc>
        <w:tc>
          <w:tcPr>
            <w:tcW w:w="709" w:type="dxa"/>
            <w:vMerge w:val="restart"/>
          </w:tcPr>
          <w:p>
            <w:pPr>
              <w:spacing w:line="280" w:lineRule="exact"/>
              <w:rPr>
                <w:rFonts w:ascii="宋体" w:hAnsi="宋体" w:cs="宋体"/>
                <w:b/>
                <w:bCs/>
                <w:szCs w:val="21"/>
                <w:lang w:val="zh-CN"/>
              </w:rPr>
            </w:pPr>
            <w:r>
              <w:rPr>
                <w:rFonts w:hint="eastAsia" w:ascii="宋体" w:hAnsi="宋体" w:cs="宋体"/>
                <w:b/>
                <w:bCs/>
                <w:szCs w:val="21"/>
                <w:lang w:val="zh-CN"/>
              </w:rPr>
              <w:t>6.4工艺安全</w:t>
            </w:r>
          </w:p>
          <w:p>
            <w:pPr>
              <w:spacing w:line="280" w:lineRule="exact"/>
              <w:rPr>
                <w:rFonts w:ascii="宋体" w:hAnsi="宋体" w:cs="宋体"/>
                <w:b/>
                <w:bCs/>
                <w:szCs w:val="21"/>
              </w:rPr>
            </w:pPr>
            <w:r>
              <w:rPr>
                <w:rFonts w:hint="eastAsia" w:ascii="宋体" w:hAnsi="宋体" w:cs="宋体"/>
                <w:b/>
                <w:bCs/>
                <w:szCs w:val="21"/>
                <w:lang w:val="zh-CN"/>
              </w:rPr>
              <w:t>（25分）</w:t>
            </w:r>
          </w:p>
        </w:tc>
        <w:tc>
          <w:tcPr>
            <w:tcW w:w="2409" w:type="dxa"/>
          </w:tcPr>
          <w:p>
            <w:pPr>
              <w:spacing w:line="280" w:lineRule="exact"/>
              <w:rPr>
                <w:rFonts w:ascii="宋体" w:hAnsi="宋体" w:cs="宋体"/>
                <w:szCs w:val="21"/>
              </w:rPr>
            </w:pPr>
            <w:r>
              <w:rPr>
                <w:rFonts w:hint="eastAsia" w:ascii="宋体" w:hAnsi="宋体" w:cs="宋体"/>
                <w:szCs w:val="21"/>
              </w:rPr>
              <w:t>1.企业操作人员应掌握工艺安全信息，主要包括：</w:t>
            </w:r>
          </w:p>
          <w:p>
            <w:pPr>
              <w:spacing w:line="280" w:lineRule="exact"/>
              <w:rPr>
                <w:rFonts w:ascii="宋体" w:hAnsi="宋体" w:cs="宋体"/>
                <w:szCs w:val="21"/>
              </w:rPr>
            </w:pPr>
            <w:r>
              <w:rPr>
                <w:rFonts w:hint="eastAsia" w:ascii="宋体" w:hAnsi="宋体" w:cs="宋体"/>
                <w:szCs w:val="21"/>
              </w:rPr>
              <w:t>（1）化学品危险性信息：</w:t>
            </w:r>
          </w:p>
          <w:p>
            <w:pPr>
              <w:spacing w:line="280" w:lineRule="exact"/>
              <w:rPr>
                <w:rFonts w:ascii="宋体" w:hAnsi="宋体" w:cs="宋体"/>
                <w:szCs w:val="21"/>
              </w:rPr>
            </w:pPr>
            <w:r>
              <w:rPr>
                <w:rFonts w:hint="eastAsia" w:ascii="宋体" w:hAnsi="宋体" w:cs="宋体"/>
                <w:szCs w:val="21"/>
              </w:rPr>
              <w:t>1）物理特性；</w:t>
            </w:r>
          </w:p>
          <w:p>
            <w:pPr>
              <w:spacing w:line="280" w:lineRule="exact"/>
              <w:rPr>
                <w:rFonts w:ascii="宋体" w:hAnsi="宋体" w:cs="宋体"/>
                <w:szCs w:val="21"/>
              </w:rPr>
            </w:pPr>
            <w:r>
              <w:rPr>
                <w:rFonts w:hint="eastAsia" w:ascii="宋体" w:hAnsi="宋体" w:cs="宋体"/>
                <w:szCs w:val="21"/>
              </w:rPr>
              <w:t>2）化学特性，包括反应活性、腐蚀性、热和化学稳定性等；</w:t>
            </w:r>
          </w:p>
          <w:p>
            <w:pPr>
              <w:spacing w:line="280" w:lineRule="exact"/>
              <w:rPr>
                <w:rFonts w:ascii="宋体" w:hAnsi="宋体" w:cs="宋体"/>
                <w:szCs w:val="21"/>
              </w:rPr>
            </w:pPr>
            <w:r>
              <w:rPr>
                <w:rFonts w:hint="eastAsia" w:ascii="宋体" w:hAnsi="宋体" w:cs="宋体"/>
                <w:szCs w:val="21"/>
              </w:rPr>
              <w:t>3）毒性；</w:t>
            </w:r>
          </w:p>
          <w:p>
            <w:pPr>
              <w:spacing w:line="280" w:lineRule="exact"/>
              <w:rPr>
                <w:rFonts w:ascii="宋体" w:hAnsi="宋体" w:cs="宋体"/>
                <w:szCs w:val="21"/>
              </w:rPr>
            </w:pPr>
            <w:r>
              <w:rPr>
                <w:rFonts w:hint="eastAsia" w:ascii="宋体" w:hAnsi="宋体" w:cs="宋体"/>
                <w:szCs w:val="21"/>
              </w:rPr>
              <w:t>4）职业接触限值。</w:t>
            </w:r>
          </w:p>
          <w:p>
            <w:pPr>
              <w:spacing w:line="280" w:lineRule="exact"/>
              <w:rPr>
                <w:rFonts w:ascii="宋体" w:hAnsi="宋体" w:cs="宋体"/>
                <w:szCs w:val="21"/>
              </w:rPr>
            </w:pPr>
            <w:r>
              <w:rPr>
                <w:rFonts w:hint="eastAsia" w:ascii="宋体" w:hAnsi="宋体" w:cs="宋体"/>
                <w:szCs w:val="21"/>
              </w:rPr>
              <w:t>（2）工艺信息：</w:t>
            </w:r>
          </w:p>
          <w:p>
            <w:pPr>
              <w:spacing w:line="280" w:lineRule="exact"/>
              <w:rPr>
                <w:rFonts w:ascii="宋体" w:hAnsi="宋体" w:cs="宋体"/>
                <w:szCs w:val="21"/>
              </w:rPr>
            </w:pPr>
            <w:r>
              <w:rPr>
                <w:rFonts w:hint="eastAsia" w:ascii="宋体" w:hAnsi="宋体" w:cs="宋体"/>
                <w:szCs w:val="21"/>
              </w:rPr>
              <w:t>1）流程图；</w:t>
            </w:r>
          </w:p>
          <w:p>
            <w:pPr>
              <w:spacing w:line="280" w:lineRule="exact"/>
              <w:rPr>
                <w:rFonts w:ascii="宋体" w:hAnsi="宋体" w:cs="宋体"/>
                <w:szCs w:val="21"/>
              </w:rPr>
            </w:pPr>
            <w:r>
              <w:rPr>
                <w:rFonts w:hint="eastAsia" w:ascii="宋体" w:hAnsi="宋体" w:cs="宋体"/>
                <w:szCs w:val="21"/>
              </w:rPr>
              <w:t>2）化学反应过程；</w:t>
            </w:r>
          </w:p>
          <w:p>
            <w:pPr>
              <w:spacing w:line="280" w:lineRule="exact"/>
              <w:rPr>
                <w:rFonts w:ascii="宋体" w:hAnsi="宋体" w:cs="宋体"/>
                <w:szCs w:val="21"/>
              </w:rPr>
            </w:pPr>
            <w:r>
              <w:rPr>
                <w:rFonts w:hint="eastAsia" w:ascii="宋体" w:hAnsi="宋体" w:cs="宋体"/>
                <w:szCs w:val="21"/>
              </w:rPr>
              <w:t>3）最大储存量；</w:t>
            </w:r>
          </w:p>
          <w:p>
            <w:pPr>
              <w:spacing w:line="280" w:lineRule="exact"/>
              <w:rPr>
                <w:rFonts w:ascii="宋体" w:hAnsi="宋体" w:cs="宋体"/>
                <w:szCs w:val="21"/>
              </w:rPr>
            </w:pPr>
            <w:r>
              <w:rPr>
                <w:rFonts w:hint="eastAsia" w:ascii="宋体" w:hAnsi="宋体" w:cs="宋体"/>
                <w:szCs w:val="21"/>
              </w:rPr>
              <w:t>4）工艺参数（如：压力、温度、流量）安全上下限值。</w:t>
            </w:r>
          </w:p>
          <w:p>
            <w:pPr>
              <w:spacing w:line="280" w:lineRule="exact"/>
              <w:rPr>
                <w:rFonts w:ascii="宋体" w:hAnsi="宋体" w:cs="宋体"/>
                <w:szCs w:val="21"/>
              </w:rPr>
            </w:pPr>
            <w:r>
              <w:rPr>
                <w:rFonts w:hint="eastAsia" w:ascii="宋体" w:hAnsi="宋体" w:cs="宋体"/>
                <w:szCs w:val="21"/>
              </w:rPr>
              <w:t>（3）设备信息:</w:t>
            </w:r>
          </w:p>
          <w:p>
            <w:pPr>
              <w:spacing w:line="280" w:lineRule="exact"/>
              <w:rPr>
                <w:rFonts w:ascii="宋体" w:hAnsi="宋体" w:cs="宋体"/>
                <w:szCs w:val="21"/>
              </w:rPr>
            </w:pPr>
            <w:r>
              <w:rPr>
                <w:rFonts w:hint="eastAsia" w:ascii="宋体" w:hAnsi="宋体" w:cs="宋体"/>
                <w:szCs w:val="21"/>
              </w:rPr>
              <w:t>1）设备材料；</w:t>
            </w:r>
          </w:p>
          <w:p>
            <w:pPr>
              <w:spacing w:line="280" w:lineRule="exact"/>
              <w:rPr>
                <w:rFonts w:ascii="宋体" w:hAnsi="宋体" w:cs="宋体"/>
                <w:szCs w:val="21"/>
              </w:rPr>
            </w:pPr>
            <w:r>
              <w:rPr>
                <w:rFonts w:hint="eastAsia" w:ascii="宋体" w:hAnsi="宋体" w:cs="宋体"/>
                <w:szCs w:val="21"/>
              </w:rPr>
              <w:t xml:space="preserve">2）设备和管道图纸； </w:t>
            </w:r>
          </w:p>
          <w:p>
            <w:pPr>
              <w:spacing w:line="280" w:lineRule="exact"/>
              <w:rPr>
                <w:rFonts w:ascii="宋体" w:hAnsi="宋体" w:cs="宋体"/>
                <w:szCs w:val="21"/>
              </w:rPr>
            </w:pPr>
            <w:r>
              <w:rPr>
                <w:rFonts w:hint="eastAsia" w:ascii="宋体" w:hAnsi="宋体" w:cs="宋体"/>
                <w:szCs w:val="21"/>
              </w:rPr>
              <w:t>3）电气类别；</w:t>
            </w:r>
          </w:p>
          <w:p>
            <w:pPr>
              <w:spacing w:line="280" w:lineRule="exact"/>
              <w:rPr>
                <w:rFonts w:ascii="宋体" w:hAnsi="宋体" w:cs="宋体"/>
                <w:szCs w:val="21"/>
              </w:rPr>
            </w:pPr>
            <w:r>
              <w:rPr>
                <w:rFonts w:hint="eastAsia" w:ascii="宋体" w:hAnsi="宋体" w:cs="宋体"/>
                <w:szCs w:val="21"/>
              </w:rPr>
              <w:t>4）调节阀系统；</w:t>
            </w:r>
          </w:p>
          <w:p>
            <w:pPr>
              <w:spacing w:line="280" w:lineRule="exact"/>
              <w:rPr>
                <w:rFonts w:ascii="宋体" w:hAnsi="宋体" w:cs="宋体"/>
                <w:szCs w:val="21"/>
              </w:rPr>
            </w:pPr>
            <w:r>
              <w:rPr>
                <w:rFonts w:hint="eastAsia" w:ascii="宋体" w:hAnsi="宋体" w:cs="宋体"/>
                <w:szCs w:val="21"/>
              </w:rPr>
              <w:t>5）安全设施（如报警器、联锁等）。</w:t>
            </w:r>
          </w:p>
        </w:tc>
        <w:tc>
          <w:tcPr>
            <w:tcW w:w="2268" w:type="dxa"/>
          </w:tcPr>
          <w:p>
            <w:pPr>
              <w:spacing w:line="280" w:lineRule="exact"/>
              <w:rPr>
                <w:rFonts w:ascii="宋体" w:hAnsi="宋体" w:cs="宋体"/>
                <w:szCs w:val="21"/>
              </w:rPr>
            </w:pPr>
            <w:r>
              <w:rPr>
                <w:rFonts w:hint="eastAsia" w:ascii="宋体" w:hAnsi="宋体" w:cs="宋体"/>
                <w:szCs w:val="21"/>
              </w:rPr>
              <w:t>操作人员应掌握工艺安全信息，主要包括：</w:t>
            </w:r>
          </w:p>
          <w:p>
            <w:pPr>
              <w:spacing w:line="280" w:lineRule="exact"/>
              <w:rPr>
                <w:rFonts w:ascii="宋体" w:hAnsi="宋体" w:cs="宋体"/>
                <w:szCs w:val="21"/>
              </w:rPr>
            </w:pPr>
            <w:r>
              <w:rPr>
                <w:rFonts w:hint="eastAsia" w:ascii="宋体" w:hAnsi="宋体" w:cs="宋体"/>
                <w:szCs w:val="21"/>
              </w:rPr>
              <w:t>（1）化学品危险性信息：</w:t>
            </w:r>
          </w:p>
          <w:p>
            <w:pPr>
              <w:spacing w:line="280" w:lineRule="exact"/>
              <w:rPr>
                <w:rFonts w:ascii="宋体" w:hAnsi="宋体" w:cs="宋体"/>
                <w:szCs w:val="21"/>
              </w:rPr>
            </w:pPr>
            <w:r>
              <w:rPr>
                <w:rFonts w:hint="eastAsia" w:ascii="宋体" w:hAnsi="宋体" w:cs="宋体"/>
                <w:szCs w:val="21"/>
              </w:rPr>
              <w:t>1）物理特性；</w:t>
            </w:r>
          </w:p>
          <w:p>
            <w:pPr>
              <w:spacing w:line="280" w:lineRule="exact"/>
              <w:rPr>
                <w:rFonts w:ascii="宋体" w:hAnsi="宋体" w:cs="宋体"/>
                <w:szCs w:val="21"/>
              </w:rPr>
            </w:pPr>
            <w:r>
              <w:rPr>
                <w:rFonts w:hint="eastAsia" w:ascii="宋体" w:hAnsi="宋体" w:cs="宋体"/>
                <w:szCs w:val="21"/>
              </w:rPr>
              <w:t>2）化学特性，包括反应活性、腐蚀性、热和化学稳定性等；</w:t>
            </w:r>
          </w:p>
          <w:p>
            <w:pPr>
              <w:spacing w:line="280" w:lineRule="exact"/>
              <w:rPr>
                <w:rFonts w:ascii="宋体" w:hAnsi="宋体" w:cs="宋体"/>
                <w:szCs w:val="21"/>
              </w:rPr>
            </w:pPr>
            <w:r>
              <w:rPr>
                <w:rFonts w:hint="eastAsia" w:ascii="宋体" w:hAnsi="宋体" w:cs="宋体"/>
                <w:szCs w:val="21"/>
              </w:rPr>
              <w:t>3）毒性；</w:t>
            </w:r>
          </w:p>
          <w:p>
            <w:pPr>
              <w:spacing w:line="280" w:lineRule="exact"/>
              <w:rPr>
                <w:rFonts w:ascii="宋体" w:hAnsi="宋体" w:cs="宋体"/>
                <w:szCs w:val="21"/>
              </w:rPr>
            </w:pPr>
            <w:r>
              <w:rPr>
                <w:rFonts w:hint="eastAsia" w:ascii="宋体" w:hAnsi="宋体" w:cs="宋体"/>
                <w:szCs w:val="21"/>
              </w:rPr>
              <w:t>4）职业接触限值。</w:t>
            </w:r>
          </w:p>
          <w:p>
            <w:pPr>
              <w:spacing w:line="280" w:lineRule="exact"/>
              <w:rPr>
                <w:rFonts w:ascii="宋体" w:hAnsi="宋体" w:cs="宋体"/>
                <w:szCs w:val="21"/>
              </w:rPr>
            </w:pPr>
            <w:r>
              <w:rPr>
                <w:rFonts w:hint="eastAsia" w:ascii="宋体" w:hAnsi="宋体" w:cs="宋体"/>
                <w:szCs w:val="21"/>
              </w:rPr>
              <w:t>（2）工艺信息：</w:t>
            </w:r>
          </w:p>
          <w:p>
            <w:pPr>
              <w:spacing w:line="280" w:lineRule="exact"/>
              <w:rPr>
                <w:rFonts w:ascii="宋体" w:hAnsi="宋体" w:cs="宋体"/>
                <w:szCs w:val="21"/>
              </w:rPr>
            </w:pPr>
            <w:r>
              <w:rPr>
                <w:rFonts w:hint="eastAsia" w:ascii="宋体" w:hAnsi="宋体" w:cs="宋体"/>
                <w:szCs w:val="21"/>
              </w:rPr>
              <w:t>1）流程图；</w:t>
            </w:r>
          </w:p>
          <w:p>
            <w:pPr>
              <w:spacing w:line="280" w:lineRule="exact"/>
              <w:rPr>
                <w:rFonts w:ascii="宋体" w:hAnsi="宋体" w:cs="宋体"/>
                <w:szCs w:val="21"/>
              </w:rPr>
            </w:pPr>
            <w:r>
              <w:rPr>
                <w:rFonts w:hint="eastAsia" w:ascii="宋体" w:hAnsi="宋体" w:cs="宋体"/>
                <w:szCs w:val="21"/>
              </w:rPr>
              <w:t>2）化学反应过程；</w:t>
            </w:r>
          </w:p>
          <w:p>
            <w:pPr>
              <w:spacing w:line="280" w:lineRule="exact"/>
              <w:rPr>
                <w:rFonts w:ascii="宋体" w:hAnsi="宋体" w:cs="宋体"/>
                <w:szCs w:val="21"/>
              </w:rPr>
            </w:pPr>
            <w:r>
              <w:rPr>
                <w:rFonts w:hint="eastAsia" w:ascii="宋体" w:hAnsi="宋体" w:cs="宋体"/>
                <w:szCs w:val="21"/>
              </w:rPr>
              <w:t>3）最大储存量；</w:t>
            </w:r>
          </w:p>
          <w:p>
            <w:pPr>
              <w:spacing w:line="280" w:lineRule="exact"/>
              <w:rPr>
                <w:rFonts w:ascii="宋体" w:hAnsi="宋体" w:cs="宋体"/>
                <w:szCs w:val="21"/>
              </w:rPr>
            </w:pPr>
            <w:r>
              <w:rPr>
                <w:rFonts w:hint="eastAsia" w:ascii="宋体" w:hAnsi="宋体" w:cs="宋体"/>
                <w:szCs w:val="21"/>
              </w:rPr>
              <w:t>4）工艺参数（如：压力、温度、流量）安全上下限值。</w:t>
            </w:r>
          </w:p>
          <w:p>
            <w:pPr>
              <w:spacing w:line="280" w:lineRule="exact"/>
              <w:rPr>
                <w:rFonts w:ascii="宋体" w:hAnsi="宋体" w:cs="宋体"/>
                <w:szCs w:val="21"/>
              </w:rPr>
            </w:pPr>
            <w:r>
              <w:rPr>
                <w:rFonts w:hint="eastAsia" w:ascii="宋体" w:hAnsi="宋体" w:cs="宋体"/>
                <w:szCs w:val="21"/>
              </w:rPr>
              <w:t>（3）设备信息:</w:t>
            </w:r>
          </w:p>
          <w:p>
            <w:pPr>
              <w:spacing w:line="280" w:lineRule="exact"/>
              <w:rPr>
                <w:rFonts w:ascii="宋体" w:hAnsi="宋体" w:cs="宋体"/>
                <w:szCs w:val="21"/>
              </w:rPr>
            </w:pPr>
            <w:r>
              <w:rPr>
                <w:rFonts w:hint="eastAsia" w:ascii="宋体" w:hAnsi="宋体" w:cs="宋体"/>
                <w:szCs w:val="21"/>
              </w:rPr>
              <w:t>1）设备材料；</w:t>
            </w:r>
          </w:p>
          <w:p>
            <w:pPr>
              <w:spacing w:line="280" w:lineRule="exact"/>
              <w:rPr>
                <w:rFonts w:ascii="宋体" w:hAnsi="宋体" w:cs="宋体"/>
                <w:szCs w:val="21"/>
              </w:rPr>
            </w:pPr>
            <w:r>
              <w:rPr>
                <w:rFonts w:hint="eastAsia" w:ascii="宋体" w:hAnsi="宋体" w:cs="宋体"/>
                <w:szCs w:val="21"/>
              </w:rPr>
              <w:t xml:space="preserve">2）设备和管道图纸； </w:t>
            </w:r>
          </w:p>
          <w:p>
            <w:pPr>
              <w:spacing w:line="280" w:lineRule="exact"/>
              <w:rPr>
                <w:rFonts w:ascii="宋体" w:hAnsi="宋体" w:cs="宋体"/>
                <w:szCs w:val="21"/>
              </w:rPr>
            </w:pPr>
            <w:r>
              <w:rPr>
                <w:rFonts w:hint="eastAsia" w:ascii="宋体" w:hAnsi="宋体" w:cs="宋体"/>
                <w:szCs w:val="21"/>
              </w:rPr>
              <w:t>3）电气类别；</w:t>
            </w:r>
          </w:p>
          <w:p>
            <w:pPr>
              <w:spacing w:line="280" w:lineRule="exact"/>
              <w:rPr>
                <w:rFonts w:ascii="宋体" w:hAnsi="宋体" w:cs="宋体"/>
                <w:szCs w:val="21"/>
              </w:rPr>
            </w:pPr>
            <w:r>
              <w:rPr>
                <w:rFonts w:hint="eastAsia" w:ascii="宋体" w:hAnsi="宋体" w:cs="宋体"/>
                <w:szCs w:val="21"/>
              </w:rPr>
              <w:t>4）调节阀系统；</w:t>
            </w:r>
          </w:p>
          <w:p>
            <w:pPr>
              <w:spacing w:line="280" w:lineRule="exact"/>
              <w:rPr>
                <w:rFonts w:ascii="宋体" w:hAnsi="宋体" w:cs="宋体"/>
                <w:szCs w:val="21"/>
              </w:rPr>
            </w:pPr>
            <w:r>
              <w:rPr>
                <w:rFonts w:hint="eastAsia" w:ascii="宋体" w:hAnsi="宋体" w:cs="宋体"/>
                <w:szCs w:val="21"/>
              </w:rPr>
              <w:t>5）安全设施（如报警器、联锁等）。</w:t>
            </w:r>
          </w:p>
        </w:tc>
        <w:tc>
          <w:tcPr>
            <w:tcW w:w="2268" w:type="dxa"/>
          </w:tcPr>
          <w:p>
            <w:pPr>
              <w:spacing w:line="280" w:lineRule="exact"/>
              <w:rPr>
                <w:rFonts w:ascii="宋体" w:hAnsi="宋体" w:cs="宋体"/>
                <w:szCs w:val="21"/>
              </w:rPr>
            </w:pPr>
            <w:r>
              <w:rPr>
                <w:rFonts w:hint="eastAsia" w:ascii="宋体" w:hAnsi="宋体" w:cs="宋体"/>
                <w:szCs w:val="21"/>
              </w:rPr>
              <w:t>查文件：</w:t>
            </w:r>
          </w:p>
          <w:p>
            <w:pPr>
              <w:spacing w:line="280" w:lineRule="exact"/>
              <w:rPr>
                <w:rFonts w:ascii="宋体" w:hAnsi="宋体" w:cs="宋体"/>
                <w:szCs w:val="21"/>
              </w:rPr>
            </w:pPr>
            <w:r>
              <w:rPr>
                <w:rFonts w:hint="eastAsia" w:ascii="宋体" w:hAnsi="宋体" w:cs="宋体"/>
                <w:szCs w:val="21"/>
              </w:rPr>
              <w:t>员工培训记录。</w:t>
            </w:r>
          </w:p>
          <w:p>
            <w:pPr>
              <w:spacing w:line="280" w:lineRule="exact"/>
              <w:rPr>
                <w:rFonts w:ascii="宋体" w:hAnsi="宋体" w:cs="宋体"/>
                <w:szCs w:val="21"/>
              </w:rPr>
            </w:pPr>
            <w:r>
              <w:rPr>
                <w:rFonts w:hint="eastAsia" w:ascii="宋体" w:hAnsi="宋体" w:cs="宋体"/>
                <w:szCs w:val="21"/>
              </w:rPr>
              <w:t>询问：</w:t>
            </w:r>
          </w:p>
          <w:p>
            <w:pPr>
              <w:spacing w:line="280" w:lineRule="exact"/>
              <w:rPr>
                <w:rFonts w:ascii="宋体" w:hAnsi="宋体" w:cs="宋体"/>
                <w:szCs w:val="21"/>
              </w:rPr>
            </w:pPr>
            <w:r>
              <w:rPr>
                <w:rFonts w:hint="eastAsia" w:ascii="宋体" w:hAnsi="宋体" w:cs="宋体"/>
                <w:szCs w:val="21"/>
              </w:rPr>
              <w:t>员工对岗位工艺安全信息掌握程度。</w:t>
            </w:r>
          </w:p>
        </w:tc>
        <w:tc>
          <w:tcPr>
            <w:tcW w:w="1701" w:type="dxa"/>
          </w:tcPr>
          <w:p>
            <w:pPr>
              <w:spacing w:line="280" w:lineRule="exact"/>
              <w:rPr>
                <w:rFonts w:ascii="宋体" w:hAnsi="宋体" w:cs="宋体"/>
                <w:szCs w:val="21"/>
              </w:rPr>
            </w:pPr>
          </w:p>
        </w:tc>
        <w:tc>
          <w:tcPr>
            <w:tcW w:w="2268" w:type="dxa"/>
          </w:tcPr>
          <w:p>
            <w:pPr>
              <w:spacing w:line="280" w:lineRule="exact"/>
              <w:rPr>
                <w:rFonts w:ascii="宋体" w:hAnsi="宋体" w:cs="宋体"/>
                <w:szCs w:val="21"/>
              </w:rPr>
            </w:pPr>
            <w:r>
              <w:rPr>
                <w:rFonts w:hint="eastAsia" w:ascii="宋体" w:hAnsi="宋体" w:cs="宋体"/>
                <w:szCs w:val="21"/>
              </w:rPr>
              <w:t>操作人员对岗位工艺安全信息掌握程度，1人不掌握扣3分。</w:t>
            </w:r>
          </w:p>
        </w:tc>
        <w:tc>
          <w:tcPr>
            <w:tcW w:w="1165" w:type="dxa"/>
            <w:vAlign w:val="center"/>
          </w:tcPr>
          <w:p>
            <w:pPr>
              <w:jc w:val="center"/>
              <w:rPr>
                <w:rFonts w:ascii="宋体" w:hAnsi="宋体" w:cs="宋体"/>
                <w:szCs w:val="21"/>
              </w:rPr>
            </w:pPr>
            <w:r>
              <w:rPr>
                <w:rFonts w:hint="eastAsia" w:ascii="宋体" w:hAnsi="宋体" w:cs="宋体"/>
                <w:szCs w:val="21"/>
              </w:rPr>
              <w:t>符合要求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771" w:type="dxa"/>
            <w:vMerge w:val="continue"/>
          </w:tcPr>
          <w:p>
            <w:pPr>
              <w:spacing w:line="280" w:lineRule="exact"/>
              <w:rPr>
                <w:rFonts w:ascii="宋体" w:hAnsi="宋体" w:cs="宋体"/>
                <w:b/>
                <w:bCs/>
                <w:szCs w:val="21"/>
              </w:rPr>
            </w:pPr>
          </w:p>
        </w:tc>
        <w:tc>
          <w:tcPr>
            <w:tcW w:w="709" w:type="dxa"/>
            <w:vMerge w:val="continue"/>
          </w:tcPr>
          <w:p>
            <w:pPr>
              <w:spacing w:line="280" w:lineRule="exact"/>
              <w:rPr>
                <w:rFonts w:ascii="宋体" w:hAnsi="宋体" w:cs="宋体"/>
                <w:b/>
                <w:bCs/>
                <w:szCs w:val="21"/>
              </w:rPr>
            </w:pPr>
          </w:p>
        </w:tc>
        <w:tc>
          <w:tcPr>
            <w:tcW w:w="2409" w:type="dxa"/>
          </w:tcPr>
          <w:p>
            <w:pPr>
              <w:spacing w:line="280" w:lineRule="exact"/>
              <w:rPr>
                <w:rFonts w:ascii="宋体" w:hAnsi="宋体" w:cs="宋体"/>
                <w:szCs w:val="21"/>
              </w:rPr>
            </w:pPr>
            <w:r>
              <w:rPr>
                <w:rFonts w:hint="eastAsia" w:ascii="宋体" w:hAnsi="宋体" w:cs="宋体"/>
                <w:szCs w:val="21"/>
              </w:rPr>
              <w:t>2.企业应保证下列设备设施运行安全可靠、完整：</w:t>
            </w:r>
          </w:p>
          <w:p>
            <w:pPr>
              <w:spacing w:line="280" w:lineRule="exact"/>
              <w:rPr>
                <w:rFonts w:ascii="宋体" w:hAnsi="宋体" w:cs="宋体"/>
                <w:szCs w:val="21"/>
              </w:rPr>
            </w:pPr>
            <w:r>
              <w:rPr>
                <w:rFonts w:hint="eastAsia" w:ascii="宋体" w:hAnsi="宋体" w:cs="宋体"/>
                <w:szCs w:val="21"/>
              </w:rPr>
              <w:t>（1）压力容器和压力管道，包括管件和阀门；</w:t>
            </w:r>
          </w:p>
          <w:p>
            <w:pPr>
              <w:spacing w:line="280" w:lineRule="exact"/>
              <w:rPr>
                <w:rFonts w:ascii="宋体" w:hAnsi="宋体" w:cs="宋体"/>
                <w:szCs w:val="21"/>
              </w:rPr>
            </w:pPr>
            <w:r>
              <w:rPr>
                <w:rFonts w:hint="eastAsia" w:ascii="宋体" w:hAnsi="宋体" w:cs="宋体"/>
                <w:szCs w:val="21"/>
              </w:rPr>
              <w:t>（2）泄压和排空系统；</w:t>
            </w:r>
          </w:p>
          <w:p>
            <w:pPr>
              <w:spacing w:line="280" w:lineRule="exact"/>
              <w:rPr>
                <w:rFonts w:ascii="宋体" w:hAnsi="宋体" w:cs="宋体"/>
                <w:szCs w:val="21"/>
              </w:rPr>
            </w:pPr>
            <w:r>
              <w:rPr>
                <w:rFonts w:hint="eastAsia" w:ascii="宋体" w:hAnsi="宋体" w:cs="宋体"/>
                <w:szCs w:val="21"/>
              </w:rPr>
              <w:t>（3）紧急停车系统；</w:t>
            </w:r>
          </w:p>
          <w:p>
            <w:pPr>
              <w:spacing w:line="280" w:lineRule="exact"/>
              <w:rPr>
                <w:rFonts w:ascii="宋体" w:hAnsi="宋体" w:cs="宋体"/>
                <w:szCs w:val="21"/>
              </w:rPr>
            </w:pPr>
            <w:r>
              <w:rPr>
                <w:rFonts w:hint="eastAsia" w:ascii="宋体" w:hAnsi="宋体" w:cs="宋体"/>
                <w:szCs w:val="21"/>
              </w:rPr>
              <w:t>（4）监控、报警系统；</w:t>
            </w:r>
          </w:p>
          <w:p>
            <w:pPr>
              <w:spacing w:line="280" w:lineRule="exact"/>
              <w:rPr>
                <w:rFonts w:ascii="宋体" w:hAnsi="宋体" w:cs="宋体"/>
                <w:szCs w:val="21"/>
              </w:rPr>
            </w:pPr>
            <w:r>
              <w:rPr>
                <w:rFonts w:hint="eastAsia" w:ascii="宋体" w:hAnsi="宋体" w:cs="宋体"/>
                <w:szCs w:val="21"/>
              </w:rPr>
              <w:t>（5）联锁系统；</w:t>
            </w:r>
          </w:p>
          <w:p>
            <w:pPr>
              <w:spacing w:line="280" w:lineRule="exact"/>
              <w:rPr>
                <w:rFonts w:ascii="宋体" w:hAnsi="宋体" w:cs="宋体"/>
                <w:szCs w:val="21"/>
              </w:rPr>
            </w:pPr>
            <w:r>
              <w:rPr>
                <w:rFonts w:hint="eastAsia" w:ascii="宋体" w:hAnsi="宋体" w:cs="宋体"/>
                <w:szCs w:val="21"/>
              </w:rPr>
              <w:t>（6）各类动设备，包括备用设备等。</w:t>
            </w:r>
          </w:p>
        </w:tc>
        <w:tc>
          <w:tcPr>
            <w:tcW w:w="2268" w:type="dxa"/>
          </w:tcPr>
          <w:p>
            <w:pPr>
              <w:spacing w:line="280" w:lineRule="exact"/>
              <w:rPr>
                <w:rFonts w:ascii="宋体" w:hAnsi="宋体" w:cs="宋体"/>
                <w:szCs w:val="21"/>
              </w:rPr>
            </w:pPr>
            <w:r>
              <w:rPr>
                <w:rFonts w:hint="eastAsia" w:ascii="宋体" w:hAnsi="宋体" w:cs="宋体"/>
                <w:szCs w:val="21"/>
              </w:rPr>
              <w:t>1.保证下列设备设施运行安全可靠、完整：</w:t>
            </w:r>
          </w:p>
          <w:p>
            <w:pPr>
              <w:spacing w:line="280" w:lineRule="exact"/>
              <w:rPr>
                <w:rFonts w:ascii="宋体" w:hAnsi="宋体" w:cs="宋体"/>
                <w:szCs w:val="21"/>
              </w:rPr>
            </w:pPr>
            <w:r>
              <w:rPr>
                <w:rFonts w:hint="eastAsia" w:ascii="宋体" w:hAnsi="宋体" w:cs="宋体"/>
                <w:szCs w:val="21"/>
              </w:rPr>
              <w:t>（1）压力容器和压力管道，包括管件和阀门；</w:t>
            </w:r>
          </w:p>
          <w:p>
            <w:pPr>
              <w:spacing w:line="280" w:lineRule="exact"/>
              <w:rPr>
                <w:rFonts w:ascii="宋体" w:hAnsi="宋体" w:cs="宋体"/>
                <w:szCs w:val="21"/>
              </w:rPr>
            </w:pPr>
            <w:r>
              <w:rPr>
                <w:rFonts w:hint="eastAsia" w:ascii="宋体" w:hAnsi="宋体" w:cs="宋体"/>
                <w:szCs w:val="21"/>
              </w:rPr>
              <w:t>（2）泄压和排空系统；</w:t>
            </w:r>
          </w:p>
          <w:p>
            <w:pPr>
              <w:spacing w:line="280" w:lineRule="exact"/>
              <w:rPr>
                <w:rFonts w:ascii="宋体" w:hAnsi="宋体" w:cs="宋体"/>
                <w:szCs w:val="21"/>
              </w:rPr>
            </w:pPr>
            <w:r>
              <w:rPr>
                <w:rFonts w:hint="eastAsia" w:ascii="宋体" w:hAnsi="宋体" w:cs="宋体"/>
                <w:szCs w:val="21"/>
              </w:rPr>
              <w:t>（3）紧急停车系统；</w:t>
            </w:r>
          </w:p>
          <w:p>
            <w:pPr>
              <w:spacing w:line="280" w:lineRule="exact"/>
              <w:rPr>
                <w:rFonts w:ascii="宋体" w:hAnsi="宋体" w:cs="宋体"/>
                <w:szCs w:val="21"/>
              </w:rPr>
            </w:pPr>
            <w:r>
              <w:rPr>
                <w:rFonts w:hint="eastAsia" w:ascii="宋体" w:hAnsi="宋体" w:cs="宋体"/>
                <w:szCs w:val="21"/>
              </w:rPr>
              <w:t>（4）监控、报警系统；</w:t>
            </w:r>
          </w:p>
          <w:p>
            <w:pPr>
              <w:spacing w:line="280" w:lineRule="exact"/>
              <w:rPr>
                <w:rFonts w:ascii="宋体" w:hAnsi="宋体" w:cs="宋体"/>
                <w:szCs w:val="21"/>
              </w:rPr>
            </w:pPr>
            <w:r>
              <w:rPr>
                <w:rFonts w:hint="eastAsia" w:ascii="宋体" w:hAnsi="宋体" w:cs="宋体"/>
                <w:szCs w:val="21"/>
              </w:rPr>
              <w:t>（5）联锁系统；</w:t>
            </w:r>
          </w:p>
          <w:p>
            <w:pPr>
              <w:spacing w:line="280" w:lineRule="exact"/>
              <w:rPr>
                <w:rFonts w:ascii="宋体" w:hAnsi="宋体" w:cs="宋体"/>
                <w:szCs w:val="21"/>
              </w:rPr>
            </w:pPr>
            <w:r>
              <w:rPr>
                <w:rFonts w:hint="eastAsia" w:ascii="宋体" w:hAnsi="宋体" w:cs="宋体"/>
                <w:szCs w:val="21"/>
              </w:rPr>
              <w:t>（6）各类动设备，包括备用设备等。</w:t>
            </w:r>
          </w:p>
          <w:p>
            <w:pPr>
              <w:spacing w:line="280" w:lineRule="exact"/>
              <w:rPr>
                <w:rFonts w:ascii="宋体" w:hAnsi="宋体" w:cs="宋体"/>
                <w:szCs w:val="21"/>
              </w:rPr>
            </w:pPr>
            <w:r>
              <w:rPr>
                <w:rFonts w:hint="eastAsia" w:ascii="宋体" w:hAnsi="宋体" w:cs="宋体"/>
                <w:szCs w:val="21"/>
              </w:rPr>
              <w:t>2.工艺技术自动控制水平低的重点危险化学品企业要制定技术改造计划，完成自动化控制技术改造。</w:t>
            </w:r>
          </w:p>
        </w:tc>
        <w:tc>
          <w:tcPr>
            <w:tcW w:w="2268" w:type="dxa"/>
          </w:tcPr>
          <w:p>
            <w:pPr>
              <w:spacing w:line="280" w:lineRule="exact"/>
              <w:rPr>
                <w:rFonts w:ascii="宋体" w:hAnsi="宋体" w:cs="宋体"/>
                <w:szCs w:val="21"/>
              </w:rPr>
            </w:pPr>
            <w:r>
              <w:rPr>
                <w:rFonts w:hint="eastAsia" w:ascii="宋体" w:hAnsi="宋体" w:cs="宋体"/>
                <w:szCs w:val="21"/>
              </w:rPr>
              <w:t>查文件：</w:t>
            </w:r>
          </w:p>
          <w:p>
            <w:pPr>
              <w:spacing w:line="280" w:lineRule="exact"/>
              <w:rPr>
                <w:rFonts w:ascii="宋体" w:hAnsi="宋体" w:cs="宋体"/>
                <w:szCs w:val="21"/>
                <w:lang w:val="zh-CN"/>
              </w:rPr>
            </w:pPr>
            <w:r>
              <w:rPr>
                <w:rFonts w:hint="eastAsia" w:ascii="宋体" w:hAnsi="宋体" w:cs="宋体"/>
                <w:szCs w:val="21"/>
              </w:rPr>
              <w:t>1.压力容器和压力管道及安全附件检验报告；</w:t>
            </w:r>
          </w:p>
          <w:p>
            <w:pPr>
              <w:spacing w:line="280" w:lineRule="exact"/>
              <w:rPr>
                <w:rFonts w:ascii="宋体" w:hAnsi="宋体" w:cs="宋体"/>
                <w:szCs w:val="21"/>
              </w:rPr>
            </w:pPr>
            <w:r>
              <w:rPr>
                <w:rFonts w:hint="eastAsia" w:ascii="宋体" w:hAnsi="宋体" w:cs="宋体"/>
                <w:szCs w:val="21"/>
              </w:rPr>
              <w:t xml:space="preserve">2.安全阀检验报告；爆破片、防爆膜合格证及更换记录； </w:t>
            </w:r>
          </w:p>
          <w:p>
            <w:pPr>
              <w:spacing w:line="280" w:lineRule="exact"/>
              <w:rPr>
                <w:rFonts w:ascii="宋体" w:hAnsi="宋体" w:cs="宋体"/>
                <w:szCs w:val="21"/>
              </w:rPr>
            </w:pPr>
            <w:r>
              <w:rPr>
                <w:rFonts w:hint="eastAsia" w:ascii="宋体" w:hAnsi="宋体" w:cs="宋体"/>
                <w:szCs w:val="21"/>
              </w:rPr>
              <w:t xml:space="preserve">3.紧急停车系统分布图及维护记录； </w:t>
            </w:r>
          </w:p>
          <w:p>
            <w:pPr>
              <w:spacing w:line="280" w:lineRule="exact"/>
              <w:rPr>
                <w:rFonts w:ascii="宋体" w:hAnsi="宋体" w:cs="宋体"/>
                <w:szCs w:val="21"/>
              </w:rPr>
            </w:pPr>
            <w:r>
              <w:rPr>
                <w:rFonts w:hint="eastAsia" w:ascii="宋体" w:hAnsi="宋体" w:cs="宋体"/>
                <w:szCs w:val="21"/>
              </w:rPr>
              <w:t>4.监控、报警系统、联锁系统维护、调试记录；</w:t>
            </w:r>
          </w:p>
          <w:p>
            <w:pPr>
              <w:spacing w:line="280" w:lineRule="exact"/>
              <w:rPr>
                <w:rFonts w:ascii="宋体" w:hAnsi="宋体" w:cs="宋体"/>
                <w:szCs w:val="21"/>
              </w:rPr>
            </w:pPr>
            <w:r>
              <w:rPr>
                <w:rFonts w:hint="eastAsia" w:ascii="宋体" w:hAnsi="宋体" w:cs="宋体"/>
                <w:szCs w:val="21"/>
              </w:rPr>
              <w:t>5.各类动设备，包括备用设备维护保养记录等；</w:t>
            </w:r>
          </w:p>
          <w:p>
            <w:pPr>
              <w:spacing w:line="280" w:lineRule="exact"/>
              <w:rPr>
                <w:rFonts w:ascii="宋体" w:hAnsi="宋体" w:cs="宋体"/>
                <w:szCs w:val="21"/>
              </w:rPr>
            </w:pPr>
            <w:r>
              <w:rPr>
                <w:rFonts w:hint="eastAsia" w:ascii="宋体" w:hAnsi="宋体" w:cs="宋体"/>
                <w:szCs w:val="21"/>
              </w:rPr>
              <w:t>6.工艺控制流程图及自动化控制资料。</w:t>
            </w:r>
          </w:p>
          <w:p>
            <w:pPr>
              <w:spacing w:line="280" w:lineRule="exact"/>
              <w:rPr>
                <w:rFonts w:ascii="宋体" w:hAnsi="宋体" w:cs="宋体"/>
                <w:szCs w:val="21"/>
              </w:rPr>
            </w:pPr>
            <w:r>
              <w:rPr>
                <w:rFonts w:hint="eastAsia" w:ascii="宋体" w:hAnsi="宋体" w:cs="宋体"/>
                <w:szCs w:val="21"/>
              </w:rPr>
              <w:t>现场检查：</w:t>
            </w:r>
          </w:p>
          <w:p>
            <w:pPr>
              <w:spacing w:line="280" w:lineRule="exact"/>
              <w:rPr>
                <w:rFonts w:ascii="宋体" w:hAnsi="宋体" w:cs="宋体"/>
                <w:szCs w:val="21"/>
              </w:rPr>
            </w:pPr>
            <w:r>
              <w:rPr>
                <w:rFonts w:hint="eastAsia" w:ascii="宋体" w:hAnsi="宋体" w:cs="宋体"/>
                <w:szCs w:val="21"/>
              </w:rPr>
              <w:t>标准规定的各类设备设施的完整性。</w:t>
            </w:r>
          </w:p>
        </w:tc>
        <w:tc>
          <w:tcPr>
            <w:tcW w:w="1701" w:type="dxa"/>
          </w:tcPr>
          <w:p>
            <w:pPr>
              <w:spacing w:line="280" w:lineRule="exact"/>
              <w:rPr>
                <w:rFonts w:ascii="宋体" w:hAnsi="宋体" w:cs="宋体"/>
                <w:szCs w:val="21"/>
              </w:rPr>
            </w:pPr>
            <w:r>
              <w:rPr>
                <w:rFonts w:hint="eastAsia" w:ascii="宋体" w:hAnsi="宋体" w:cs="宋体"/>
                <w:szCs w:val="21"/>
              </w:rPr>
              <w:t>1.压力容器及附件未检验或检验不合格，一项扣25分（B级要素否决项）；</w:t>
            </w:r>
          </w:p>
          <w:p>
            <w:pPr>
              <w:spacing w:line="280" w:lineRule="exact"/>
              <w:rPr>
                <w:rFonts w:ascii="宋体" w:hAnsi="宋体" w:cs="宋体"/>
                <w:szCs w:val="21"/>
              </w:rPr>
            </w:pPr>
            <w:r>
              <w:rPr>
                <w:rFonts w:hint="eastAsia" w:ascii="宋体" w:hAnsi="宋体" w:cs="宋体"/>
                <w:szCs w:val="21"/>
              </w:rPr>
              <w:t>2.危险工艺未按规定实现自动化控制的，扣100分（A级要素否决项）。</w:t>
            </w:r>
          </w:p>
        </w:tc>
        <w:tc>
          <w:tcPr>
            <w:tcW w:w="2268" w:type="dxa"/>
          </w:tcPr>
          <w:p>
            <w:pPr>
              <w:spacing w:line="280" w:lineRule="exact"/>
              <w:rPr>
                <w:rFonts w:ascii="宋体" w:hAnsi="宋体" w:cs="宋体"/>
                <w:szCs w:val="21"/>
                <w:lang w:val="zh-CN"/>
              </w:rPr>
            </w:pPr>
            <w:r>
              <w:rPr>
                <w:rFonts w:hint="eastAsia" w:ascii="宋体" w:hAnsi="宋体" w:cs="宋体"/>
                <w:szCs w:val="21"/>
              </w:rPr>
              <w:t>1.压力管道未检验或检验不合格，一项扣1分；</w:t>
            </w:r>
          </w:p>
          <w:p>
            <w:pPr>
              <w:spacing w:line="280" w:lineRule="exact"/>
              <w:rPr>
                <w:rFonts w:ascii="宋体" w:hAnsi="宋体" w:cs="宋体"/>
                <w:szCs w:val="21"/>
              </w:rPr>
            </w:pPr>
            <w:r>
              <w:rPr>
                <w:rFonts w:hint="eastAsia" w:ascii="宋体" w:hAnsi="宋体" w:cs="宋体"/>
                <w:szCs w:val="21"/>
              </w:rPr>
              <w:t>2.安全阀未检验或检验不合格；爆破片、防爆膜不合格或未定期更换，或未做更换记录，一项扣2分；</w:t>
            </w:r>
          </w:p>
          <w:p>
            <w:pPr>
              <w:spacing w:line="280" w:lineRule="exact"/>
              <w:rPr>
                <w:rFonts w:ascii="宋体" w:hAnsi="宋体" w:cs="宋体"/>
                <w:szCs w:val="21"/>
              </w:rPr>
            </w:pPr>
            <w:r>
              <w:rPr>
                <w:rFonts w:hint="eastAsia" w:ascii="宋体" w:hAnsi="宋体" w:cs="宋体"/>
                <w:szCs w:val="21"/>
              </w:rPr>
              <w:t>3.紧急停车系统失效或未进行日常维护，一项扣2分；</w:t>
            </w:r>
          </w:p>
          <w:p>
            <w:pPr>
              <w:spacing w:line="280" w:lineRule="exact"/>
              <w:rPr>
                <w:rFonts w:ascii="宋体" w:hAnsi="宋体" w:cs="宋体"/>
                <w:szCs w:val="21"/>
              </w:rPr>
            </w:pPr>
            <w:r>
              <w:rPr>
                <w:rFonts w:hint="eastAsia" w:ascii="宋体" w:hAnsi="宋体" w:cs="宋体"/>
                <w:szCs w:val="21"/>
              </w:rPr>
              <w:t>4.监控、报警系统、联锁系统未经调试或失效，一项扣2分；</w:t>
            </w:r>
          </w:p>
          <w:p>
            <w:pPr>
              <w:spacing w:line="280" w:lineRule="exact"/>
              <w:rPr>
                <w:rFonts w:ascii="宋体" w:hAnsi="宋体" w:cs="宋体"/>
                <w:szCs w:val="21"/>
                <w:lang w:val="zh-CN"/>
              </w:rPr>
            </w:pPr>
            <w:r>
              <w:rPr>
                <w:rFonts w:hint="eastAsia" w:ascii="宋体" w:hAnsi="宋体" w:cs="宋体"/>
                <w:szCs w:val="21"/>
              </w:rPr>
              <w:t>5.安全阀、排空系统、火炬设置不符合要求，一处扣2分；</w:t>
            </w:r>
          </w:p>
          <w:p>
            <w:pPr>
              <w:spacing w:line="280" w:lineRule="exact"/>
              <w:rPr>
                <w:rFonts w:ascii="宋体" w:hAnsi="宋体" w:cs="宋体"/>
                <w:szCs w:val="21"/>
              </w:rPr>
            </w:pPr>
            <w:r>
              <w:rPr>
                <w:rFonts w:hint="eastAsia" w:ascii="宋体" w:hAnsi="宋体" w:cs="宋体"/>
                <w:szCs w:val="21"/>
              </w:rPr>
              <w:t>6.机泵等动设备运行不正常，振动超标、有泄漏；备用设备未进行定期盘车或无记录，一项扣2分。</w:t>
            </w:r>
          </w:p>
        </w:tc>
        <w:tc>
          <w:tcPr>
            <w:tcW w:w="1165" w:type="dxa"/>
            <w:vAlign w:val="center"/>
          </w:tcPr>
          <w:p>
            <w:pPr>
              <w:spacing w:line="280" w:lineRule="exact"/>
              <w:jc w:val="center"/>
              <w:rPr>
                <w:rFonts w:ascii="宋体" w:hAnsi="宋体" w:cs="宋体"/>
                <w:szCs w:val="21"/>
              </w:rPr>
            </w:pPr>
            <w:r>
              <w:rPr>
                <w:rFonts w:hint="eastAsia" w:ascii="宋体" w:hAnsi="宋体" w:cs="宋体"/>
                <w:bCs/>
                <w:szCs w:val="21"/>
              </w:rPr>
              <w:t>部分氯化</w:t>
            </w:r>
            <w:r>
              <w:rPr>
                <w:rFonts w:hint="eastAsia" w:ascii="宋体" w:hAnsi="宋体" w:cs="宋体"/>
                <w:bCs/>
                <w:szCs w:val="21"/>
                <w:lang w:eastAsia="zh-CN"/>
              </w:rPr>
              <w:t>管道</w:t>
            </w:r>
            <w:r>
              <w:rPr>
                <w:rFonts w:hint="eastAsia" w:ascii="宋体" w:hAnsi="宋体" w:cs="宋体"/>
                <w:bCs/>
                <w:szCs w:val="21"/>
              </w:rPr>
              <w:t>法兰连接螺栓不全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0" w:hRule="atLeast"/>
          <w:jc w:val="center"/>
        </w:trPr>
        <w:tc>
          <w:tcPr>
            <w:tcW w:w="771" w:type="dxa"/>
            <w:vMerge w:val="continue"/>
          </w:tcPr>
          <w:p>
            <w:pPr>
              <w:spacing w:line="280" w:lineRule="exact"/>
              <w:rPr>
                <w:rFonts w:ascii="宋体" w:hAnsi="宋体" w:cs="宋体"/>
                <w:b/>
                <w:bCs/>
                <w:szCs w:val="21"/>
              </w:rPr>
            </w:pPr>
          </w:p>
        </w:tc>
        <w:tc>
          <w:tcPr>
            <w:tcW w:w="709" w:type="dxa"/>
            <w:vMerge w:val="continue"/>
          </w:tcPr>
          <w:p>
            <w:pPr>
              <w:spacing w:line="280" w:lineRule="exact"/>
              <w:rPr>
                <w:rFonts w:ascii="宋体" w:hAnsi="宋体" w:cs="宋体"/>
                <w:b/>
                <w:bCs/>
                <w:szCs w:val="21"/>
              </w:rPr>
            </w:pPr>
          </w:p>
        </w:tc>
        <w:tc>
          <w:tcPr>
            <w:tcW w:w="2409" w:type="dxa"/>
            <w:vMerge w:val="restart"/>
          </w:tcPr>
          <w:p>
            <w:pPr>
              <w:spacing w:line="280" w:lineRule="exact"/>
              <w:rPr>
                <w:rFonts w:ascii="宋体" w:hAnsi="宋体" w:cs="宋体"/>
                <w:szCs w:val="21"/>
              </w:rPr>
            </w:pPr>
            <w:r>
              <w:rPr>
                <w:rFonts w:hint="eastAsia" w:ascii="宋体" w:hAnsi="宋体" w:cs="宋体"/>
                <w:szCs w:val="21"/>
              </w:rPr>
              <w:t>3.企业应对工艺过程进行风险分析：</w:t>
            </w:r>
          </w:p>
          <w:p>
            <w:pPr>
              <w:spacing w:line="280" w:lineRule="exact"/>
              <w:rPr>
                <w:rFonts w:ascii="宋体" w:hAnsi="宋体" w:cs="宋体"/>
                <w:szCs w:val="21"/>
              </w:rPr>
            </w:pPr>
            <w:r>
              <w:rPr>
                <w:rFonts w:hint="eastAsia" w:ascii="宋体" w:hAnsi="宋体" w:cs="宋体"/>
                <w:szCs w:val="21"/>
              </w:rPr>
              <w:t>（1）工艺过程中的危险性；</w:t>
            </w:r>
          </w:p>
          <w:p>
            <w:pPr>
              <w:spacing w:line="280" w:lineRule="exact"/>
              <w:rPr>
                <w:rFonts w:ascii="宋体" w:hAnsi="宋体" w:cs="宋体"/>
                <w:szCs w:val="21"/>
              </w:rPr>
            </w:pPr>
            <w:r>
              <w:rPr>
                <w:rFonts w:hint="eastAsia" w:ascii="宋体" w:hAnsi="宋体" w:cs="宋体"/>
                <w:szCs w:val="21"/>
              </w:rPr>
              <w:t>（2）工作场所潜在事故发生因素；</w:t>
            </w:r>
          </w:p>
          <w:p>
            <w:pPr>
              <w:spacing w:line="280" w:lineRule="exact"/>
              <w:rPr>
                <w:rFonts w:ascii="宋体" w:hAnsi="宋体" w:cs="宋体"/>
                <w:szCs w:val="21"/>
              </w:rPr>
            </w:pPr>
            <w:r>
              <w:rPr>
                <w:rFonts w:hint="eastAsia" w:ascii="宋体" w:hAnsi="宋体" w:cs="宋体"/>
                <w:szCs w:val="21"/>
              </w:rPr>
              <w:t>（3）控制失效的影响；</w:t>
            </w:r>
          </w:p>
          <w:p>
            <w:pPr>
              <w:spacing w:line="280" w:lineRule="exact"/>
              <w:rPr>
                <w:rFonts w:ascii="宋体" w:hAnsi="宋体" w:cs="宋体"/>
                <w:szCs w:val="21"/>
              </w:rPr>
            </w:pPr>
            <w:r>
              <w:rPr>
                <w:rFonts w:hint="eastAsia" w:ascii="宋体" w:hAnsi="宋体" w:cs="宋体"/>
                <w:szCs w:val="21"/>
              </w:rPr>
              <w:t>（4）人为因素等。</w:t>
            </w:r>
          </w:p>
        </w:tc>
        <w:tc>
          <w:tcPr>
            <w:tcW w:w="2268" w:type="dxa"/>
          </w:tcPr>
          <w:p>
            <w:pPr>
              <w:spacing w:line="280" w:lineRule="exact"/>
              <w:rPr>
                <w:rFonts w:ascii="宋体" w:hAnsi="宋体" w:cs="宋体"/>
                <w:szCs w:val="21"/>
              </w:rPr>
            </w:pPr>
            <w:r>
              <w:rPr>
                <w:rFonts w:hint="eastAsia" w:ascii="宋体" w:hAnsi="宋体" w:cs="宋体"/>
                <w:szCs w:val="21"/>
              </w:rPr>
              <w:t>1.要从工艺、设备、仪表、控制、应急响应等方面开展系统的工艺过程风险分析；</w:t>
            </w:r>
          </w:p>
          <w:p>
            <w:pPr>
              <w:spacing w:line="280" w:lineRule="exact"/>
              <w:rPr>
                <w:rFonts w:ascii="宋体" w:hAnsi="宋体" w:cs="宋体"/>
                <w:szCs w:val="21"/>
              </w:rPr>
            </w:pPr>
            <w:r>
              <w:rPr>
                <w:rFonts w:hint="eastAsia" w:ascii="宋体" w:hAnsi="宋体" w:cs="宋体"/>
                <w:szCs w:val="21"/>
              </w:rPr>
              <w:t>2.对工艺过程进行风险分析，包括：</w:t>
            </w:r>
          </w:p>
          <w:p>
            <w:pPr>
              <w:spacing w:line="280" w:lineRule="exact"/>
              <w:rPr>
                <w:rFonts w:ascii="宋体" w:hAnsi="宋体" w:cs="宋体"/>
                <w:szCs w:val="21"/>
              </w:rPr>
            </w:pPr>
            <w:r>
              <w:rPr>
                <w:rFonts w:hint="eastAsia" w:ascii="宋体" w:hAnsi="宋体" w:cs="宋体"/>
                <w:szCs w:val="21"/>
              </w:rPr>
              <w:t>（1）工艺过程中的危险性；</w:t>
            </w:r>
          </w:p>
          <w:p>
            <w:pPr>
              <w:spacing w:line="280" w:lineRule="exact"/>
              <w:rPr>
                <w:rFonts w:ascii="宋体" w:hAnsi="宋体" w:cs="宋体"/>
                <w:szCs w:val="21"/>
              </w:rPr>
            </w:pPr>
            <w:r>
              <w:rPr>
                <w:rFonts w:hint="eastAsia" w:ascii="宋体" w:hAnsi="宋体" w:cs="宋体"/>
                <w:szCs w:val="21"/>
              </w:rPr>
              <w:t>（2）工作场所潜在事故发生因素；</w:t>
            </w:r>
          </w:p>
          <w:p>
            <w:pPr>
              <w:spacing w:line="280" w:lineRule="exact"/>
              <w:rPr>
                <w:rFonts w:ascii="宋体" w:hAnsi="宋体" w:cs="宋体"/>
                <w:szCs w:val="21"/>
              </w:rPr>
            </w:pPr>
            <w:r>
              <w:rPr>
                <w:rFonts w:hint="eastAsia" w:ascii="宋体" w:hAnsi="宋体" w:cs="宋体"/>
                <w:szCs w:val="21"/>
              </w:rPr>
              <w:t>（3）控制失效的影响；</w:t>
            </w:r>
          </w:p>
          <w:p>
            <w:pPr>
              <w:spacing w:line="280" w:lineRule="exact"/>
              <w:rPr>
                <w:rFonts w:ascii="宋体" w:hAnsi="宋体" w:cs="宋体"/>
                <w:szCs w:val="21"/>
              </w:rPr>
            </w:pPr>
            <w:r>
              <w:rPr>
                <w:rFonts w:hint="eastAsia" w:ascii="宋体" w:hAnsi="宋体" w:cs="宋体"/>
                <w:szCs w:val="21"/>
              </w:rPr>
              <w:t>（4）人为因素等。</w:t>
            </w:r>
          </w:p>
        </w:tc>
        <w:tc>
          <w:tcPr>
            <w:tcW w:w="2268" w:type="dxa"/>
          </w:tcPr>
          <w:p>
            <w:pPr>
              <w:spacing w:line="280" w:lineRule="exact"/>
              <w:rPr>
                <w:rFonts w:ascii="宋体" w:hAnsi="宋体" w:cs="宋体"/>
                <w:szCs w:val="21"/>
              </w:rPr>
            </w:pPr>
            <w:r>
              <w:rPr>
                <w:rFonts w:hint="eastAsia" w:ascii="宋体" w:hAnsi="宋体" w:cs="宋体"/>
                <w:szCs w:val="21"/>
              </w:rPr>
              <w:t>查文件：</w:t>
            </w:r>
          </w:p>
          <w:p>
            <w:pPr>
              <w:spacing w:line="280" w:lineRule="exact"/>
              <w:rPr>
                <w:rFonts w:ascii="宋体" w:hAnsi="宋体" w:cs="宋体"/>
                <w:szCs w:val="21"/>
              </w:rPr>
            </w:pPr>
            <w:r>
              <w:rPr>
                <w:rFonts w:hint="eastAsia" w:ascii="宋体" w:hAnsi="宋体" w:cs="宋体"/>
                <w:szCs w:val="21"/>
              </w:rPr>
              <w:t>1.风险评价记录；</w:t>
            </w:r>
          </w:p>
          <w:p>
            <w:pPr>
              <w:spacing w:line="280" w:lineRule="exact"/>
              <w:rPr>
                <w:rFonts w:ascii="宋体" w:hAnsi="宋体" w:cs="宋体"/>
                <w:szCs w:val="21"/>
              </w:rPr>
            </w:pPr>
            <w:r>
              <w:rPr>
                <w:rFonts w:hint="eastAsia" w:ascii="宋体" w:hAnsi="宋体" w:cs="宋体"/>
                <w:szCs w:val="21"/>
              </w:rPr>
              <w:t>2.岗位操作规程。</w:t>
            </w:r>
          </w:p>
          <w:p>
            <w:pPr>
              <w:spacing w:line="280" w:lineRule="exact"/>
              <w:rPr>
                <w:rFonts w:ascii="宋体" w:hAnsi="宋体" w:cs="宋体"/>
                <w:szCs w:val="21"/>
              </w:rPr>
            </w:pPr>
            <w:r>
              <w:rPr>
                <w:rFonts w:hint="eastAsia" w:ascii="宋体" w:hAnsi="宋体" w:cs="宋体"/>
                <w:szCs w:val="21"/>
              </w:rPr>
              <w:t>询问：</w:t>
            </w:r>
          </w:p>
          <w:p>
            <w:pPr>
              <w:spacing w:line="280" w:lineRule="exact"/>
              <w:rPr>
                <w:rFonts w:ascii="宋体" w:hAnsi="宋体" w:cs="宋体"/>
                <w:szCs w:val="21"/>
              </w:rPr>
            </w:pPr>
            <w:r>
              <w:rPr>
                <w:rFonts w:hint="eastAsia" w:ascii="宋体" w:hAnsi="宋体" w:cs="宋体"/>
                <w:szCs w:val="21"/>
              </w:rPr>
              <w:t>操作人员对工艺过程中的风险的认知程度。</w:t>
            </w:r>
          </w:p>
        </w:tc>
        <w:tc>
          <w:tcPr>
            <w:tcW w:w="1701" w:type="dxa"/>
          </w:tcPr>
          <w:p>
            <w:pPr>
              <w:spacing w:line="280" w:lineRule="exact"/>
              <w:rPr>
                <w:rFonts w:ascii="宋体" w:hAnsi="宋体" w:cs="宋体"/>
                <w:szCs w:val="21"/>
              </w:rPr>
            </w:pPr>
          </w:p>
        </w:tc>
        <w:tc>
          <w:tcPr>
            <w:tcW w:w="2268" w:type="dxa"/>
          </w:tcPr>
          <w:p>
            <w:pPr>
              <w:spacing w:line="280" w:lineRule="exact"/>
              <w:rPr>
                <w:rFonts w:ascii="宋体" w:hAnsi="宋体" w:cs="宋体"/>
                <w:szCs w:val="21"/>
              </w:rPr>
            </w:pPr>
            <w:r>
              <w:rPr>
                <w:rFonts w:hint="eastAsia" w:ascii="宋体" w:hAnsi="宋体" w:cs="宋体"/>
                <w:szCs w:val="21"/>
              </w:rPr>
              <w:t>1.未对工艺过程进行风险分析，一个单元扣3分；</w:t>
            </w:r>
          </w:p>
          <w:p>
            <w:pPr>
              <w:spacing w:line="280" w:lineRule="exact"/>
              <w:rPr>
                <w:rFonts w:ascii="宋体" w:hAnsi="宋体" w:cs="宋体"/>
                <w:szCs w:val="21"/>
              </w:rPr>
            </w:pPr>
            <w:r>
              <w:rPr>
                <w:rFonts w:hint="eastAsia" w:ascii="宋体" w:hAnsi="宋体" w:cs="宋体"/>
                <w:szCs w:val="21"/>
              </w:rPr>
              <w:t>2.岗位操作规程内容中未针对工艺操作中的风险制定安全措施及应急处置措施，一项扣1分；</w:t>
            </w:r>
          </w:p>
          <w:p>
            <w:pPr>
              <w:spacing w:line="280" w:lineRule="exact"/>
              <w:rPr>
                <w:rFonts w:ascii="宋体" w:hAnsi="宋体" w:cs="宋体"/>
                <w:szCs w:val="21"/>
              </w:rPr>
            </w:pPr>
            <w:r>
              <w:rPr>
                <w:rFonts w:hint="eastAsia" w:ascii="宋体" w:hAnsi="宋体" w:cs="宋体"/>
                <w:szCs w:val="21"/>
              </w:rPr>
              <w:t>3.操作人员不清楚岗位风险及控制措施，1人次扣1分。</w:t>
            </w:r>
          </w:p>
        </w:tc>
        <w:tc>
          <w:tcPr>
            <w:tcW w:w="1165" w:type="dxa"/>
            <w:vAlign w:val="center"/>
          </w:tcPr>
          <w:p>
            <w:pPr>
              <w:spacing w:line="280" w:lineRule="exact"/>
              <w:jc w:val="center"/>
              <w:rPr>
                <w:rFonts w:ascii="宋体" w:hAnsi="宋体" w:cs="宋体"/>
                <w:szCs w:val="21"/>
              </w:rPr>
            </w:pPr>
            <w:r>
              <w:rPr>
                <w:rFonts w:hint="eastAsia" w:ascii="宋体" w:hAnsi="宋体" w:cs="宋体"/>
                <w:szCs w:val="21"/>
              </w:rPr>
              <w:t>符合要求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2" w:hRule="atLeast"/>
          <w:jc w:val="center"/>
        </w:trPr>
        <w:tc>
          <w:tcPr>
            <w:tcW w:w="771" w:type="dxa"/>
            <w:vMerge w:val="continue"/>
          </w:tcPr>
          <w:p>
            <w:pPr>
              <w:spacing w:line="280" w:lineRule="exact"/>
              <w:rPr>
                <w:rFonts w:ascii="宋体" w:hAnsi="宋体" w:cs="宋体"/>
                <w:b/>
                <w:bCs/>
                <w:szCs w:val="21"/>
              </w:rPr>
            </w:pPr>
          </w:p>
        </w:tc>
        <w:tc>
          <w:tcPr>
            <w:tcW w:w="709" w:type="dxa"/>
            <w:vMerge w:val="continue"/>
          </w:tcPr>
          <w:p>
            <w:pPr>
              <w:spacing w:line="280" w:lineRule="exact"/>
              <w:rPr>
                <w:rFonts w:ascii="宋体" w:hAnsi="宋体" w:cs="宋体"/>
                <w:b/>
                <w:bCs/>
                <w:szCs w:val="21"/>
              </w:rPr>
            </w:pPr>
          </w:p>
        </w:tc>
        <w:tc>
          <w:tcPr>
            <w:tcW w:w="2409" w:type="dxa"/>
            <w:vMerge w:val="continue"/>
          </w:tcPr>
          <w:p>
            <w:pPr>
              <w:spacing w:line="280" w:lineRule="exact"/>
              <w:rPr>
                <w:rFonts w:ascii="宋体" w:hAnsi="宋体" w:cs="宋体"/>
                <w:szCs w:val="21"/>
              </w:rPr>
            </w:pPr>
          </w:p>
        </w:tc>
        <w:tc>
          <w:tcPr>
            <w:tcW w:w="2268" w:type="dxa"/>
          </w:tcPr>
          <w:p>
            <w:pPr>
              <w:spacing w:line="280" w:lineRule="exact"/>
              <w:rPr>
                <w:rFonts w:ascii="宋体" w:hAnsi="宋体" w:cs="宋体"/>
                <w:szCs w:val="21"/>
              </w:rPr>
            </w:pPr>
            <w:r>
              <w:rPr>
                <w:rFonts w:hint="eastAsia" w:ascii="宋体" w:hAnsi="宋体" w:cs="宋体"/>
                <w:szCs w:val="21"/>
              </w:rPr>
              <w:t>一级企业涉及危险化工工艺和重点监管危险化学品的化工生产装置进行过危险与可操作性分析（HAZOP），并定期应用先进的工艺（过程）安全分析技术开展工艺（过程）安全分析。</w:t>
            </w:r>
          </w:p>
        </w:tc>
        <w:tc>
          <w:tcPr>
            <w:tcW w:w="2268" w:type="dxa"/>
          </w:tcPr>
          <w:p>
            <w:pPr>
              <w:spacing w:line="280" w:lineRule="exact"/>
              <w:rPr>
                <w:rFonts w:ascii="宋体" w:hAnsi="宋体" w:cs="宋体"/>
                <w:szCs w:val="21"/>
              </w:rPr>
            </w:pPr>
            <w:r>
              <w:rPr>
                <w:rFonts w:hint="eastAsia" w:ascii="宋体" w:hAnsi="宋体" w:cs="宋体"/>
                <w:szCs w:val="21"/>
              </w:rPr>
              <w:t>查文件：</w:t>
            </w:r>
          </w:p>
          <w:p>
            <w:pPr>
              <w:spacing w:line="280" w:lineRule="exact"/>
              <w:rPr>
                <w:rFonts w:ascii="宋体" w:hAnsi="宋体" w:cs="宋体"/>
                <w:szCs w:val="21"/>
              </w:rPr>
            </w:pPr>
            <w:r>
              <w:rPr>
                <w:rFonts w:hint="eastAsia" w:ascii="宋体" w:hAnsi="宋体" w:cs="宋体"/>
                <w:szCs w:val="21"/>
              </w:rPr>
              <w:t>1.涉及危险化工工艺和重点监管危险化学品的化工生产装置进行危险与可操作性分析（HAZOP）记录、报告；</w:t>
            </w:r>
          </w:p>
          <w:p>
            <w:pPr>
              <w:spacing w:line="280" w:lineRule="exact"/>
              <w:rPr>
                <w:rFonts w:ascii="宋体" w:hAnsi="宋体" w:cs="宋体"/>
                <w:szCs w:val="21"/>
              </w:rPr>
            </w:pPr>
            <w:r>
              <w:rPr>
                <w:rFonts w:hint="eastAsia" w:ascii="宋体" w:hAnsi="宋体" w:cs="宋体"/>
                <w:szCs w:val="21"/>
              </w:rPr>
              <w:t>2.定期应用先进的工艺（过程）安全分析技术开展工艺（过程）安全分析的记录、报告。</w:t>
            </w:r>
          </w:p>
        </w:tc>
        <w:tc>
          <w:tcPr>
            <w:tcW w:w="1701" w:type="dxa"/>
          </w:tcPr>
          <w:p>
            <w:pPr>
              <w:spacing w:line="280" w:lineRule="exact"/>
              <w:rPr>
                <w:rFonts w:ascii="宋体" w:hAnsi="宋体" w:cs="宋体"/>
                <w:szCs w:val="21"/>
              </w:rPr>
            </w:pPr>
            <w:r>
              <w:rPr>
                <w:rFonts w:hint="eastAsia" w:ascii="宋体" w:hAnsi="宋体" w:cs="宋体"/>
                <w:szCs w:val="21"/>
              </w:rPr>
              <w:t>一级企业涉及危险化工工艺和重点监管危险化学品的化工生产装置未进行过危险与可操作性分析（HAZOP），或未定期应用先进的工艺（过程）安全分析技术开展工艺（过程）安全分析，扣100分（A级要素否决项）。</w:t>
            </w:r>
          </w:p>
        </w:tc>
        <w:tc>
          <w:tcPr>
            <w:tcW w:w="2268" w:type="dxa"/>
          </w:tcPr>
          <w:p>
            <w:pPr>
              <w:spacing w:line="280" w:lineRule="exact"/>
              <w:rPr>
                <w:rFonts w:ascii="宋体" w:hAnsi="宋体" w:cs="宋体"/>
                <w:szCs w:val="21"/>
              </w:rPr>
            </w:pPr>
          </w:p>
        </w:tc>
        <w:tc>
          <w:tcPr>
            <w:tcW w:w="1165" w:type="dxa"/>
            <w:vAlign w:val="center"/>
          </w:tcPr>
          <w:p>
            <w:pPr>
              <w:spacing w:line="280" w:lineRule="exact"/>
              <w:jc w:val="center"/>
              <w:rPr>
                <w:rFonts w:ascii="宋体" w:hAnsi="宋体" w:cs="宋体"/>
                <w:szCs w:val="21"/>
              </w:rPr>
            </w:pPr>
            <w:r>
              <w:rPr>
                <w:rFonts w:hint="eastAsia" w:ascii="宋体" w:hAnsi="宋体" w:cs="宋体"/>
                <w:szCs w:val="21"/>
              </w:rPr>
              <w:t>不涉及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771" w:type="dxa"/>
            <w:vMerge w:val="continue"/>
          </w:tcPr>
          <w:p>
            <w:pPr>
              <w:spacing w:line="280" w:lineRule="exact"/>
              <w:rPr>
                <w:rFonts w:ascii="宋体" w:hAnsi="宋体" w:cs="宋体"/>
                <w:b/>
                <w:bCs/>
                <w:szCs w:val="21"/>
              </w:rPr>
            </w:pPr>
          </w:p>
        </w:tc>
        <w:tc>
          <w:tcPr>
            <w:tcW w:w="709" w:type="dxa"/>
            <w:vMerge w:val="continue"/>
          </w:tcPr>
          <w:p>
            <w:pPr>
              <w:spacing w:line="280" w:lineRule="exact"/>
              <w:rPr>
                <w:rFonts w:ascii="宋体" w:hAnsi="宋体" w:cs="宋体"/>
                <w:b/>
                <w:bCs/>
                <w:szCs w:val="21"/>
              </w:rPr>
            </w:pPr>
          </w:p>
        </w:tc>
        <w:tc>
          <w:tcPr>
            <w:tcW w:w="2409" w:type="dxa"/>
          </w:tcPr>
          <w:p>
            <w:pPr>
              <w:spacing w:line="280" w:lineRule="exact"/>
              <w:rPr>
                <w:rFonts w:ascii="宋体" w:hAnsi="宋体" w:cs="宋体"/>
                <w:szCs w:val="21"/>
              </w:rPr>
            </w:pPr>
            <w:r>
              <w:rPr>
                <w:rFonts w:hint="eastAsia" w:ascii="宋体" w:hAnsi="宋体" w:cs="宋体"/>
                <w:szCs w:val="21"/>
              </w:rPr>
              <w:t>4.企业生产装置开车前应组织检查,进行安全条件确认。安全条件应满足下列要求：</w:t>
            </w:r>
          </w:p>
          <w:p>
            <w:pPr>
              <w:spacing w:line="280" w:lineRule="exact"/>
              <w:rPr>
                <w:rFonts w:ascii="宋体" w:hAnsi="宋体" w:cs="宋体"/>
                <w:szCs w:val="21"/>
              </w:rPr>
            </w:pPr>
            <w:r>
              <w:rPr>
                <w:rFonts w:hint="eastAsia" w:ascii="宋体" w:hAnsi="宋体" w:cs="宋体"/>
                <w:szCs w:val="21"/>
              </w:rPr>
              <w:t>（1)现场工艺和设备符合设计规范；</w:t>
            </w:r>
          </w:p>
          <w:p>
            <w:pPr>
              <w:spacing w:line="280" w:lineRule="exact"/>
              <w:rPr>
                <w:rFonts w:ascii="宋体" w:hAnsi="宋体" w:cs="宋体"/>
                <w:szCs w:val="21"/>
              </w:rPr>
            </w:pPr>
            <w:r>
              <w:rPr>
                <w:rFonts w:hint="eastAsia" w:ascii="宋体" w:hAnsi="宋体" w:cs="宋体"/>
                <w:szCs w:val="21"/>
              </w:rPr>
              <w:t>（2）系统气密测试、设施空运转调试合格；</w:t>
            </w:r>
          </w:p>
          <w:p>
            <w:pPr>
              <w:spacing w:line="280" w:lineRule="exact"/>
              <w:rPr>
                <w:rFonts w:ascii="宋体" w:hAnsi="宋体" w:cs="宋体"/>
                <w:szCs w:val="21"/>
              </w:rPr>
            </w:pPr>
            <w:r>
              <w:rPr>
                <w:rFonts w:hint="eastAsia" w:ascii="宋体" w:hAnsi="宋体" w:cs="宋体"/>
                <w:szCs w:val="21"/>
              </w:rPr>
              <w:t>（3）操作规程和应急预案已制订；</w:t>
            </w:r>
          </w:p>
          <w:p>
            <w:pPr>
              <w:spacing w:line="280" w:lineRule="exact"/>
              <w:rPr>
                <w:rFonts w:ascii="宋体" w:hAnsi="宋体" w:cs="宋体"/>
                <w:szCs w:val="21"/>
              </w:rPr>
            </w:pPr>
            <w:r>
              <w:rPr>
                <w:rFonts w:hint="eastAsia" w:ascii="宋体" w:hAnsi="宋体" w:cs="宋体"/>
                <w:szCs w:val="21"/>
              </w:rPr>
              <w:t>（4）编制并落实了装置开车方案；</w:t>
            </w:r>
          </w:p>
          <w:p>
            <w:pPr>
              <w:spacing w:line="280" w:lineRule="exact"/>
              <w:rPr>
                <w:rFonts w:ascii="宋体" w:hAnsi="宋体" w:cs="宋体"/>
                <w:szCs w:val="21"/>
              </w:rPr>
            </w:pPr>
            <w:r>
              <w:rPr>
                <w:rFonts w:hint="eastAsia" w:ascii="宋体" w:hAnsi="宋体" w:cs="宋体"/>
                <w:szCs w:val="21"/>
              </w:rPr>
              <w:t>（5）操作人员培训合格；</w:t>
            </w:r>
          </w:p>
          <w:p>
            <w:pPr>
              <w:spacing w:line="280" w:lineRule="exact"/>
              <w:rPr>
                <w:rFonts w:ascii="宋体" w:hAnsi="宋体" w:cs="宋体"/>
                <w:szCs w:val="21"/>
              </w:rPr>
            </w:pPr>
            <w:r>
              <w:rPr>
                <w:rFonts w:hint="eastAsia" w:ascii="宋体" w:hAnsi="宋体" w:cs="宋体"/>
                <w:szCs w:val="21"/>
              </w:rPr>
              <w:t>（6）各种危险已消除或控制。</w:t>
            </w:r>
          </w:p>
        </w:tc>
        <w:tc>
          <w:tcPr>
            <w:tcW w:w="2268" w:type="dxa"/>
          </w:tcPr>
          <w:p>
            <w:pPr>
              <w:spacing w:line="280" w:lineRule="exact"/>
              <w:rPr>
                <w:rFonts w:ascii="宋体" w:hAnsi="宋体" w:cs="宋体"/>
                <w:szCs w:val="21"/>
              </w:rPr>
            </w:pPr>
            <w:r>
              <w:rPr>
                <w:rFonts w:hint="eastAsia" w:ascii="宋体" w:hAnsi="宋体" w:cs="宋体"/>
                <w:szCs w:val="21"/>
              </w:rPr>
              <w:t>生产装置开车前应组织检查,进行安全条件确认。安全条件应满足下列要求：</w:t>
            </w:r>
          </w:p>
          <w:p>
            <w:pPr>
              <w:spacing w:line="280" w:lineRule="exact"/>
              <w:rPr>
                <w:rFonts w:ascii="宋体" w:hAnsi="宋体" w:cs="宋体"/>
                <w:szCs w:val="21"/>
              </w:rPr>
            </w:pPr>
            <w:r>
              <w:rPr>
                <w:rFonts w:hint="eastAsia" w:ascii="宋体" w:hAnsi="宋体" w:cs="宋体"/>
                <w:szCs w:val="21"/>
              </w:rPr>
              <w:t>（1）现场工艺和设备符合设计规范；</w:t>
            </w:r>
          </w:p>
          <w:p>
            <w:pPr>
              <w:spacing w:line="280" w:lineRule="exact"/>
              <w:rPr>
                <w:rFonts w:ascii="宋体" w:hAnsi="宋体" w:cs="宋体"/>
                <w:szCs w:val="21"/>
              </w:rPr>
            </w:pPr>
            <w:r>
              <w:rPr>
                <w:rFonts w:hint="eastAsia" w:ascii="宋体" w:hAnsi="宋体" w:cs="宋体"/>
                <w:szCs w:val="21"/>
              </w:rPr>
              <w:t>（2）系统气密测试、设施空运转调试合格；</w:t>
            </w:r>
          </w:p>
          <w:p>
            <w:pPr>
              <w:spacing w:line="280" w:lineRule="exact"/>
              <w:rPr>
                <w:rFonts w:ascii="宋体" w:hAnsi="宋体" w:cs="宋体"/>
                <w:szCs w:val="21"/>
              </w:rPr>
            </w:pPr>
            <w:r>
              <w:rPr>
                <w:rFonts w:hint="eastAsia" w:ascii="宋体" w:hAnsi="宋体" w:cs="宋体"/>
                <w:szCs w:val="21"/>
              </w:rPr>
              <w:t>（3）操作规程和应急预案已制订；</w:t>
            </w:r>
          </w:p>
          <w:p>
            <w:pPr>
              <w:spacing w:line="280" w:lineRule="exact"/>
              <w:rPr>
                <w:rFonts w:ascii="宋体" w:hAnsi="宋体" w:cs="宋体"/>
                <w:szCs w:val="21"/>
              </w:rPr>
            </w:pPr>
            <w:r>
              <w:rPr>
                <w:rFonts w:hint="eastAsia" w:ascii="宋体" w:hAnsi="宋体" w:cs="宋体"/>
                <w:szCs w:val="21"/>
              </w:rPr>
              <w:t>（4）编制并落实了装置开车方案；</w:t>
            </w:r>
          </w:p>
          <w:p>
            <w:pPr>
              <w:spacing w:line="280" w:lineRule="exact"/>
              <w:rPr>
                <w:rFonts w:ascii="宋体" w:hAnsi="宋体" w:cs="宋体"/>
                <w:szCs w:val="21"/>
              </w:rPr>
            </w:pPr>
            <w:r>
              <w:rPr>
                <w:rFonts w:hint="eastAsia" w:ascii="宋体" w:hAnsi="宋体" w:cs="宋体"/>
                <w:szCs w:val="21"/>
              </w:rPr>
              <w:t>（5）操作人员培训合格；</w:t>
            </w:r>
          </w:p>
          <w:p>
            <w:pPr>
              <w:spacing w:line="280" w:lineRule="exact"/>
              <w:rPr>
                <w:rFonts w:ascii="宋体" w:hAnsi="宋体" w:cs="宋体"/>
                <w:szCs w:val="21"/>
              </w:rPr>
            </w:pPr>
            <w:r>
              <w:rPr>
                <w:rFonts w:hint="eastAsia" w:ascii="宋体" w:hAnsi="宋体" w:cs="宋体"/>
                <w:szCs w:val="21"/>
              </w:rPr>
              <w:t>（6）各种危险已消除或控制。</w:t>
            </w:r>
          </w:p>
        </w:tc>
        <w:tc>
          <w:tcPr>
            <w:tcW w:w="2268" w:type="dxa"/>
          </w:tcPr>
          <w:p>
            <w:pPr>
              <w:spacing w:line="280" w:lineRule="exact"/>
              <w:rPr>
                <w:rFonts w:ascii="宋体" w:hAnsi="宋体" w:cs="宋体"/>
                <w:szCs w:val="21"/>
              </w:rPr>
            </w:pPr>
            <w:r>
              <w:rPr>
                <w:rFonts w:hint="eastAsia" w:ascii="宋体" w:hAnsi="宋体" w:cs="宋体"/>
                <w:szCs w:val="21"/>
              </w:rPr>
              <w:t>查文件：</w:t>
            </w:r>
          </w:p>
          <w:p>
            <w:pPr>
              <w:spacing w:line="280" w:lineRule="exact"/>
              <w:rPr>
                <w:rFonts w:ascii="宋体" w:hAnsi="宋体" w:cs="宋体"/>
                <w:szCs w:val="21"/>
              </w:rPr>
            </w:pPr>
            <w:r>
              <w:rPr>
                <w:rFonts w:hint="eastAsia" w:ascii="宋体" w:hAnsi="宋体" w:cs="宋体"/>
                <w:szCs w:val="21"/>
              </w:rPr>
              <w:t>1.生产装置开车前安全条件确认检查表；</w:t>
            </w:r>
          </w:p>
          <w:p>
            <w:pPr>
              <w:spacing w:line="280" w:lineRule="exact"/>
              <w:rPr>
                <w:rFonts w:ascii="宋体" w:hAnsi="宋体" w:cs="宋体"/>
                <w:szCs w:val="21"/>
              </w:rPr>
            </w:pPr>
            <w:r>
              <w:rPr>
                <w:rFonts w:hint="eastAsia" w:ascii="宋体" w:hAnsi="宋体" w:cs="宋体"/>
                <w:szCs w:val="21"/>
              </w:rPr>
              <w:t>2.系统气密、置换及动设备空试记录；</w:t>
            </w:r>
          </w:p>
          <w:p>
            <w:pPr>
              <w:spacing w:line="280" w:lineRule="exact"/>
              <w:rPr>
                <w:rFonts w:ascii="宋体" w:hAnsi="宋体" w:cs="宋体"/>
                <w:szCs w:val="21"/>
              </w:rPr>
            </w:pPr>
            <w:r>
              <w:rPr>
                <w:rFonts w:hint="eastAsia" w:ascii="宋体" w:hAnsi="宋体" w:cs="宋体"/>
                <w:szCs w:val="21"/>
              </w:rPr>
              <w:t>3.装置开车方案；</w:t>
            </w:r>
          </w:p>
          <w:p>
            <w:pPr>
              <w:spacing w:line="280" w:lineRule="exact"/>
              <w:rPr>
                <w:rFonts w:ascii="宋体" w:hAnsi="宋体" w:cs="宋体"/>
                <w:szCs w:val="21"/>
              </w:rPr>
            </w:pPr>
            <w:r>
              <w:rPr>
                <w:rFonts w:hint="eastAsia" w:ascii="宋体" w:hAnsi="宋体" w:cs="宋体"/>
                <w:szCs w:val="21"/>
              </w:rPr>
              <w:t>4.操作规程和应急预案；</w:t>
            </w:r>
          </w:p>
          <w:p>
            <w:pPr>
              <w:spacing w:line="280" w:lineRule="exact"/>
              <w:rPr>
                <w:rFonts w:ascii="宋体" w:hAnsi="宋体" w:cs="宋体"/>
                <w:szCs w:val="21"/>
              </w:rPr>
            </w:pPr>
            <w:r>
              <w:rPr>
                <w:rFonts w:hint="eastAsia" w:ascii="宋体" w:hAnsi="宋体" w:cs="宋体"/>
                <w:szCs w:val="21"/>
              </w:rPr>
              <w:t>5.操作人员培训记录；</w:t>
            </w:r>
          </w:p>
          <w:p>
            <w:pPr>
              <w:spacing w:line="280" w:lineRule="exact"/>
              <w:rPr>
                <w:rFonts w:ascii="宋体" w:hAnsi="宋体" w:cs="宋体"/>
                <w:szCs w:val="21"/>
              </w:rPr>
            </w:pPr>
            <w:r>
              <w:rPr>
                <w:rFonts w:hint="eastAsia" w:ascii="宋体" w:hAnsi="宋体" w:cs="宋体"/>
                <w:szCs w:val="21"/>
              </w:rPr>
              <w:t>6.开车前隐患排查与整改记录。</w:t>
            </w:r>
          </w:p>
        </w:tc>
        <w:tc>
          <w:tcPr>
            <w:tcW w:w="1701" w:type="dxa"/>
          </w:tcPr>
          <w:p>
            <w:pPr>
              <w:spacing w:line="280" w:lineRule="exact"/>
              <w:rPr>
                <w:rFonts w:ascii="宋体" w:hAnsi="宋体" w:cs="宋体"/>
                <w:szCs w:val="21"/>
              </w:rPr>
            </w:pPr>
          </w:p>
        </w:tc>
        <w:tc>
          <w:tcPr>
            <w:tcW w:w="2268" w:type="dxa"/>
          </w:tcPr>
          <w:p>
            <w:pPr>
              <w:spacing w:line="280" w:lineRule="exact"/>
              <w:rPr>
                <w:rFonts w:ascii="宋体" w:hAnsi="宋体" w:cs="宋体"/>
                <w:szCs w:val="21"/>
              </w:rPr>
            </w:pPr>
            <w:r>
              <w:rPr>
                <w:rFonts w:hint="eastAsia" w:ascii="宋体" w:hAnsi="宋体" w:cs="宋体"/>
                <w:szCs w:val="21"/>
              </w:rPr>
              <w:t>1.未制定安全条件确认表，或内容不符合要求，一项扣1分；</w:t>
            </w:r>
          </w:p>
          <w:p>
            <w:pPr>
              <w:spacing w:line="280" w:lineRule="exact"/>
              <w:rPr>
                <w:rFonts w:ascii="宋体" w:hAnsi="宋体" w:cs="宋体"/>
                <w:szCs w:val="21"/>
              </w:rPr>
            </w:pPr>
            <w:r>
              <w:rPr>
                <w:rFonts w:hint="eastAsia" w:ascii="宋体" w:hAnsi="宋体" w:cs="宋体"/>
                <w:szCs w:val="21"/>
              </w:rPr>
              <w:t>2.未进行系统气密测试、置换及动设备空试或无记录，一项扣3分；</w:t>
            </w:r>
          </w:p>
          <w:p>
            <w:pPr>
              <w:spacing w:line="280" w:lineRule="exact"/>
              <w:rPr>
                <w:rFonts w:ascii="宋体" w:hAnsi="宋体" w:cs="宋体"/>
                <w:szCs w:val="21"/>
              </w:rPr>
            </w:pPr>
            <w:r>
              <w:rPr>
                <w:rFonts w:hint="eastAsia" w:ascii="宋体" w:hAnsi="宋体" w:cs="宋体"/>
                <w:szCs w:val="21"/>
              </w:rPr>
              <w:t>3.没有编制装置开车方案，扣3分；</w:t>
            </w:r>
          </w:p>
          <w:p>
            <w:pPr>
              <w:spacing w:line="280" w:lineRule="exact"/>
              <w:rPr>
                <w:rFonts w:ascii="宋体" w:hAnsi="宋体" w:cs="宋体"/>
                <w:szCs w:val="21"/>
              </w:rPr>
            </w:pPr>
            <w:r>
              <w:rPr>
                <w:rFonts w:hint="eastAsia" w:ascii="宋体" w:hAnsi="宋体" w:cs="宋体"/>
                <w:szCs w:val="21"/>
              </w:rPr>
              <w:t>4.没有编制操作规程和应急预案，一项扣2分；</w:t>
            </w:r>
          </w:p>
          <w:p>
            <w:pPr>
              <w:spacing w:line="280" w:lineRule="exact"/>
              <w:rPr>
                <w:rFonts w:ascii="宋体" w:hAnsi="宋体" w:cs="宋体"/>
                <w:szCs w:val="21"/>
              </w:rPr>
            </w:pPr>
            <w:r>
              <w:rPr>
                <w:rFonts w:hint="eastAsia" w:ascii="宋体" w:hAnsi="宋体" w:cs="宋体"/>
                <w:szCs w:val="21"/>
              </w:rPr>
              <w:t>5.操作人员未经培训合格,1人次扣1分；</w:t>
            </w:r>
          </w:p>
          <w:p>
            <w:pPr>
              <w:spacing w:line="280" w:lineRule="exact"/>
              <w:rPr>
                <w:rFonts w:ascii="宋体" w:hAnsi="宋体" w:cs="宋体"/>
                <w:szCs w:val="21"/>
              </w:rPr>
            </w:pPr>
            <w:r>
              <w:rPr>
                <w:rFonts w:hint="eastAsia" w:ascii="宋体" w:hAnsi="宋体" w:cs="宋体"/>
                <w:szCs w:val="21"/>
              </w:rPr>
              <w:t>6.开车前未进行隐患整改，扣3分。</w:t>
            </w:r>
          </w:p>
        </w:tc>
        <w:tc>
          <w:tcPr>
            <w:tcW w:w="1165" w:type="dxa"/>
            <w:vAlign w:val="center"/>
          </w:tcPr>
          <w:p>
            <w:pPr>
              <w:spacing w:line="280" w:lineRule="exact"/>
              <w:jc w:val="center"/>
              <w:rPr>
                <w:rFonts w:ascii="宋体" w:hAnsi="宋体" w:cs="宋体"/>
                <w:szCs w:val="21"/>
              </w:rPr>
            </w:pPr>
            <w:r>
              <w:rPr>
                <w:rFonts w:hint="eastAsia" w:ascii="宋体" w:hAnsi="宋体" w:cs="宋体"/>
                <w:szCs w:val="21"/>
              </w:rPr>
              <w:t>符合要求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771" w:type="dxa"/>
            <w:vMerge w:val="continue"/>
          </w:tcPr>
          <w:p>
            <w:pPr>
              <w:spacing w:line="280" w:lineRule="exact"/>
              <w:rPr>
                <w:rFonts w:ascii="宋体" w:hAnsi="宋体" w:cs="宋体"/>
                <w:b/>
                <w:bCs/>
                <w:szCs w:val="21"/>
              </w:rPr>
            </w:pPr>
          </w:p>
        </w:tc>
        <w:tc>
          <w:tcPr>
            <w:tcW w:w="709" w:type="dxa"/>
            <w:vMerge w:val="continue"/>
          </w:tcPr>
          <w:p>
            <w:pPr>
              <w:spacing w:line="280" w:lineRule="exact"/>
              <w:rPr>
                <w:rFonts w:ascii="宋体" w:hAnsi="宋体" w:cs="宋体"/>
                <w:b/>
                <w:bCs/>
                <w:szCs w:val="21"/>
              </w:rPr>
            </w:pPr>
          </w:p>
        </w:tc>
        <w:tc>
          <w:tcPr>
            <w:tcW w:w="2409" w:type="dxa"/>
          </w:tcPr>
          <w:p>
            <w:pPr>
              <w:spacing w:line="280" w:lineRule="exact"/>
              <w:rPr>
                <w:rFonts w:ascii="宋体" w:hAnsi="宋体" w:cs="宋体"/>
                <w:szCs w:val="21"/>
              </w:rPr>
            </w:pPr>
            <w:r>
              <w:rPr>
                <w:rFonts w:hint="eastAsia" w:ascii="宋体" w:hAnsi="宋体" w:cs="宋体"/>
                <w:szCs w:val="21"/>
              </w:rPr>
              <w:t>5.企业生产装置停车应满足下列要求：</w:t>
            </w:r>
          </w:p>
          <w:p>
            <w:pPr>
              <w:spacing w:line="280" w:lineRule="exact"/>
              <w:rPr>
                <w:rFonts w:ascii="宋体" w:hAnsi="宋体" w:cs="宋体"/>
                <w:szCs w:val="21"/>
              </w:rPr>
            </w:pPr>
            <w:r>
              <w:rPr>
                <w:rFonts w:hint="eastAsia" w:ascii="宋体" w:hAnsi="宋体" w:cs="宋体"/>
                <w:szCs w:val="21"/>
              </w:rPr>
              <w:t>（1）编制停车方案；</w:t>
            </w:r>
          </w:p>
          <w:p>
            <w:pPr>
              <w:spacing w:line="280" w:lineRule="exact"/>
              <w:rPr>
                <w:rFonts w:ascii="宋体" w:hAnsi="宋体" w:cs="宋体"/>
                <w:szCs w:val="21"/>
              </w:rPr>
            </w:pPr>
            <w:r>
              <w:rPr>
                <w:rFonts w:hint="eastAsia" w:ascii="宋体" w:hAnsi="宋体" w:cs="宋体"/>
                <w:szCs w:val="21"/>
              </w:rPr>
              <w:t>（2）操作人员能够按停车方案和操作规程进行操作。</w:t>
            </w:r>
          </w:p>
        </w:tc>
        <w:tc>
          <w:tcPr>
            <w:tcW w:w="2268" w:type="dxa"/>
          </w:tcPr>
          <w:p>
            <w:pPr>
              <w:spacing w:line="280" w:lineRule="exact"/>
              <w:rPr>
                <w:rFonts w:ascii="宋体" w:hAnsi="宋体" w:cs="宋体"/>
                <w:szCs w:val="21"/>
              </w:rPr>
            </w:pPr>
            <w:r>
              <w:rPr>
                <w:rFonts w:hint="eastAsia" w:ascii="宋体" w:hAnsi="宋体" w:cs="宋体"/>
                <w:szCs w:val="21"/>
              </w:rPr>
              <w:t>生产装置停车应满足下列要求：</w:t>
            </w:r>
          </w:p>
          <w:p>
            <w:pPr>
              <w:spacing w:line="280" w:lineRule="exact"/>
              <w:rPr>
                <w:rFonts w:ascii="宋体" w:hAnsi="宋体" w:cs="宋体"/>
                <w:szCs w:val="21"/>
              </w:rPr>
            </w:pPr>
            <w:r>
              <w:rPr>
                <w:rFonts w:hint="eastAsia" w:ascii="宋体" w:hAnsi="宋体" w:cs="宋体"/>
                <w:szCs w:val="21"/>
              </w:rPr>
              <w:t>（1）编制停车方案；</w:t>
            </w:r>
          </w:p>
          <w:p>
            <w:pPr>
              <w:spacing w:line="280" w:lineRule="exact"/>
              <w:rPr>
                <w:rFonts w:ascii="宋体" w:hAnsi="宋体" w:cs="宋体"/>
                <w:szCs w:val="21"/>
              </w:rPr>
            </w:pPr>
            <w:r>
              <w:rPr>
                <w:rFonts w:hint="eastAsia" w:ascii="宋体" w:hAnsi="宋体" w:cs="宋体"/>
                <w:szCs w:val="21"/>
              </w:rPr>
              <w:t>（2）操作人员能够按停车方案和操作规程进行操作。</w:t>
            </w:r>
          </w:p>
        </w:tc>
        <w:tc>
          <w:tcPr>
            <w:tcW w:w="2268" w:type="dxa"/>
          </w:tcPr>
          <w:p>
            <w:pPr>
              <w:spacing w:line="280" w:lineRule="exact"/>
              <w:rPr>
                <w:rFonts w:ascii="宋体" w:hAnsi="宋体" w:cs="宋体"/>
                <w:szCs w:val="21"/>
              </w:rPr>
            </w:pPr>
            <w:r>
              <w:rPr>
                <w:rFonts w:hint="eastAsia" w:ascii="宋体" w:hAnsi="宋体" w:cs="宋体"/>
                <w:szCs w:val="21"/>
              </w:rPr>
              <w:t>查文件：</w:t>
            </w:r>
          </w:p>
          <w:p>
            <w:pPr>
              <w:spacing w:line="280" w:lineRule="exact"/>
              <w:rPr>
                <w:rFonts w:ascii="宋体" w:hAnsi="宋体" w:cs="宋体"/>
                <w:szCs w:val="21"/>
              </w:rPr>
            </w:pPr>
            <w:r>
              <w:rPr>
                <w:rFonts w:hint="eastAsia" w:ascii="宋体" w:hAnsi="宋体" w:cs="宋体"/>
                <w:szCs w:val="21"/>
              </w:rPr>
              <w:t>1.停车方案；</w:t>
            </w:r>
          </w:p>
          <w:p>
            <w:pPr>
              <w:spacing w:line="280" w:lineRule="exact"/>
              <w:rPr>
                <w:rFonts w:ascii="宋体" w:hAnsi="宋体" w:cs="宋体"/>
                <w:szCs w:val="21"/>
              </w:rPr>
            </w:pPr>
            <w:r>
              <w:rPr>
                <w:rFonts w:hint="eastAsia" w:ascii="宋体" w:hAnsi="宋体" w:cs="宋体"/>
                <w:szCs w:val="21"/>
              </w:rPr>
              <w:t>2.停车操作记录。</w:t>
            </w:r>
          </w:p>
          <w:p>
            <w:pPr>
              <w:spacing w:line="280" w:lineRule="exact"/>
              <w:rPr>
                <w:rFonts w:ascii="宋体" w:hAnsi="宋体" w:cs="宋体"/>
                <w:szCs w:val="21"/>
              </w:rPr>
            </w:pPr>
            <w:r>
              <w:rPr>
                <w:rFonts w:hint="eastAsia" w:ascii="宋体" w:hAnsi="宋体" w:cs="宋体"/>
                <w:szCs w:val="21"/>
              </w:rPr>
              <w:t>询问：</w:t>
            </w:r>
          </w:p>
          <w:p>
            <w:pPr>
              <w:spacing w:line="280" w:lineRule="exact"/>
              <w:rPr>
                <w:rFonts w:ascii="宋体" w:hAnsi="宋体" w:cs="宋体"/>
                <w:szCs w:val="21"/>
              </w:rPr>
            </w:pPr>
            <w:r>
              <w:rPr>
                <w:rFonts w:hint="eastAsia" w:ascii="宋体" w:hAnsi="宋体" w:cs="宋体"/>
                <w:szCs w:val="21"/>
              </w:rPr>
              <w:t>有关人员是否清楚停车要求。</w:t>
            </w:r>
          </w:p>
        </w:tc>
        <w:tc>
          <w:tcPr>
            <w:tcW w:w="1701" w:type="dxa"/>
          </w:tcPr>
          <w:p>
            <w:pPr>
              <w:spacing w:line="280" w:lineRule="exact"/>
              <w:rPr>
                <w:rFonts w:ascii="宋体" w:hAnsi="宋体" w:cs="宋体"/>
                <w:szCs w:val="21"/>
              </w:rPr>
            </w:pPr>
          </w:p>
        </w:tc>
        <w:tc>
          <w:tcPr>
            <w:tcW w:w="2268" w:type="dxa"/>
          </w:tcPr>
          <w:p>
            <w:pPr>
              <w:spacing w:line="280" w:lineRule="exact"/>
              <w:rPr>
                <w:rFonts w:ascii="宋体" w:hAnsi="宋体" w:cs="宋体"/>
                <w:szCs w:val="21"/>
              </w:rPr>
            </w:pPr>
            <w:r>
              <w:rPr>
                <w:rFonts w:hint="eastAsia" w:ascii="宋体" w:hAnsi="宋体" w:cs="宋体"/>
                <w:szCs w:val="21"/>
              </w:rPr>
              <w:t>1.未编制停车方案，扣3分；停车方案内容，一项不符合扣1分；</w:t>
            </w:r>
          </w:p>
          <w:p>
            <w:pPr>
              <w:spacing w:line="280" w:lineRule="exact"/>
              <w:rPr>
                <w:rFonts w:ascii="宋体" w:hAnsi="宋体" w:cs="宋体"/>
                <w:szCs w:val="21"/>
              </w:rPr>
            </w:pPr>
            <w:r>
              <w:rPr>
                <w:rFonts w:hint="eastAsia" w:ascii="宋体" w:hAnsi="宋体" w:cs="宋体"/>
                <w:szCs w:val="21"/>
              </w:rPr>
              <w:t>2.未执行操作规程和停车方案停车，1次扣3分；</w:t>
            </w:r>
          </w:p>
          <w:p>
            <w:pPr>
              <w:spacing w:line="280" w:lineRule="exact"/>
              <w:rPr>
                <w:rFonts w:ascii="宋体" w:hAnsi="宋体" w:cs="宋体"/>
                <w:szCs w:val="21"/>
              </w:rPr>
            </w:pPr>
            <w:r>
              <w:rPr>
                <w:rFonts w:hint="eastAsia" w:ascii="宋体" w:hAnsi="宋体" w:cs="宋体"/>
                <w:szCs w:val="21"/>
              </w:rPr>
              <w:t>3.有关人员不清楚停车要求，1人次扣1分。</w:t>
            </w:r>
          </w:p>
        </w:tc>
        <w:tc>
          <w:tcPr>
            <w:tcW w:w="1165" w:type="dxa"/>
            <w:vAlign w:val="center"/>
          </w:tcPr>
          <w:p>
            <w:pPr>
              <w:spacing w:line="280" w:lineRule="exact"/>
              <w:jc w:val="center"/>
              <w:rPr>
                <w:rFonts w:ascii="宋体" w:hAnsi="宋体" w:cs="宋体"/>
                <w:szCs w:val="21"/>
              </w:rPr>
            </w:pPr>
            <w:r>
              <w:rPr>
                <w:rFonts w:hint="eastAsia" w:ascii="宋体" w:hAnsi="宋体" w:cs="宋体"/>
                <w:szCs w:val="21"/>
              </w:rPr>
              <w:t>符合要求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771" w:type="dxa"/>
            <w:vMerge w:val="continue"/>
          </w:tcPr>
          <w:p>
            <w:pPr>
              <w:spacing w:line="280" w:lineRule="exact"/>
              <w:rPr>
                <w:rFonts w:ascii="宋体" w:hAnsi="宋体" w:cs="宋体"/>
                <w:b/>
                <w:bCs/>
                <w:szCs w:val="21"/>
              </w:rPr>
            </w:pPr>
          </w:p>
        </w:tc>
        <w:tc>
          <w:tcPr>
            <w:tcW w:w="709" w:type="dxa"/>
            <w:vMerge w:val="continue"/>
          </w:tcPr>
          <w:p>
            <w:pPr>
              <w:spacing w:line="280" w:lineRule="exact"/>
              <w:rPr>
                <w:rFonts w:ascii="宋体" w:hAnsi="宋体" w:cs="宋体"/>
                <w:b/>
                <w:bCs/>
                <w:szCs w:val="21"/>
              </w:rPr>
            </w:pPr>
          </w:p>
        </w:tc>
        <w:tc>
          <w:tcPr>
            <w:tcW w:w="2409" w:type="dxa"/>
          </w:tcPr>
          <w:p>
            <w:pPr>
              <w:spacing w:line="280" w:lineRule="exact"/>
              <w:rPr>
                <w:rFonts w:ascii="宋体" w:hAnsi="宋体" w:cs="宋体"/>
                <w:szCs w:val="21"/>
              </w:rPr>
            </w:pPr>
            <w:r>
              <w:rPr>
                <w:rFonts w:hint="eastAsia" w:ascii="宋体" w:hAnsi="宋体" w:cs="宋体"/>
                <w:szCs w:val="21"/>
              </w:rPr>
              <w:t>6.企业生产装置紧急情况处理应遵守下列要求：</w:t>
            </w:r>
          </w:p>
          <w:p>
            <w:pPr>
              <w:spacing w:line="280" w:lineRule="exact"/>
              <w:rPr>
                <w:rFonts w:ascii="宋体" w:hAnsi="宋体" w:cs="宋体"/>
                <w:szCs w:val="21"/>
              </w:rPr>
            </w:pPr>
            <w:r>
              <w:rPr>
                <w:rFonts w:hint="eastAsia" w:ascii="宋体" w:hAnsi="宋体" w:cs="宋体"/>
                <w:szCs w:val="21"/>
              </w:rPr>
              <w:t>（1）发现或发生紧急情况，应按照不伤害人员为原则，妥善处理，同时向有关方面报告；</w:t>
            </w:r>
          </w:p>
          <w:p>
            <w:pPr>
              <w:spacing w:line="280" w:lineRule="exact"/>
              <w:rPr>
                <w:rFonts w:ascii="宋体" w:hAnsi="宋体" w:cs="宋体"/>
                <w:szCs w:val="21"/>
              </w:rPr>
            </w:pPr>
            <w:r>
              <w:rPr>
                <w:rFonts w:hint="eastAsia" w:ascii="宋体" w:hAnsi="宋体" w:cs="宋体"/>
                <w:szCs w:val="21"/>
              </w:rPr>
              <w:t>（2）工艺及机电设备等发生异常情况时，采取适当的措施，并通知有关岗位协调处理，必要时，按程序紧急停车。</w:t>
            </w:r>
          </w:p>
        </w:tc>
        <w:tc>
          <w:tcPr>
            <w:tcW w:w="2268" w:type="dxa"/>
          </w:tcPr>
          <w:p>
            <w:pPr>
              <w:spacing w:line="280" w:lineRule="exact"/>
              <w:rPr>
                <w:rFonts w:ascii="宋体" w:hAnsi="宋体" w:cs="宋体"/>
                <w:szCs w:val="21"/>
              </w:rPr>
            </w:pPr>
            <w:r>
              <w:rPr>
                <w:rFonts w:hint="eastAsia" w:ascii="宋体" w:hAnsi="宋体" w:cs="宋体"/>
                <w:szCs w:val="21"/>
              </w:rPr>
              <w:t>生产装置紧急情况处理应遵守下列要求：</w:t>
            </w:r>
          </w:p>
          <w:p>
            <w:pPr>
              <w:spacing w:line="280" w:lineRule="exact"/>
              <w:rPr>
                <w:rFonts w:ascii="宋体" w:hAnsi="宋体" w:cs="宋体"/>
                <w:szCs w:val="21"/>
              </w:rPr>
            </w:pPr>
            <w:r>
              <w:rPr>
                <w:rFonts w:hint="eastAsia" w:ascii="宋体" w:hAnsi="宋体" w:cs="宋体"/>
                <w:szCs w:val="21"/>
              </w:rPr>
              <w:t>（1）发现或发生紧急情况，应按照不伤害人员为原则，妥善处理，同时向有关方面报告；</w:t>
            </w:r>
          </w:p>
          <w:p>
            <w:pPr>
              <w:spacing w:line="280" w:lineRule="exact"/>
              <w:rPr>
                <w:rFonts w:ascii="宋体" w:hAnsi="宋体" w:cs="宋体"/>
                <w:szCs w:val="21"/>
              </w:rPr>
            </w:pPr>
            <w:r>
              <w:rPr>
                <w:rFonts w:hint="eastAsia" w:ascii="宋体" w:hAnsi="宋体" w:cs="宋体"/>
                <w:szCs w:val="21"/>
              </w:rPr>
              <w:t>（2）工艺及机电设备等发生异常情况时，应及时采取适当的措施，并通知有关岗位协调处理，必要时，按程序紧急停车。</w:t>
            </w:r>
          </w:p>
        </w:tc>
        <w:tc>
          <w:tcPr>
            <w:tcW w:w="2268" w:type="dxa"/>
          </w:tcPr>
          <w:p>
            <w:pPr>
              <w:spacing w:line="280" w:lineRule="exact"/>
              <w:rPr>
                <w:rFonts w:ascii="宋体" w:hAnsi="宋体" w:cs="宋体"/>
                <w:szCs w:val="21"/>
              </w:rPr>
            </w:pPr>
            <w:r>
              <w:rPr>
                <w:rFonts w:hint="eastAsia" w:ascii="宋体" w:hAnsi="宋体" w:cs="宋体"/>
                <w:szCs w:val="21"/>
              </w:rPr>
              <w:t>查文件：</w:t>
            </w:r>
          </w:p>
          <w:p>
            <w:pPr>
              <w:spacing w:line="280" w:lineRule="exact"/>
              <w:rPr>
                <w:rFonts w:ascii="宋体" w:hAnsi="宋体" w:cs="宋体"/>
                <w:szCs w:val="21"/>
              </w:rPr>
            </w:pPr>
            <w:r>
              <w:rPr>
                <w:rFonts w:hint="eastAsia" w:ascii="宋体" w:hAnsi="宋体" w:cs="宋体"/>
                <w:szCs w:val="21"/>
              </w:rPr>
              <w:t>1.操作规程；</w:t>
            </w:r>
          </w:p>
          <w:p>
            <w:pPr>
              <w:spacing w:line="280" w:lineRule="exact"/>
              <w:rPr>
                <w:rFonts w:ascii="宋体" w:hAnsi="宋体" w:cs="宋体"/>
                <w:szCs w:val="21"/>
              </w:rPr>
            </w:pPr>
            <w:r>
              <w:rPr>
                <w:rFonts w:hint="eastAsia" w:ascii="宋体" w:hAnsi="宋体" w:cs="宋体"/>
                <w:szCs w:val="21"/>
              </w:rPr>
              <w:t>2.操作记录。</w:t>
            </w:r>
          </w:p>
          <w:p>
            <w:pPr>
              <w:spacing w:line="280" w:lineRule="exact"/>
              <w:rPr>
                <w:rFonts w:ascii="宋体" w:hAnsi="宋体" w:cs="宋体"/>
                <w:szCs w:val="21"/>
              </w:rPr>
            </w:pPr>
            <w:r>
              <w:rPr>
                <w:rFonts w:hint="eastAsia" w:ascii="宋体" w:hAnsi="宋体" w:cs="宋体"/>
                <w:szCs w:val="21"/>
              </w:rPr>
              <w:t>询问：</w:t>
            </w:r>
          </w:p>
          <w:p>
            <w:pPr>
              <w:spacing w:line="280" w:lineRule="exact"/>
              <w:rPr>
                <w:rFonts w:ascii="宋体" w:hAnsi="宋体" w:cs="宋体"/>
                <w:szCs w:val="21"/>
              </w:rPr>
            </w:pPr>
            <w:r>
              <w:rPr>
                <w:rFonts w:hint="eastAsia" w:ascii="宋体" w:hAnsi="宋体" w:cs="宋体"/>
                <w:szCs w:val="21"/>
              </w:rPr>
              <w:t>操作人员在紧急情况下处理措施和程序。</w:t>
            </w:r>
          </w:p>
        </w:tc>
        <w:tc>
          <w:tcPr>
            <w:tcW w:w="1701" w:type="dxa"/>
          </w:tcPr>
          <w:p>
            <w:pPr>
              <w:spacing w:line="280" w:lineRule="exact"/>
              <w:rPr>
                <w:rFonts w:ascii="宋体" w:hAnsi="宋体" w:cs="宋体"/>
                <w:szCs w:val="21"/>
              </w:rPr>
            </w:pPr>
          </w:p>
        </w:tc>
        <w:tc>
          <w:tcPr>
            <w:tcW w:w="2268" w:type="dxa"/>
          </w:tcPr>
          <w:p>
            <w:pPr>
              <w:spacing w:line="280" w:lineRule="exact"/>
              <w:rPr>
                <w:rFonts w:ascii="宋体" w:hAnsi="宋体" w:cs="宋体"/>
                <w:szCs w:val="21"/>
              </w:rPr>
            </w:pPr>
            <w:r>
              <w:rPr>
                <w:rFonts w:hint="eastAsia" w:ascii="宋体" w:hAnsi="宋体" w:cs="宋体"/>
                <w:szCs w:val="21"/>
              </w:rPr>
              <w:t>1.操作规程中未制定发生紧急及异常情况时的处理措施，一项扣2分；</w:t>
            </w:r>
          </w:p>
          <w:p>
            <w:pPr>
              <w:spacing w:line="280" w:lineRule="exact"/>
              <w:rPr>
                <w:rFonts w:ascii="宋体" w:hAnsi="宋体" w:cs="宋体"/>
                <w:szCs w:val="21"/>
              </w:rPr>
            </w:pPr>
            <w:r>
              <w:rPr>
                <w:rFonts w:hint="eastAsia" w:ascii="宋体" w:hAnsi="宋体" w:cs="宋体"/>
                <w:szCs w:val="21"/>
              </w:rPr>
              <w:t>2.紧急情况未按规定处理，1次扣3分；</w:t>
            </w:r>
          </w:p>
          <w:p>
            <w:pPr>
              <w:spacing w:line="280" w:lineRule="exact"/>
              <w:rPr>
                <w:rFonts w:ascii="宋体" w:hAnsi="宋体" w:cs="宋体"/>
                <w:szCs w:val="21"/>
              </w:rPr>
            </w:pPr>
            <w:r>
              <w:rPr>
                <w:rFonts w:hint="eastAsia" w:ascii="宋体" w:hAnsi="宋体" w:cs="宋体"/>
                <w:szCs w:val="21"/>
              </w:rPr>
              <w:t>3.操作人员不清楚紧急及异常情况处理措施和上报程序，1人扣1分。</w:t>
            </w:r>
          </w:p>
        </w:tc>
        <w:tc>
          <w:tcPr>
            <w:tcW w:w="1165" w:type="dxa"/>
            <w:vAlign w:val="center"/>
          </w:tcPr>
          <w:p>
            <w:pPr>
              <w:spacing w:line="280" w:lineRule="exact"/>
              <w:jc w:val="center"/>
              <w:rPr>
                <w:rFonts w:ascii="宋体" w:hAnsi="宋体" w:cs="宋体"/>
                <w:szCs w:val="21"/>
              </w:rPr>
            </w:pPr>
            <w:r>
              <w:rPr>
                <w:rFonts w:hint="eastAsia" w:ascii="宋体" w:hAnsi="宋体" w:cs="宋体"/>
                <w:szCs w:val="21"/>
              </w:rPr>
              <w:t>符合要求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771" w:type="dxa"/>
            <w:vMerge w:val="continue"/>
          </w:tcPr>
          <w:p>
            <w:pPr>
              <w:spacing w:line="280" w:lineRule="exact"/>
              <w:rPr>
                <w:rFonts w:ascii="宋体" w:hAnsi="宋体" w:cs="宋体"/>
                <w:b/>
                <w:bCs/>
                <w:szCs w:val="21"/>
              </w:rPr>
            </w:pPr>
          </w:p>
        </w:tc>
        <w:tc>
          <w:tcPr>
            <w:tcW w:w="709" w:type="dxa"/>
            <w:vMerge w:val="continue"/>
          </w:tcPr>
          <w:p>
            <w:pPr>
              <w:spacing w:line="280" w:lineRule="exact"/>
              <w:rPr>
                <w:rFonts w:ascii="宋体" w:hAnsi="宋体" w:cs="宋体"/>
                <w:b/>
                <w:bCs/>
                <w:szCs w:val="21"/>
              </w:rPr>
            </w:pPr>
          </w:p>
        </w:tc>
        <w:tc>
          <w:tcPr>
            <w:tcW w:w="2409" w:type="dxa"/>
          </w:tcPr>
          <w:p>
            <w:pPr>
              <w:spacing w:line="280" w:lineRule="exact"/>
              <w:rPr>
                <w:rFonts w:ascii="宋体" w:hAnsi="宋体" w:cs="宋体"/>
                <w:szCs w:val="21"/>
              </w:rPr>
            </w:pPr>
            <w:r>
              <w:rPr>
                <w:rFonts w:hint="eastAsia" w:ascii="宋体" w:hAnsi="宋体" w:cs="宋体"/>
                <w:szCs w:val="21"/>
              </w:rPr>
              <w:t>7.企业生产装置泄压系统或排空系统排放的危险化学品应引至安全地点并得到妥善处理。</w:t>
            </w:r>
          </w:p>
        </w:tc>
        <w:tc>
          <w:tcPr>
            <w:tcW w:w="2268" w:type="dxa"/>
          </w:tcPr>
          <w:p>
            <w:pPr>
              <w:spacing w:line="280" w:lineRule="exact"/>
              <w:rPr>
                <w:rFonts w:ascii="宋体" w:hAnsi="宋体" w:cs="宋体"/>
                <w:szCs w:val="21"/>
              </w:rPr>
            </w:pPr>
            <w:r>
              <w:rPr>
                <w:rFonts w:hint="eastAsia" w:ascii="宋体" w:hAnsi="宋体" w:cs="宋体"/>
                <w:szCs w:val="21"/>
              </w:rPr>
              <w:t>生产装置泄压系统或排空系统排放的危险化学品应引至安全地点并得到妥善处理。</w:t>
            </w:r>
          </w:p>
        </w:tc>
        <w:tc>
          <w:tcPr>
            <w:tcW w:w="2268" w:type="dxa"/>
          </w:tcPr>
          <w:p>
            <w:pPr>
              <w:spacing w:line="280" w:lineRule="exact"/>
              <w:rPr>
                <w:rFonts w:ascii="宋体" w:hAnsi="宋体" w:cs="宋体"/>
                <w:szCs w:val="21"/>
              </w:rPr>
            </w:pPr>
            <w:r>
              <w:rPr>
                <w:rFonts w:hint="eastAsia" w:ascii="宋体" w:hAnsi="宋体" w:cs="宋体"/>
                <w:szCs w:val="21"/>
              </w:rPr>
              <w:t>现场检查：</w:t>
            </w:r>
          </w:p>
          <w:p>
            <w:pPr>
              <w:spacing w:line="280" w:lineRule="exact"/>
              <w:rPr>
                <w:rFonts w:ascii="宋体" w:hAnsi="宋体" w:cs="宋体"/>
                <w:szCs w:val="21"/>
              </w:rPr>
            </w:pPr>
            <w:r>
              <w:rPr>
                <w:rFonts w:hint="eastAsia" w:ascii="宋体" w:hAnsi="宋体" w:cs="宋体"/>
                <w:szCs w:val="21"/>
              </w:rPr>
              <w:t>1.生产装置泄压排放系统排放的危险物质处理；</w:t>
            </w:r>
          </w:p>
          <w:p>
            <w:pPr>
              <w:spacing w:line="280" w:lineRule="exact"/>
              <w:rPr>
                <w:rFonts w:ascii="宋体" w:hAnsi="宋体" w:cs="宋体"/>
                <w:szCs w:val="21"/>
              </w:rPr>
            </w:pPr>
            <w:r>
              <w:rPr>
                <w:rFonts w:hint="eastAsia" w:ascii="宋体" w:hAnsi="宋体" w:cs="宋体"/>
                <w:szCs w:val="21"/>
              </w:rPr>
              <w:t>2.排空系统及火炬管理情况。</w:t>
            </w:r>
          </w:p>
        </w:tc>
        <w:tc>
          <w:tcPr>
            <w:tcW w:w="1701" w:type="dxa"/>
          </w:tcPr>
          <w:p>
            <w:pPr>
              <w:spacing w:line="280" w:lineRule="exact"/>
              <w:rPr>
                <w:rFonts w:ascii="宋体" w:hAnsi="宋体" w:cs="宋体"/>
                <w:szCs w:val="21"/>
              </w:rPr>
            </w:pPr>
          </w:p>
        </w:tc>
        <w:tc>
          <w:tcPr>
            <w:tcW w:w="2268" w:type="dxa"/>
          </w:tcPr>
          <w:p>
            <w:pPr>
              <w:spacing w:line="280" w:lineRule="exact"/>
              <w:rPr>
                <w:rFonts w:ascii="宋体" w:hAnsi="宋体" w:cs="宋体"/>
                <w:szCs w:val="21"/>
              </w:rPr>
            </w:pPr>
            <w:r>
              <w:rPr>
                <w:rFonts w:hint="eastAsia" w:ascii="宋体" w:hAnsi="宋体" w:cs="宋体"/>
                <w:szCs w:val="21"/>
              </w:rPr>
              <w:t>1.排放管安装位置不符合规范或危险物质处理不符合要求，一处扣2分；</w:t>
            </w:r>
          </w:p>
          <w:p>
            <w:pPr>
              <w:spacing w:line="280" w:lineRule="exact"/>
              <w:rPr>
                <w:rFonts w:ascii="宋体" w:hAnsi="宋体" w:cs="宋体"/>
                <w:szCs w:val="21"/>
              </w:rPr>
            </w:pPr>
            <w:r>
              <w:rPr>
                <w:rFonts w:hint="eastAsia" w:ascii="宋体" w:hAnsi="宋体" w:cs="宋体"/>
                <w:szCs w:val="21"/>
              </w:rPr>
              <w:t>2.火炬系统运行不正常，扣3分。</w:t>
            </w:r>
          </w:p>
        </w:tc>
        <w:tc>
          <w:tcPr>
            <w:tcW w:w="1165" w:type="dxa"/>
            <w:vAlign w:val="center"/>
          </w:tcPr>
          <w:p>
            <w:pPr>
              <w:spacing w:line="280" w:lineRule="exact"/>
              <w:jc w:val="center"/>
              <w:rPr>
                <w:rFonts w:ascii="宋体" w:hAnsi="宋体" w:cs="宋体"/>
                <w:szCs w:val="21"/>
              </w:rPr>
            </w:pPr>
            <w:r>
              <w:rPr>
                <w:rFonts w:hint="eastAsia" w:ascii="宋体" w:hAnsi="宋体" w:cs="宋体"/>
                <w:szCs w:val="21"/>
              </w:rPr>
              <w:t>符合要求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771" w:type="dxa"/>
            <w:vMerge w:val="continue"/>
          </w:tcPr>
          <w:p>
            <w:pPr>
              <w:spacing w:line="280" w:lineRule="exact"/>
              <w:rPr>
                <w:rFonts w:ascii="宋体" w:hAnsi="宋体" w:cs="宋体"/>
                <w:b/>
                <w:bCs/>
                <w:szCs w:val="21"/>
              </w:rPr>
            </w:pPr>
          </w:p>
        </w:tc>
        <w:tc>
          <w:tcPr>
            <w:tcW w:w="709" w:type="dxa"/>
            <w:vMerge w:val="continue"/>
          </w:tcPr>
          <w:p>
            <w:pPr>
              <w:spacing w:line="280" w:lineRule="exact"/>
              <w:rPr>
                <w:rFonts w:ascii="宋体" w:hAnsi="宋体" w:cs="宋体"/>
                <w:b/>
                <w:bCs/>
                <w:szCs w:val="21"/>
              </w:rPr>
            </w:pPr>
          </w:p>
        </w:tc>
        <w:tc>
          <w:tcPr>
            <w:tcW w:w="2409" w:type="dxa"/>
          </w:tcPr>
          <w:p>
            <w:pPr>
              <w:spacing w:line="280" w:lineRule="exact"/>
              <w:rPr>
                <w:rFonts w:ascii="宋体" w:hAnsi="宋体" w:cs="宋体"/>
                <w:szCs w:val="21"/>
              </w:rPr>
            </w:pPr>
            <w:r>
              <w:rPr>
                <w:rFonts w:hint="eastAsia" w:ascii="宋体" w:hAnsi="宋体" w:cs="宋体"/>
                <w:szCs w:val="21"/>
              </w:rPr>
              <w:t>8.企业操作人员应严格执行操作规程，对工艺参数运行出现的偏离情况及时分析，保证工艺参数控制不超出安全限值，偏差及时得到纠正。</w:t>
            </w:r>
          </w:p>
        </w:tc>
        <w:tc>
          <w:tcPr>
            <w:tcW w:w="2268" w:type="dxa"/>
          </w:tcPr>
          <w:p>
            <w:pPr>
              <w:spacing w:line="280" w:lineRule="exact"/>
              <w:rPr>
                <w:rFonts w:ascii="宋体" w:hAnsi="宋体" w:cs="宋体"/>
                <w:szCs w:val="21"/>
              </w:rPr>
            </w:pPr>
            <w:r>
              <w:rPr>
                <w:rFonts w:hint="eastAsia" w:ascii="宋体" w:hAnsi="宋体" w:cs="宋体"/>
                <w:szCs w:val="21"/>
              </w:rPr>
              <w:t>操作人员应对工艺参数运行出现的偏离情况及时分析，保证工艺参数控制不超出安全限值，偏差及时得到纠正。</w:t>
            </w:r>
          </w:p>
        </w:tc>
        <w:tc>
          <w:tcPr>
            <w:tcW w:w="2268" w:type="dxa"/>
          </w:tcPr>
          <w:p>
            <w:pPr>
              <w:spacing w:line="280" w:lineRule="exact"/>
              <w:rPr>
                <w:rFonts w:ascii="宋体" w:hAnsi="宋体" w:cs="宋体"/>
                <w:szCs w:val="21"/>
              </w:rPr>
            </w:pPr>
            <w:r>
              <w:rPr>
                <w:rFonts w:hint="eastAsia" w:ascii="宋体" w:hAnsi="宋体" w:cs="宋体"/>
                <w:szCs w:val="21"/>
              </w:rPr>
              <w:t>查文件：</w:t>
            </w:r>
          </w:p>
          <w:p>
            <w:pPr>
              <w:spacing w:line="280" w:lineRule="exact"/>
              <w:rPr>
                <w:rFonts w:ascii="宋体" w:hAnsi="宋体" w:cs="宋体"/>
                <w:szCs w:val="21"/>
              </w:rPr>
            </w:pPr>
            <w:r>
              <w:rPr>
                <w:rFonts w:hint="eastAsia" w:ascii="宋体" w:hAnsi="宋体" w:cs="宋体"/>
                <w:szCs w:val="21"/>
              </w:rPr>
              <w:t>工艺操作记录及交接班记录。</w:t>
            </w:r>
          </w:p>
          <w:p>
            <w:pPr>
              <w:spacing w:line="280" w:lineRule="exact"/>
              <w:rPr>
                <w:rFonts w:ascii="宋体" w:hAnsi="宋体" w:cs="宋体"/>
                <w:szCs w:val="21"/>
              </w:rPr>
            </w:pPr>
            <w:r>
              <w:rPr>
                <w:rFonts w:hint="eastAsia" w:ascii="宋体" w:hAnsi="宋体" w:cs="宋体"/>
                <w:szCs w:val="21"/>
              </w:rPr>
              <w:t>询问：</w:t>
            </w:r>
          </w:p>
          <w:p>
            <w:pPr>
              <w:spacing w:line="280" w:lineRule="exact"/>
              <w:rPr>
                <w:rFonts w:ascii="宋体" w:hAnsi="宋体" w:cs="宋体"/>
                <w:szCs w:val="21"/>
              </w:rPr>
            </w:pPr>
            <w:r>
              <w:rPr>
                <w:rFonts w:hint="eastAsia" w:ascii="宋体" w:hAnsi="宋体" w:cs="宋体"/>
                <w:szCs w:val="21"/>
              </w:rPr>
              <w:t>操作人员如何处理工艺参数的偏离。</w:t>
            </w:r>
          </w:p>
        </w:tc>
        <w:tc>
          <w:tcPr>
            <w:tcW w:w="1701" w:type="dxa"/>
          </w:tcPr>
          <w:p>
            <w:pPr>
              <w:spacing w:line="280" w:lineRule="exact"/>
              <w:rPr>
                <w:rFonts w:ascii="宋体" w:hAnsi="宋体" w:cs="宋体"/>
                <w:szCs w:val="21"/>
              </w:rPr>
            </w:pPr>
          </w:p>
        </w:tc>
        <w:tc>
          <w:tcPr>
            <w:tcW w:w="2268" w:type="dxa"/>
          </w:tcPr>
          <w:p>
            <w:pPr>
              <w:spacing w:line="280" w:lineRule="exact"/>
              <w:rPr>
                <w:rFonts w:ascii="宋体" w:hAnsi="宋体" w:cs="宋体"/>
                <w:szCs w:val="21"/>
              </w:rPr>
            </w:pPr>
            <w:r>
              <w:rPr>
                <w:rFonts w:hint="eastAsia" w:ascii="宋体" w:hAnsi="宋体" w:cs="宋体"/>
                <w:szCs w:val="21"/>
              </w:rPr>
              <w:t>1.工艺参数偏离未分析原因，一次扣1分；</w:t>
            </w:r>
          </w:p>
          <w:p>
            <w:pPr>
              <w:spacing w:line="280" w:lineRule="exact"/>
              <w:rPr>
                <w:rFonts w:ascii="宋体" w:hAnsi="宋体" w:cs="宋体"/>
                <w:szCs w:val="21"/>
              </w:rPr>
            </w:pPr>
            <w:r>
              <w:rPr>
                <w:rFonts w:hint="eastAsia" w:ascii="宋体" w:hAnsi="宋体" w:cs="宋体"/>
                <w:szCs w:val="21"/>
              </w:rPr>
              <w:t>2.超出安全限值未及时进行纠正，扣3分；</w:t>
            </w:r>
          </w:p>
          <w:p>
            <w:pPr>
              <w:spacing w:line="280" w:lineRule="exact"/>
              <w:rPr>
                <w:rFonts w:ascii="宋体" w:hAnsi="宋体" w:cs="宋体"/>
                <w:szCs w:val="21"/>
              </w:rPr>
            </w:pPr>
            <w:r>
              <w:rPr>
                <w:rFonts w:hint="eastAsia" w:ascii="宋体" w:hAnsi="宋体" w:cs="宋体"/>
                <w:szCs w:val="21"/>
              </w:rPr>
              <w:t>3.操作人员不清楚工艺参数偏离处理方法，1人次扣1分。</w:t>
            </w:r>
          </w:p>
        </w:tc>
        <w:tc>
          <w:tcPr>
            <w:tcW w:w="1165" w:type="dxa"/>
            <w:vAlign w:val="center"/>
          </w:tcPr>
          <w:p>
            <w:pPr>
              <w:spacing w:line="280" w:lineRule="exact"/>
              <w:jc w:val="center"/>
              <w:rPr>
                <w:rFonts w:ascii="宋体" w:hAnsi="宋体" w:cs="宋体"/>
                <w:szCs w:val="21"/>
              </w:rPr>
            </w:pPr>
            <w:r>
              <w:rPr>
                <w:rFonts w:hint="eastAsia" w:ascii="宋体" w:hAnsi="宋体" w:cs="宋体"/>
                <w:szCs w:val="21"/>
              </w:rPr>
              <w:t>符合要求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771" w:type="dxa"/>
            <w:vMerge w:val="continue"/>
          </w:tcPr>
          <w:p>
            <w:pPr>
              <w:spacing w:line="280" w:lineRule="exact"/>
              <w:rPr>
                <w:rFonts w:ascii="宋体" w:hAnsi="宋体" w:cs="宋体"/>
                <w:b/>
                <w:bCs/>
                <w:szCs w:val="21"/>
              </w:rPr>
            </w:pPr>
          </w:p>
        </w:tc>
        <w:tc>
          <w:tcPr>
            <w:tcW w:w="709" w:type="dxa"/>
            <w:vMerge w:val="restart"/>
          </w:tcPr>
          <w:p>
            <w:pPr>
              <w:spacing w:line="280" w:lineRule="exact"/>
              <w:rPr>
                <w:rFonts w:ascii="宋体" w:hAnsi="宋体" w:cs="宋体"/>
                <w:b/>
                <w:bCs/>
                <w:szCs w:val="21"/>
                <w:lang w:val="zh-CN"/>
              </w:rPr>
            </w:pPr>
            <w:r>
              <w:rPr>
                <w:rFonts w:hint="eastAsia" w:ascii="宋体" w:hAnsi="宋体" w:cs="宋体"/>
                <w:b/>
                <w:bCs/>
                <w:szCs w:val="21"/>
                <w:lang w:val="zh-CN"/>
              </w:rPr>
              <w:t>6.5关键装置及重点部位</w:t>
            </w:r>
          </w:p>
          <w:p>
            <w:pPr>
              <w:spacing w:line="280" w:lineRule="exact"/>
              <w:rPr>
                <w:rFonts w:ascii="宋体" w:hAnsi="宋体" w:cs="宋体"/>
                <w:b/>
                <w:bCs/>
                <w:szCs w:val="21"/>
              </w:rPr>
            </w:pPr>
            <w:r>
              <w:rPr>
                <w:rFonts w:hint="eastAsia" w:ascii="宋体" w:hAnsi="宋体" w:cs="宋体"/>
                <w:b/>
                <w:bCs/>
                <w:szCs w:val="21"/>
                <w:lang w:val="zh-CN"/>
              </w:rPr>
              <w:t>（15分）</w:t>
            </w:r>
          </w:p>
        </w:tc>
        <w:tc>
          <w:tcPr>
            <w:tcW w:w="2409" w:type="dxa"/>
          </w:tcPr>
          <w:p>
            <w:pPr>
              <w:spacing w:line="280" w:lineRule="exact"/>
              <w:rPr>
                <w:rFonts w:ascii="宋体" w:hAnsi="宋体" w:cs="宋体"/>
                <w:szCs w:val="21"/>
              </w:rPr>
            </w:pPr>
            <w:r>
              <w:rPr>
                <w:rFonts w:hint="eastAsia" w:ascii="宋体" w:hAnsi="宋体" w:cs="宋体"/>
                <w:szCs w:val="21"/>
              </w:rPr>
              <w:t>1.企业应加强对关键装置、重点部位安全管理，实行企业领导干部联系点管理机制。</w:t>
            </w:r>
          </w:p>
        </w:tc>
        <w:tc>
          <w:tcPr>
            <w:tcW w:w="2268" w:type="dxa"/>
          </w:tcPr>
          <w:p>
            <w:pPr>
              <w:spacing w:line="280" w:lineRule="exact"/>
              <w:rPr>
                <w:rFonts w:ascii="宋体" w:hAnsi="宋体" w:cs="宋体"/>
                <w:szCs w:val="21"/>
              </w:rPr>
            </w:pPr>
            <w:r>
              <w:rPr>
                <w:rFonts w:hint="eastAsia" w:ascii="宋体" w:hAnsi="宋体" w:cs="宋体"/>
                <w:szCs w:val="21"/>
              </w:rPr>
              <w:t>1.确定关键装置、重点部位；</w:t>
            </w:r>
          </w:p>
          <w:p>
            <w:pPr>
              <w:spacing w:line="280" w:lineRule="exact"/>
              <w:rPr>
                <w:rFonts w:ascii="宋体" w:hAnsi="宋体" w:cs="宋体"/>
                <w:szCs w:val="21"/>
              </w:rPr>
            </w:pPr>
            <w:r>
              <w:rPr>
                <w:rFonts w:hint="eastAsia" w:ascii="宋体" w:hAnsi="宋体" w:cs="宋体"/>
                <w:szCs w:val="21"/>
              </w:rPr>
              <w:t>2.实行企业领导干部联系点管理机制。</w:t>
            </w:r>
          </w:p>
        </w:tc>
        <w:tc>
          <w:tcPr>
            <w:tcW w:w="2268" w:type="dxa"/>
          </w:tcPr>
          <w:p>
            <w:pPr>
              <w:spacing w:line="280" w:lineRule="exact"/>
              <w:rPr>
                <w:rFonts w:ascii="宋体" w:hAnsi="宋体" w:cs="宋体"/>
                <w:szCs w:val="21"/>
              </w:rPr>
            </w:pPr>
            <w:r>
              <w:rPr>
                <w:rFonts w:hint="eastAsia" w:ascii="宋体" w:hAnsi="宋体" w:cs="宋体"/>
                <w:szCs w:val="21"/>
              </w:rPr>
              <w:t>查文件：</w:t>
            </w:r>
          </w:p>
          <w:p>
            <w:pPr>
              <w:spacing w:line="280" w:lineRule="exact"/>
              <w:rPr>
                <w:rFonts w:ascii="宋体" w:hAnsi="宋体" w:cs="宋体"/>
                <w:szCs w:val="21"/>
              </w:rPr>
            </w:pPr>
            <w:r>
              <w:rPr>
                <w:rFonts w:hint="eastAsia" w:ascii="宋体" w:hAnsi="宋体" w:cs="宋体"/>
                <w:szCs w:val="21"/>
              </w:rPr>
              <w:t>1.关键装置、重点部位管理制度；</w:t>
            </w:r>
          </w:p>
          <w:p>
            <w:pPr>
              <w:spacing w:line="280" w:lineRule="exact"/>
              <w:rPr>
                <w:rFonts w:ascii="宋体" w:hAnsi="宋体" w:cs="宋体"/>
                <w:szCs w:val="21"/>
              </w:rPr>
            </w:pPr>
            <w:r>
              <w:rPr>
                <w:rFonts w:hint="eastAsia" w:ascii="宋体" w:hAnsi="宋体" w:cs="宋体"/>
                <w:szCs w:val="21"/>
              </w:rPr>
              <w:t>2.关键装置、重点部位台账。</w:t>
            </w:r>
          </w:p>
          <w:p>
            <w:pPr>
              <w:spacing w:line="280" w:lineRule="exact"/>
              <w:rPr>
                <w:rFonts w:ascii="宋体" w:hAnsi="宋体" w:cs="宋体"/>
                <w:szCs w:val="21"/>
              </w:rPr>
            </w:pPr>
          </w:p>
        </w:tc>
        <w:tc>
          <w:tcPr>
            <w:tcW w:w="1701" w:type="dxa"/>
          </w:tcPr>
          <w:p>
            <w:pPr>
              <w:spacing w:line="280" w:lineRule="exact"/>
              <w:rPr>
                <w:rFonts w:ascii="宋体" w:hAnsi="宋体" w:cs="宋体"/>
                <w:szCs w:val="21"/>
              </w:rPr>
            </w:pPr>
            <w:r>
              <w:rPr>
                <w:rFonts w:hint="eastAsia" w:ascii="宋体" w:hAnsi="宋体" w:cs="宋体"/>
                <w:szCs w:val="21"/>
              </w:rPr>
              <w:t>未确定关键装置、重点部位，扣15分（B级要素否决项）。</w:t>
            </w:r>
          </w:p>
        </w:tc>
        <w:tc>
          <w:tcPr>
            <w:tcW w:w="2268" w:type="dxa"/>
          </w:tcPr>
          <w:p>
            <w:pPr>
              <w:spacing w:line="280" w:lineRule="exact"/>
              <w:rPr>
                <w:rFonts w:ascii="宋体" w:hAnsi="宋体" w:cs="宋体"/>
                <w:szCs w:val="21"/>
              </w:rPr>
            </w:pPr>
            <w:r>
              <w:rPr>
                <w:rFonts w:hint="eastAsia" w:ascii="宋体" w:hAnsi="宋体" w:cs="宋体"/>
                <w:szCs w:val="21"/>
              </w:rPr>
              <w:t>1.未明确关键装置和重点部位的联系人以及联系人的职责及考核要求的，一项扣1分；</w:t>
            </w:r>
          </w:p>
          <w:p>
            <w:pPr>
              <w:spacing w:line="280" w:lineRule="exact"/>
              <w:rPr>
                <w:rFonts w:ascii="宋体" w:hAnsi="宋体" w:cs="宋体"/>
                <w:szCs w:val="21"/>
              </w:rPr>
            </w:pPr>
            <w:r>
              <w:rPr>
                <w:rFonts w:hint="eastAsia" w:ascii="宋体" w:hAnsi="宋体" w:cs="宋体"/>
                <w:szCs w:val="21"/>
              </w:rPr>
              <w:t>2.确定的关键装置、重点部位，少一处扣2分；</w:t>
            </w:r>
          </w:p>
          <w:p>
            <w:pPr>
              <w:spacing w:line="280" w:lineRule="exact"/>
              <w:rPr>
                <w:rFonts w:ascii="宋体" w:hAnsi="宋体" w:cs="宋体"/>
                <w:szCs w:val="21"/>
              </w:rPr>
            </w:pPr>
            <w:r>
              <w:rPr>
                <w:rFonts w:hint="eastAsia" w:ascii="宋体" w:hAnsi="宋体" w:cs="宋体"/>
                <w:szCs w:val="21"/>
              </w:rPr>
              <w:t>3.未建立联系点机制，扣2分。</w:t>
            </w:r>
          </w:p>
        </w:tc>
        <w:tc>
          <w:tcPr>
            <w:tcW w:w="1165" w:type="dxa"/>
            <w:vAlign w:val="center"/>
          </w:tcPr>
          <w:p>
            <w:pPr>
              <w:spacing w:line="280" w:lineRule="exact"/>
              <w:jc w:val="center"/>
              <w:rPr>
                <w:rFonts w:ascii="宋体" w:hAnsi="宋体" w:cs="宋体"/>
                <w:szCs w:val="21"/>
              </w:rPr>
            </w:pPr>
            <w:r>
              <w:rPr>
                <w:rFonts w:hint="eastAsia" w:ascii="宋体" w:hAnsi="宋体" w:cs="宋体"/>
                <w:szCs w:val="21"/>
              </w:rPr>
              <w:t>符合要求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771" w:type="dxa"/>
            <w:vMerge w:val="continue"/>
          </w:tcPr>
          <w:p>
            <w:pPr>
              <w:spacing w:line="280" w:lineRule="exact"/>
              <w:rPr>
                <w:rFonts w:ascii="宋体" w:hAnsi="宋体" w:cs="宋体"/>
                <w:b/>
                <w:bCs/>
                <w:szCs w:val="21"/>
              </w:rPr>
            </w:pPr>
          </w:p>
        </w:tc>
        <w:tc>
          <w:tcPr>
            <w:tcW w:w="709" w:type="dxa"/>
            <w:vMerge w:val="continue"/>
          </w:tcPr>
          <w:p>
            <w:pPr>
              <w:spacing w:line="280" w:lineRule="exact"/>
              <w:rPr>
                <w:rFonts w:ascii="宋体" w:hAnsi="宋体" w:cs="宋体"/>
                <w:b/>
                <w:bCs/>
                <w:szCs w:val="21"/>
              </w:rPr>
            </w:pPr>
          </w:p>
        </w:tc>
        <w:tc>
          <w:tcPr>
            <w:tcW w:w="2409" w:type="dxa"/>
          </w:tcPr>
          <w:p>
            <w:pPr>
              <w:spacing w:line="280" w:lineRule="exact"/>
              <w:rPr>
                <w:rFonts w:ascii="宋体" w:hAnsi="宋体" w:cs="宋体"/>
                <w:szCs w:val="21"/>
              </w:rPr>
            </w:pPr>
            <w:r>
              <w:rPr>
                <w:rFonts w:hint="eastAsia" w:ascii="宋体" w:hAnsi="宋体" w:cs="宋体"/>
                <w:szCs w:val="21"/>
              </w:rPr>
              <w:t>2.联系人对所负责的关键装置、重点部位负有安全监督与指导责任，包括：</w:t>
            </w:r>
          </w:p>
          <w:p>
            <w:pPr>
              <w:spacing w:line="280" w:lineRule="exact"/>
              <w:rPr>
                <w:rFonts w:ascii="宋体" w:hAnsi="宋体" w:cs="宋体"/>
                <w:szCs w:val="21"/>
              </w:rPr>
            </w:pPr>
            <w:r>
              <w:rPr>
                <w:rFonts w:hint="eastAsia" w:ascii="宋体" w:hAnsi="宋体" w:cs="宋体"/>
                <w:szCs w:val="21"/>
              </w:rPr>
              <w:t>（1）指导安全联系点实现安全生产；</w:t>
            </w:r>
          </w:p>
          <w:p>
            <w:pPr>
              <w:spacing w:line="280" w:lineRule="exact"/>
              <w:rPr>
                <w:rFonts w:ascii="宋体" w:hAnsi="宋体" w:cs="宋体"/>
                <w:szCs w:val="21"/>
              </w:rPr>
            </w:pPr>
            <w:r>
              <w:rPr>
                <w:rFonts w:hint="eastAsia" w:ascii="宋体" w:hAnsi="宋体" w:cs="宋体"/>
                <w:szCs w:val="21"/>
              </w:rPr>
              <w:t>（2）监督安全生产方针、政策、法规、制度的执行和落实；</w:t>
            </w:r>
          </w:p>
          <w:p>
            <w:pPr>
              <w:spacing w:line="280" w:lineRule="exact"/>
              <w:rPr>
                <w:rFonts w:ascii="宋体" w:hAnsi="宋体" w:cs="宋体"/>
                <w:szCs w:val="21"/>
              </w:rPr>
            </w:pPr>
            <w:r>
              <w:rPr>
                <w:rFonts w:hint="eastAsia" w:ascii="宋体" w:hAnsi="宋体" w:cs="宋体"/>
                <w:szCs w:val="21"/>
              </w:rPr>
              <w:t>（3）定期检查安全生产中存在的问题；</w:t>
            </w:r>
          </w:p>
          <w:p>
            <w:pPr>
              <w:spacing w:line="280" w:lineRule="exact"/>
              <w:rPr>
                <w:rFonts w:ascii="宋体" w:hAnsi="宋体" w:cs="宋体"/>
                <w:szCs w:val="21"/>
              </w:rPr>
            </w:pPr>
            <w:r>
              <w:rPr>
                <w:rFonts w:hint="eastAsia" w:ascii="宋体" w:hAnsi="宋体" w:cs="宋体"/>
                <w:szCs w:val="21"/>
              </w:rPr>
              <w:t>（4）督促隐患项目治理；</w:t>
            </w:r>
          </w:p>
          <w:p>
            <w:pPr>
              <w:spacing w:line="280" w:lineRule="exact"/>
              <w:rPr>
                <w:rFonts w:ascii="宋体" w:hAnsi="宋体" w:cs="宋体"/>
                <w:szCs w:val="21"/>
              </w:rPr>
            </w:pPr>
            <w:r>
              <w:rPr>
                <w:rFonts w:hint="eastAsia" w:ascii="宋体" w:hAnsi="宋体" w:cs="宋体"/>
                <w:szCs w:val="21"/>
              </w:rPr>
              <w:t>（5）监督事故处理原则的落实；</w:t>
            </w:r>
          </w:p>
          <w:p>
            <w:pPr>
              <w:spacing w:line="280" w:lineRule="exact"/>
              <w:rPr>
                <w:rFonts w:ascii="宋体" w:hAnsi="宋体" w:cs="宋体"/>
                <w:szCs w:val="21"/>
              </w:rPr>
            </w:pPr>
            <w:r>
              <w:rPr>
                <w:rFonts w:hint="eastAsia" w:ascii="宋体" w:hAnsi="宋体" w:cs="宋体"/>
                <w:szCs w:val="21"/>
              </w:rPr>
              <w:t>（6）解决影响安全生产的突出问题等。</w:t>
            </w:r>
          </w:p>
        </w:tc>
        <w:tc>
          <w:tcPr>
            <w:tcW w:w="2268" w:type="dxa"/>
          </w:tcPr>
          <w:p>
            <w:pPr>
              <w:spacing w:line="280" w:lineRule="exact"/>
              <w:rPr>
                <w:rFonts w:ascii="宋体" w:hAnsi="宋体" w:cs="宋体"/>
                <w:szCs w:val="21"/>
              </w:rPr>
            </w:pPr>
            <w:r>
              <w:rPr>
                <w:rFonts w:hint="eastAsia" w:ascii="宋体" w:hAnsi="宋体" w:cs="宋体"/>
                <w:szCs w:val="21"/>
              </w:rPr>
              <w:t>联系人对所负责的关键装置、重点部位负有安全监督与指导责任，包括：</w:t>
            </w:r>
          </w:p>
          <w:p>
            <w:pPr>
              <w:spacing w:line="280" w:lineRule="exact"/>
              <w:rPr>
                <w:rFonts w:ascii="宋体" w:hAnsi="宋体" w:cs="宋体"/>
                <w:szCs w:val="21"/>
              </w:rPr>
            </w:pPr>
            <w:r>
              <w:rPr>
                <w:rFonts w:hint="eastAsia" w:ascii="宋体" w:hAnsi="宋体" w:cs="宋体"/>
                <w:szCs w:val="21"/>
              </w:rPr>
              <w:t>（1）指导安全联系点实现安全生产；</w:t>
            </w:r>
          </w:p>
          <w:p>
            <w:pPr>
              <w:spacing w:line="280" w:lineRule="exact"/>
              <w:rPr>
                <w:rFonts w:ascii="宋体" w:hAnsi="宋体" w:cs="宋体"/>
                <w:szCs w:val="21"/>
              </w:rPr>
            </w:pPr>
            <w:r>
              <w:rPr>
                <w:rFonts w:hint="eastAsia" w:ascii="宋体" w:hAnsi="宋体" w:cs="宋体"/>
                <w:szCs w:val="21"/>
              </w:rPr>
              <w:t>（2）监督安全生产方针、政策、法规、制度的执行和落实；</w:t>
            </w:r>
          </w:p>
          <w:p>
            <w:pPr>
              <w:spacing w:line="280" w:lineRule="exact"/>
              <w:rPr>
                <w:rFonts w:ascii="宋体" w:hAnsi="宋体" w:cs="宋体"/>
                <w:szCs w:val="21"/>
              </w:rPr>
            </w:pPr>
            <w:r>
              <w:rPr>
                <w:rFonts w:hint="eastAsia" w:ascii="宋体" w:hAnsi="宋体" w:cs="宋体"/>
                <w:szCs w:val="21"/>
              </w:rPr>
              <w:t>（3）定期检查安全生产中存在的问题；</w:t>
            </w:r>
          </w:p>
          <w:p>
            <w:pPr>
              <w:spacing w:line="280" w:lineRule="exact"/>
              <w:rPr>
                <w:rFonts w:ascii="宋体" w:hAnsi="宋体" w:cs="宋体"/>
                <w:szCs w:val="21"/>
              </w:rPr>
            </w:pPr>
            <w:r>
              <w:rPr>
                <w:rFonts w:hint="eastAsia" w:ascii="宋体" w:hAnsi="宋体" w:cs="宋体"/>
                <w:szCs w:val="21"/>
              </w:rPr>
              <w:t>（4）督促隐患项目治理；</w:t>
            </w:r>
          </w:p>
          <w:p>
            <w:pPr>
              <w:spacing w:line="280" w:lineRule="exact"/>
              <w:rPr>
                <w:rFonts w:ascii="宋体" w:hAnsi="宋体" w:cs="宋体"/>
                <w:szCs w:val="21"/>
              </w:rPr>
            </w:pPr>
            <w:r>
              <w:rPr>
                <w:rFonts w:hint="eastAsia" w:ascii="宋体" w:hAnsi="宋体" w:cs="宋体"/>
                <w:szCs w:val="21"/>
              </w:rPr>
              <w:t>（5）监督事故处理原则的落实；</w:t>
            </w:r>
          </w:p>
          <w:p>
            <w:pPr>
              <w:spacing w:line="280" w:lineRule="exact"/>
              <w:rPr>
                <w:rFonts w:ascii="宋体" w:hAnsi="宋体" w:cs="宋体"/>
                <w:szCs w:val="21"/>
              </w:rPr>
            </w:pPr>
            <w:r>
              <w:rPr>
                <w:rFonts w:hint="eastAsia" w:ascii="宋体" w:hAnsi="宋体" w:cs="宋体"/>
                <w:szCs w:val="21"/>
              </w:rPr>
              <w:t>（6）解决影响安全生产的突出问题等。</w:t>
            </w:r>
          </w:p>
        </w:tc>
        <w:tc>
          <w:tcPr>
            <w:tcW w:w="2268" w:type="dxa"/>
          </w:tcPr>
          <w:p>
            <w:pPr>
              <w:spacing w:line="280" w:lineRule="exact"/>
              <w:rPr>
                <w:rFonts w:ascii="宋体" w:hAnsi="宋体" w:cs="宋体"/>
                <w:szCs w:val="21"/>
              </w:rPr>
            </w:pPr>
            <w:r>
              <w:rPr>
                <w:rFonts w:hint="eastAsia" w:ascii="宋体" w:hAnsi="宋体" w:cs="宋体"/>
                <w:szCs w:val="21"/>
              </w:rPr>
              <w:t>查文件：</w:t>
            </w:r>
          </w:p>
          <w:p>
            <w:pPr>
              <w:spacing w:line="280" w:lineRule="exact"/>
              <w:rPr>
                <w:rFonts w:ascii="宋体" w:hAnsi="宋体" w:cs="宋体"/>
                <w:szCs w:val="21"/>
              </w:rPr>
            </w:pPr>
            <w:r>
              <w:rPr>
                <w:rFonts w:hint="eastAsia" w:ascii="宋体" w:hAnsi="宋体" w:cs="宋体"/>
                <w:szCs w:val="21"/>
              </w:rPr>
              <w:t>监督指导有关记录。</w:t>
            </w:r>
          </w:p>
          <w:p>
            <w:pPr>
              <w:spacing w:line="280" w:lineRule="exact"/>
              <w:rPr>
                <w:rFonts w:ascii="宋体" w:hAnsi="宋体" w:cs="宋体"/>
                <w:szCs w:val="21"/>
              </w:rPr>
            </w:pPr>
            <w:r>
              <w:rPr>
                <w:rFonts w:hint="eastAsia" w:ascii="宋体" w:hAnsi="宋体" w:cs="宋体"/>
                <w:szCs w:val="21"/>
              </w:rPr>
              <w:t>询问：</w:t>
            </w:r>
          </w:p>
          <w:p>
            <w:pPr>
              <w:spacing w:line="280" w:lineRule="exact"/>
              <w:rPr>
                <w:rFonts w:ascii="宋体" w:hAnsi="宋体" w:cs="宋体"/>
                <w:szCs w:val="21"/>
              </w:rPr>
            </w:pPr>
            <w:r>
              <w:rPr>
                <w:rFonts w:hint="eastAsia" w:ascii="宋体" w:hAnsi="宋体" w:cs="宋体"/>
                <w:szCs w:val="21"/>
              </w:rPr>
              <w:t>联系人对所负责的关键装置、重点部位进行的安全监督指导情况。</w:t>
            </w:r>
          </w:p>
        </w:tc>
        <w:tc>
          <w:tcPr>
            <w:tcW w:w="1701" w:type="dxa"/>
          </w:tcPr>
          <w:p>
            <w:pPr>
              <w:spacing w:line="280" w:lineRule="exact"/>
              <w:rPr>
                <w:rFonts w:ascii="宋体" w:hAnsi="宋体" w:cs="宋体"/>
                <w:szCs w:val="21"/>
              </w:rPr>
            </w:pPr>
          </w:p>
        </w:tc>
        <w:tc>
          <w:tcPr>
            <w:tcW w:w="2268" w:type="dxa"/>
          </w:tcPr>
          <w:p>
            <w:pPr>
              <w:spacing w:line="280" w:lineRule="exact"/>
              <w:rPr>
                <w:rFonts w:ascii="宋体" w:hAnsi="宋体" w:cs="宋体"/>
                <w:szCs w:val="21"/>
              </w:rPr>
            </w:pPr>
            <w:r>
              <w:rPr>
                <w:rFonts w:hint="eastAsia" w:ascii="宋体" w:hAnsi="宋体" w:cs="宋体"/>
                <w:szCs w:val="21"/>
              </w:rPr>
              <w:t>联系人对所负责的关键装置、重点部位未履行安全监督指导职责，1次扣1分。</w:t>
            </w:r>
          </w:p>
          <w:p>
            <w:pPr>
              <w:spacing w:line="280" w:lineRule="exact"/>
              <w:rPr>
                <w:rFonts w:ascii="宋体" w:hAnsi="宋体" w:cs="宋体"/>
                <w:szCs w:val="21"/>
              </w:rPr>
            </w:pPr>
          </w:p>
        </w:tc>
        <w:tc>
          <w:tcPr>
            <w:tcW w:w="1165" w:type="dxa"/>
            <w:vAlign w:val="center"/>
          </w:tcPr>
          <w:p>
            <w:pPr>
              <w:spacing w:line="280" w:lineRule="exact"/>
              <w:jc w:val="center"/>
              <w:rPr>
                <w:rFonts w:ascii="宋体" w:hAnsi="宋体" w:cs="宋体"/>
                <w:szCs w:val="21"/>
              </w:rPr>
            </w:pPr>
            <w:r>
              <w:rPr>
                <w:rFonts w:hint="eastAsia" w:ascii="宋体" w:hAnsi="宋体" w:cs="宋体"/>
                <w:szCs w:val="21"/>
              </w:rPr>
              <w:t>符合要求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771" w:type="dxa"/>
            <w:vMerge w:val="continue"/>
          </w:tcPr>
          <w:p>
            <w:pPr>
              <w:spacing w:line="280" w:lineRule="exact"/>
              <w:rPr>
                <w:rFonts w:ascii="宋体" w:hAnsi="宋体" w:cs="宋体"/>
                <w:b/>
                <w:bCs/>
                <w:szCs w:val="21"/>
              </w:rPr>
            </w:pPr>
          </w:p>
        </w:tc>
        <w:tc>
          <w:tcPr>
            <w:tcW w:w="709" w:type="dxa"/>
            <w:vMerge w:val="continue"/>
          </w:tcPr>
          <w:p>
            <w:pPr>
              <w:spacing w:line="280" w:lineRule="exact"/>
              <w:rPr>
                <w:rFonts w:ascii="宋体" w:hAnsi="宋体" w:cs="宋体"/>
                <w:b/>
                <w:bCs/>
                <w:szCs w:val="21"/>
              </w:rPr>
            </w:pPr>
          </w:p>
        </w:tc>
        <w:tc>
          <w:tcPr>
            <w:tcW w:w="2409" w:type="dxa"/>
          </w:tcPr>
          <w:p>
            <w:pPr>
              <w:spacing w:line="280" w:lineRule="exact"/>
              <w:rPr>
                <w:rFonts w:ascii="宋体" w:hAnsi="宋体" w:cs="宋体"/>
                <w:szCs w:val="21"/>
              </w:rPr>
            </w:pPr>
            <w:r>
              <w:rPr>
                <w:rFonts w:hint="eastAsia" w:ascii="宋体" w:hAnsi="宋体" w:cs="宋体"/>
                <w:szCs w:val="21"/>
              </w:rPr>
              <w:t>3.联系人应每月至少到联系点进行一次安全活动，活动形式包括参加基层班组安全活动、安全检查、督促治理事故隐患、安全工作指示等。</w:t>
            </w:r>
          </w:p>
        </w:tc>
        <w:tc>
          <w:tcPr>
            <w:tcW w:w="2268" w:type="dxa"/>
          </w:tcPr>
          <w:p>
            <w:pPr>
              <w:spacing w:line="280" w:lineRule="exact"/>
              <w:rPr>
                <w:rFonts w:ascii="宋体" w:hAnsi="宋体" w:cs="宋体"/>
                <w:szCs w:val="21"/>
              </w:rPr>
            </w:pPr>
            <w:r>
              <w:rPr>
                <w:rFonts w:hint="eastAsia" w:ascii="宋体" w:hAnsi="宋体" w:cs="宋体"/>
                <w:szCs w:val="21"/>
              </w:rPr>
              <w:t>联系人应每月至少到联系点进行一次安全活动。</w:t>
            </w:r>
          </w:p>
        </w:tc>
        <w:tc>
          <w:tcPr>
            <w:tcW w:w="2268" w:type="dxa"/>
          </w:tcPr>
          <w:p>
            <w:pPr>
              <w:spacing w:line="280" w:lineRule="exact"/>
              <w:rPr>
                <w:rFonts w:ascii="宋体" w:hAnsi="宋体" w:cs="宋体"/>
                <w:szCs w:val="21"/>
              </w:rPr>
            </w:pPr>
            <w:r>
              <w:rPr>
                <w:rFonts w:hint="eastAsia" w:ascii="宋体" w:hAnsi="宋体" w:cs="宋体"/>
                <w:szCs w:val="21"/>
              </w:rPr>
              <w:t>查文件：</w:t>
            </w:r>
          </w:p>
          <w:p>
            <w:pPr>
              <w:spacing w:line="280" w:lineRule="exact"/>
              <w:rPr>
                <w:rFonts w:ascii="宋体" w:hAnsi="宋体" w:cs="宋体"/>
                <w:szCs w:val="21"/>
              </w:rPr>
            </w:pPr>
            <w:r>
              <w:rPr>
                <w:rFonts w:hint="eastAsia" w:ascii="宋体" w:hAnsi="宋体" w:cs="宋体"/>
                <w:szCs w:val="21"/>
              </w:rPr>
              <w:t>联系点活动记录。</w:t>
            </w:r>
          </w:p>
        </w:tc>
        <w:tc>
          <w:tcPr>
            <w:tcW w:w="1701" w:type="dxa"/>
          </w:tcPr>
          <w:p>
            <w:pPr>
              <w:spacing w:line="280" w:lineRule="exact"/>
              <w:rPr>
                <w:rFonts w:ascii="宋体" w:hAnsi="宋体" w:cs="宋体"/>
                <w:szCs w:val="21"/>
              </w:rPr>
            </w:pPr>
          </w:p>
        </w:tc>
        <w:tc>
          <w:tcPr>
            <w:tcW w:w="2268" w:type="dxa"/>
          </w:tcPr>
          <w:p>
            <w:pPr>
              <w:spacing w:line="280" w:lineRule="exact"/>
              <w:rPr>
                <w:rFonts w:ascii="宋体" w:hAnsi="宋体" w:cs="宋体"/>
                <w:szCs w:val="21"/>
              </w:rPr>
            </w:pPr>
            <w:r>
              <w:rPr>
                <w:rFonts w:hint="eastAsia" w:ascii="宋体" w:hAnsi="宋体" w:cs="宋体"/>
                <w:szCs w:val="21"/>
              </w:rPr>
              <w:t>企业领导干部未按规定到联系点活动或未记录，1次扣1分。</w:t>
            </w:r>
          </w:p>
        </w:tc>
        <w:tc>
          <w:tcPr>
            <w:tcW w:w="1165" w:type="dxa"/>
            <w:vAlign w:val="center"/>
          </w:tcPr>
          <w:p>
            <w:pPr>
              <w:spacing w:line="280" w:lineRule="exact"/>
              <w:jc w:val="center"/>
              <w:rPr>
                <w:rFonts w:ascii="宋体" w:hAnsi="宋体" w:cs="宋体"/>
                <w:szCs w:val="21"/>
              </w:rPr>
            </w:pPr>
            <w:r>
              <w:rPr>
                <w:rFonts w:hint="eastAsia" w:ascii="宋体" w:hAnsi="宋体" w:cs="宋体"/>
                <w:szCs w:val="21"/>
              </w:rPr>
              <w:t>符合要求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771" w:type="dxa"/>
            <w:vMerge w:val="continue"/>
          </w:tcPr>
          <w:p>
            <w:pPr>
              <w:spacing w:line="280" w:lineRule="exact"/>
              <w:rPr>
                <w:rFonts w:ascii="宋体" w:hAnsi="宋体" w:cs="宋体"/>
                <w:b/>
                <w:bCs/>
                <w:szCs w:val="21"/>
              </w:rPr>
            </w:pPr>
          </w:p>
        </w:tc>
        <w:tc>
          <w:tcPr>
            <w:tcW w:w="709" w:type="dxa"/>
            <w:vMerge w:val="continue"/>
          </w:tcPr>
          <w:p>
            <w:pPr>
              <w:spacing w:line="280" w:lineRule="exact"/>
              <w:rPr>
                <w:rFonts w:ascii="宋体" w:hAnsi="宋体" w:cs="宋体"/>
                <w:b/>
                <w:bCs/>
                <w:szCs w:val="21"/>
              </w:rPr>
            </w:pPr>
          </w:p>
        </w:tc>
        <w:tc>
          <w:tcPr>
            <w:tcW w:w="2409" w:type="dxa"/>
          </w:tcPr>
          <w:p>
            <w:pPr>
              <w:spacing w:line="280" w:lineRule="exact"/>
              <w:rPr>
                <w:rFonts w:ascii="宋体" w:hAnsi="宋体" w:cs="宋体"/>
                <w:szCs w:val="21"/>
              </w:rPr>
            </w:pPr>
            <w:r>
              <w:rPr>
                <w:rFonts w:hint="eastAsia" w:ascii="宋体" w:hAnsi="宋体" w:cs="宋体"/>
                <w:szCs w:val="21"/>
              </w:rPr>
              <w:t>4.企业应建立关键装置、重点部位档案，建立企业、管理部门、基层单位及班组监控机制，明确各级组织、各专业的职责，定期进行监督检查，并形成记录。</w:t>
            </w:r>
          </w:p>
        </w:tc>
        <w:tc>
          <w:tcPr>
            <w:tcW w:w="2268" w:type="dxa"/>
          </w:tcPr>
          <w:p>
            <w:pPr>
              <w:spacing w:line="280" w:lineRule="exact"/>
              <w:rPr>
                <w:rFonts w:ascii="宋体" w:hAnsi="宋体" w:cs="宋体"/>
                <w:szCs w:val="21"/>
              </w:rPr>
            </w:pPr>
            <w:r>
              <w:rPr>
                <w:rFonts w:hint="eastAsia" w:ascii="宋体" w:hAnsi="宋体" w:cs="宋体"/>
                <w:szCs w:val="21"/>
              </w:rPr>
              <w:t>1.建立关键装置、重点部位档案；</w:t>
            </w:r>
          </w:p>
          <w:p>
            <w:pPr>
              <w:spacing w:line="280" w:lineRule="exact"/>
              <w:rPr>
                <w:rFonts w:ascii="宋体" w:hAnsi="宋体" w:cs="宋体"/>
                <w:szCs w:val="21"/>
              </w:rPr>
            </w:pPr>
            <w:r>
              <w:rPr>
                <w:rFonts w:hint="eastAsia" w:ascii="宋体" w:hAnsi="宋体" w:cs="宋体"/>
                <w:szCs w:val="21"/>
              </w:rPr>
              <w:t>2.建立企业、管理部门、基层单位及班组监控机制，明确各级组织、各专业的职责；</w:t>
            </w:r>
          </w:p>
          <w:p>
            <w:pPr>
              <w:spacing w:line="280" w:lineRule="exact"/>
              <w:rPr>
                <w:rFonts w:ascii="宋体" w:hAnsi="宋体" w:cs="宋体"/>
                <w:szCs w:val="21"/>
              </w:rPr>
            </w:pPr>
            <w:r>
              <w:rPr>
                <w:rFonts w:hint="eastAsia" w:ascii="宋体" w:hAnsi="宋体" w:cs="宋体"/>
                <w:szCs w:val="21"/>
              </w:rPr>
              <w:t>3.定期进行监督检查，并形成记录。</w:t>
            </w:r>
          </w:p>
        </w:tc>
        <w:tc>
          <w:tcPr>
            <w:tcW w:w="2268" w:type="dxa"/>
          </w:tcPr>
          <w:p>
            <w:pPr>
              <w:spacing w:line="280" w:lineRule="exact"/>
              <w:rPr>
                <w:rFonts w:ascii="宋体" w:hAnsi="宋体" w:cs="宋体"/>
                <w:szCs w:val="21"/>
              </w:rPr>
            </w:pPr>
            <w:r>
              <w:rPr>
                <w:rFonts w:hint="eastAsia" w:ascii="宋体" w:hAnsi="宋体" w:cs="宋体"/>
                <w:szCs w:val="21"/>
              </w:rPr>
              <w:t>查文件：</w:t>
            </w:r>
          </w:p>
          <w:p>
            <w:pPr>
              <w:spacing w:line="280" w:lineRule="exact"/>
              <w:rPr>
                <w:rFonts w:ascii="宋体" w:hAnsi="宋体" w:cs="宋体"/>
                <w:szCs w:val="21"/>
              </w:rPr>
            </w:pPr>
            <w:r>
              <w:rPr>
                <w:rFonts w:hint="eastAsia" w:ascii="宋体" w:hAnsi="宋体" w:cs="宋体"/>
                <w:szCs w:val="21"/>
              </w:rPr>
              <w:t>1.关键装置、重点部位管理制度；</w:t>
            </w:r>
          </w:p>
          <w:p>
            <w:pPr>
              <w:spacing w:line="280" w:lineRule="exact"/>
              <w:rPr>
                <w:rFonts w:ascii="宋体" w:hAnsi="宋体" w:cs="宋体"/>
                <w:szCs w:val="21"/>
              </w:rPr>
            </w:pPr>
            <w:r>
              <w:rPr>
                <w:rFonts w:hint="eastAsia" w:ascii="宋体" w:hAnsi="宋体" w:cs="宋体"/>
                <w:szCs w:val="21"/>
              </w:rPr>
              <w:t>2.关键装置、重点部位档案；</w:t>
            </w:r>
          </w:p>
          <w:p>
            <w:pPr>
              <w:spacing w:line="280" w:lineRule="exact"/>
              <w:rPr>
                <w:rFonts w:ascii="宋体" w:hAnsi="宋体" w:cs="宋体"/>
                <w:szCs w:val="21"/>
              </w:rPr>
            </w:pPr>
            <w:r>
              <w:rPr>
                <w:rFonts w:hint="eastAsia" w:ascii="宋体" w:hAnsi="宋体" w:cs="宋体"/>
                <w:szCs w:val="21"/>
              </w:rPr>
              <w:t>3.关键装置、重点部位的监督检查记录。</w:t>
            </w:r>
          </w:p>
        </w:tc>
        <w:tc>
          <w:tcPr>
            <w:tcW w:w="1701" w:type="dxa"/>
          </w:tcPr>
          <w:p>
            <w:pPr>
              <w:spacing w:line="280" w:lineRule="exact"/>
              <w:rPr>
                <w:rFonts w:ascii="宋体" w:hAnsi="宋体" w:cs="宋体"/>
                <w:szCs w:val="21"/>
              </w:rPr>
            </w:pPr>
          </w:p>
        </w:tc>
        <w:tc>
          <w:tcPr>
            <w:tcW w:w="2268" w:type="dxa"/>
          </w:tcPr>
          <w:p>
            <w:pPr>
              <w:spacing w:line="280" w:lineRule="exact"/>
              <w:rPr>
                <w:rFonts w:ascii="宋体" w:hAnsi="宋体" w:cs="宋体"/>
                <w:szCs w:val="21"/>
              </w:rPr>
            </w:pPr>
            <w:r>
              <w:rPr>
                <w:rFonts w:hint="eastAsia" w:ascii="宋体" w:hAnsi="宋体" w:cs="宋体"/>
                <w:szCs w:val="21"/>
              </w:rPr>
              <w:t>1.未建立档案，扣3分；档案内容一项不符合扣1分；</w:t>
            </w:r>
          </w:p>
          <w:p>
            <w:pPr>
              <w:spacing w:line="280" w:lineRule="exact"/>
              <w:rPr>
                <w:rFonts w:ascii="宋体" w:hAnsi="宋体" w:cs="宋体"/>
                <w:szCs w:val="21"/>
              </w:rPr>
            </w:pPr>
            <w:r>
              <w:rPr>
                <w:rFonts w:hint="eastAsia" w:ascii="宋体" w:hAnsi="宋体" w:cs="宋体"/>
                <w:szCs w:val="21"/>
              </w:rPr>
              <w:t>2.未建立企业、管理部门、基层单位及班组监控机制，扣3分；</w:t>
            </w:r>
          </w:p>
          <w:p>
            <w:pPr>
              <w:spacing w:line="280" w:lineRule="exact"/>
              <w:rPr>
                <w:rFonts w:ascii="宋体" w:hAnsi="宋体" w:cs="宋体"/>
                <w:szCs w:val="21"/>
              </w:rPr>
            </w:pPr>
            <w:r>
              <w:rPr>
                <w:rFonts w:hint="eastAsia" w:ascii="宋体" w:hAnsi="宋体" w:cs="宋体"/>
                <w:szCs w:val="21"/>
              </w:rPr>
              <w:t>3.未明确各级组织、各专业职责，扣2分；</w:t>
            </w:r>
          </w:p>
          <w:p>
            <w:pPr>
              <w:spacing w:line="280" w:lineRule="exact"/>
              <w:rPr>
                <w:rFonts w:ascii="宋体" w:hAnsi="宋体" w:cs="宋体"/>
                <w:szCs w:val="21"/>
              </w:rPr>
            </w:pPr>
            <w:r>
              <w:rPr>
                <w:rFonts w:hint="eastAsia" w:ascii="宋体" w:hAnsi="宋体" w:cs="宋体"/>
                <w:szCs w:val="21"/>
              </w:rPr>
              <w:t>4.未定期进行监督检查，扣2分；</w:t>
            </w:r>
          </w:p>
          <w:p>
            <w:pPr>
              <w:spacing w:line="280" w:lineRule="exact"/>
              <w:rPr>
                <w:rFonts w:ascii="宋体" w:hAnsi="宋体" w:cs="宋体"/>
                <w:szCs w:val="21"/>
              </w:rPr>
            </w:pPr>
            <w:r>
              <w:rPr>
                <w:rFonts w:hint="eastAsia" w:ascii="宋体" w:hAnsi="宋体" w:cs="宋体"/>
                <w:szCs w:val="21"/>
              </w:rPr>
              <w:t>5.未建立监督检查记录或记录不全，一项不符合扣1分。</w:t>
            </w:r>
          </w:p>
        </w:tc>
        <w:tc>
          <w:tcPr>
            <w:tcW w:w="1165" w:type="dxa"/>
            <w:vAlign w:val="center"/>
          </w:tcPr>
          <w:p>
            <w:pPr>
              <w:spacing w:line="280" w:lineRule="exact"/>
              <w:jc w:val="center"/>
              <w:rPr>
                <w:rFonts w:ascii="宋体" w:hAnsi="宋体" w:cs="宋体"/>
                <w:szCs w:val="21"/>
              </w:rPr>
            </w:pPr>
            <w:r>
              <w:rPr>
                <w:rFonts w:hint="eastAsia" w:ascii="宋体" w:hAnsi="宋体" w:cs="宋体"/>
                <w:szCs w:val="21"/>
              </w:rPr>
              <w:t>符合要求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771" w:type="dxa"/>
            <w:vMerge w:val="continue"/>
          </w:tcPr>
          <w:p>
            <w:pPr>
              <w:spacing w:line="280" w:lineRule="exact"/>
              <w:rPr>
                <w:rFonts w:ascii="宋体" w:hAnsi="宋体" w:cs="宋体"/>
                <w:b/>
                <w:bCs/>
                <w:szCs w:val="21"/>
              </w:rPr>
            </w:pPr>
          </w:p>
        </w:tc>
        <w:tc>
          <w:tcPr>
            <w:tcW w:w="709" w:type="dxa"/>
            <w:vMerge w:val="continue"/>
          </w:tcPr>
          <w:p>
            <w:pPr>
              <w:spacing w:line="280" w:lineRule="exact"/>
              <w:rPr>
                <w:rFonts w:ascii="宋体" w:hAnsi="宋体" w:cs="宋体"/>
                <w:b/>
                <w:bCs/>
                <w:szCs w:val="21"/>
              </w:rPr>
            </w:pPr>
          </w:p>
        </w:tc>
        <w:tc>
          <w:tcPr>
            <w:tcW w:w="2409" w:type="dxa"/>
          </w:tcPr>
          <w:p>
            <w:pPr>
              <w:spacing w:line="280" w:lineRule="exact"/>
              <w:rPr>
                <w:rFonts w:ascii="宋体" w:hAnsi="宋体" w:cs="宋体"/>
                <w:szCs w:val="21"/>
              </w:rPr>
            </w:pPr>
            <w:r>
              <w:rPr>
                <w:rFonts w:hint="eastAsia" w:ascii="宋体" w:hAnsi="宋体" w:cs="宋体"/>
                <w:szCs w:val="21"/>
              </w:rPr>
              <w:t>5.企业应制定关键装置、重点部位应急预案，至少每半年进行一次演练，确保关键装置、重点部位的操作、检修、仪表、电气等人员能够识别和及时处理各种事件及事故。</w:t>
            </w:r>
          </w:p>
        </w:tc>
        <w:tc>
          <w:tcPr>
            <w:tcW w:w="2268" w:type="dxa"/>
          </w:tcPr>
          <w:p>
            <w:pPr>
              <w:spacing w:line="280" w:lineRule="exact"/>
              <w:rPr>
                <w:rFonts w:ascii="宋体" w:hAnsi="宋体" w:cs="宋体"/>
                <w:szCs w:val="21"/>
              </w:rPr>
            </w:pPr>
            <w:r>
              <w:rPr>
                <w:rFonts w:hint="eastAsia" w:ascii="宋体" w:hAnsi="宋体" w:cs="宋体"/>
                <w:szCs w:val="21"/>
              </w:rPr>
              <w:t>1.制定关键装置、重点部位应急预案；</w:t>
            </w:r>
          </w:p>
          <w:p>
            <w:pPr>
              <w:spacing w:line="280" w:lineRule="exact"/>
              <w:rPr>
                <w:rFonts w:ascii="宋体" w:hAnsi="宋体" w:cs="宋体"/>
                <w:szCs w:val="21"/>
              </w:rPr>
            </w:pPr>
            <w:r>
              <w:rPr>
                <w:rFonts w:hint="eastAsia" w:ascii="宋体" w:hAnsi="宋体" w:cs="宋体"/>
                <w:szCs w:val="21"/>
              </w:rPr>
              <w:t>2.至少每半年进行一次演练，确保关键装置、重点部位的操作、检修、仪表、电气等人员能够识别和及时处理各种事件及事故。</w:t>
            </w:r>
          </w:p>
        </w:tc>
        <w:tc>
          <w:tcPr>
            <w:tcW w:w="2268" w:type="dxa"/>
          </w:tcPr>
          <w:p>
            <w:pPr>
              <w:spacing w:line="280" w:lineRule="exact"/>
              <w:rPr>
                <w:rFonts w:ascii="宋体" w:hAnsi="宋体" w:cs="宋体"/>
                <w:szCs w:val="21"/>
              </w:rPr>
            </w:pPr>
            <w:r>
              <w:rPr>
                <w:rFonts w:hint="eastAsia" w:ascii="宋体" w:hAnsi="宋体" w:cs="宋体"/>
                <w:szCs w:val="21"/>
              </w:rPr>
              <w:t>查文件：</w:t>
            </w:r>
          </w:p>
          <w:p>
            <w:pPr>
              <w:spacing w:line="280" w:lineRule="exact"/>
              <w:rPr>
                <w:rFonts w:ascii="宋体" w:hAnsi="宋体" w:cs="宋体"/>
                <w:szCs w:val="21"/>
              </w:rPr>
            </w:pPr>
            <w:r>
              <w:rPr>
                <w:rFonts w:hint="eastAsia" w:ascii="宋体" w:hAnsi="宋体" w:cs="宋体"/>
                <w:szCs w:val="21"/>
              </w:rPr>
              <w:t>1.关键装置、重点部位应急预案；</w:t>
            </w:r>
          </w:p>
          <w:p>
            <w:pPr>
              <w:spacing w:line="280" w:lineRule="exact"/>
              <w:rPr>
                <w:rFonts w:ascii="宋体" w:hAnsi="宋体" w:cs="宋体"/>
                <w:szCs w:val="21"/>
              </w:rPr>
            </w:pPr>
            <w:r>
              <w:rPr>
                <w:rFonts w:hint="eastAsia" w:ascii="宋体" w:hAnsi="宋体" w:cs="宋体"/>
                <w:szCs w:val="21"/>
              </w:rPr>
              <w:t>2.应急预案演练记录。</w:t>
            </w:r>
          </w:p>
          <w:p>
            <w:pPr>
              <w:spacing w:line="280" w:lineRule="exact"/>
              <w:rPr>
                <w:rFonts w:ascii="宋体" w:hAnsi="宋体" w:cs="宋体"/>
                <w:szCs w:val="21"/>
              </w:rPr>
            </w:pPr>
            <w:r>
              <w:rPr>
                <w:rFonts w:hint="eastAsia" w:ascii="宋体" w:hAnsi="宋体" w:cs="宋体"/>
                <w:szCs w:val="21"/>
              </w:rPr>
              <w:t>询问：</w:t>
            </w:r>
          </w:p>
          <w:p>
            <w:pPr>
              <w:spacing w:line="280" w:lineRule="exact"/>
              <w:rPr>
                <w:rFonts w:ascii="宋体" w:hAnsi="宋体" w:cs="宋体"/>
                <w:szCs w:val="21"/>
              </w:rPr>
            </w:pPr>
            <w:r>
              <w:rPr>
                <w:rFonts w:hint="eastAsia" w:ascii="宋体" w:hAnsi="宋体" w:cs="宋体"/>
                <w:szCs w:val="21"/>
              </w:rPr>
              <w:t>1.抽查岗位操作人员及机电仪人员对预案的掌握程度；</w:t>
            </w:r>
          </w:p>
          <w:p>
            <w:pPr>
              <w:spacing w:line="280" w:lineRule="exact"/>
              <w:rPr>
                <w:rFonts w:ascii="宋体" w:hAnsi="宋体" w:cs="宋体"/>
                <w:szCs w:val="21"/>
              </w:rPr>
            </w:pPr>
            <w:r>
              <w:rPr>
                <w:rFonts w:hint="eastAsia" w:ascii="宋体" w:hAnsi="宋体" w:cs="宋体"/>
                <w:szCs w:val="21"/>
              </w:rPr>
              <w:t>2.各种事件及事故处理措施。</w:t>
            </w:r>
          </w:p>
        </w:tc>
        <w:tc>
          <w:tcPr>
            <w:tcW w:w="1701" w:type="dxa"/>
          </w:tcPr>
          <w:p>
            <w:pPr>
              <w:spacing w:line="280" w:lineRule="exact"/>
              <w:rPr>
                <w:rFonts w:ascii="宋体" w:hAnsi="宋体" w:cs="宋体"/>
                <w:szCs w:val="21"/>
              </w:rPr>
            </w:pPr>
          </w:p>
        </w:tc>
        <w:tc>
          <w:tcPr>
            <w:tcW w:w="2268" w:type="dxa"/>
          </w:tcPr>
          <w:p>
            <w:pPr>
              <w:spacing w:line="280" w:lineRule="exact"/>
              <w:rPr>
                <w:rFonts w:ascii="宋体" w:hAnsi="宋体" w:cs="宋体"/>
                <w:szCs w:val="21"/>
              </w:rPr>
            </w:pPr>
            <w:r>
              <w:rPr>
                <w:rFonts w:hint="eastAsia" w:ascii="宋体" w:hAnsi="宋体" w:cs="宋体"/>
                <w:szCs w:val="21"/>
              </w:rPr>
              <w:t>1.关键装置、重点部位应急预案不全，每缺一项扣2分；</w:t>
            </w:r>
          </w:p>
          <w:p>
            <w:pPr>
              <w:spacing w:line="280" w:lineRule="exact"/>
              <w:rPr>
                <w:rFonts w:ascii="宋体" w:hAnsi="宋体" w:cs="宋体"/>
                <w:szCs w:val="21"/>
              </w:rPr>
            </w:pPr>
            <w:r>
              <w:rPr>
                <w:rFonts w:hint="eastAsia" w:ascii="宋体" w:hAnsi="宋体" w:cs="宋体"/>
                <w:szCs w:val="21"/>
              </w:rPr>
              <w:t>2.未进行演练或无演练记录或未对预案评审,一项扣2分；</w:t>
            </w:r>
          </w:p>
          <w:p>
            <w:pPr>
              <w:spacing w:line="280" w:lineRule="exact"/>
              <w:rPr>
                <w:rFonts w:ascii="宋体" w:hAnsi="宋体" w:cs="宋体"/>
                <w:szCs w:val="21"/>
              </w:rPr>
            </w:pPr>
            <w:r>
              <w:rPr>
                <w:rFonts w:hint="eastAsia" w:ascii="宋体" w:hAnsi="宋体" w:cs="宋体"/>
                <w:szCs w:val="21"/>
              </w:rPr>
              <w:t>3.有关人员对预案及各种事件、事故处理措施不熟练，1人次扣1分。</w:t>
            </w:r>
          </w:p>
        </w:tc>
        <w:tc>
          <w:tcPr>
            <w:tcW w:w="1165" w:type="dxa"/>
            <w:vAlign w:val="center"/>
          </w:tcPr>
          <w:p>
            <w:pPr>
              <w:spacing w:line="280" w:lineRule="exact"/>
              <w:jc w:val="center"/>
              <w:rPr>
                <w:rFonts w:ascii="宋体" w:hAnsi="宋体" w:cs="宋体"/>
                <w:szCs w:val="21"/>
              </w:rPr>
            </w:pPr>
            <w:r>
              <w:rPr>
                <w:rFonts w:hint="eastAsia" w:ascii="宋体" w:hAnsi="宋体" w:cs="宋体"/>
                <w:szCs w:val="21"/>
              </w:rPr>
              <w:t>符合要求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771" w:type="dxa"/>
            <w:vMerge w:val="continue"/>
          </w:tcPr>
          <w:p>
            <w:pPr>
              <w:spacing w:line="280" w:lineRule="exact"/>
              <w:rPr>
                <w:rFonts w:ascii="宋体" w:hAnsi="宋体" w:cs="宋体"/>
                <w:b/>
                <w:bCs/>
                <w:szCs w:val="21"/>
              </w:rPr>
            </w:pPr>
          </w:p>
        </w:tc>
        <w:tc>
          <w:tcPr>
            <w:tcW w:w="709" w:type="dxa"/>
            <w:vMerge w:val="continue"/>
          </w:tcPr>
          <w:p>
            <w:pPr>
              <w:spacing w:line="280" w:lineRule="exact"/>
              <w:rPr>
                <w:rFonts w:ascii="宋体" w:hAnsi="宋体" w:cs="宋体"/>
                <w:b/>
                <w:bCs/>
                <w:szCs w:val="21"/>
              </w:rPr>
            </w:pPr>
          </w:p>
        </w:tc>
        <w:tc>
          <w:tcPr>
            <w:tcW w:w="2409" w:type="dxa"/>
          </w:tcPr>
          <w:p>
            <w:pPr>
              <w:spacing w:line="280" w:lineRule="exact"/>
              <w:rPr>
                <w:rFonts w:ascii="宋体" w:hAnsi="宋体" w:cs="宋体"/>
                <w:szCs w:val="21"/>
              </w:rPr>
            </w:pPr>
            <w:r>
              <w:rPr>
                <w:rFonts w:hint="eastAsia" w:ascii="宋体" w:hAnsi="宋体" w:cs="宋体"/>
                <w:szCs w:val="21"/>
              </w:rPr>
              <w:t>6.企业关键装置、重点部位为重大危险源时，还应按2.5条执行。</w:t>
            </w:r>
          </w:p>
        </w:tc>
        <w:tc>
          <w:tcPr>
            <w:tcW w:w="2268" w:type="dxa"/>
          </w:tcPr>
          <w:p>
            <w:pPr>
              <w:spacing w:line="280" w:lineRule="exact"/>
              <w:rPr>
                <w:rFonts w:ascii="宋体" w:hAnsi="宋体" w:cs="宋体"/>
                <w:szCs w:val="21"/>
              </w:rPr>
            </w:pPr>
            <w:r>
              <w:rPr>
                <w:rFonts w:hint="eastAsia" w:ascii="宋体" w:hAnsi="宋体" w:cs="宋体"/>
                <w:szCs w:val="21"/>
              </w:rPr>
              <w:t>关键装置、重点部位为重大危险源时，还应按3.5条执行。</w:t>
            </w:r>
          </w:p>
        </w:tc>
        <w:tc>
          <w:tcPr>
            <w:tcW w:w="2268" w:type="dxa"/>
          </w:tcPr>
          <w:p>
            <w:pPr>
              <w:spacing w:line="280" w:lineRule="exact"/>
              <w:rPr>
                <w:rFonts w:ascii="宋体" w:hAnsi="宋体" w:cs="宋体"/>
                <w:szCs w:val="21"/>
              </w:rPr>
            </w:pPr>
            <w:r>
              <w:rPr>
                <w:rFonts w:hint="eastAsia" w:ascii="宋体" w:hAnsi="宋体" w:cs="宋体"/>
                <w:szCs w:val="21"/>
              </w:rPr>
              <w:t>按照3.5条评审</w:t>
            </w:r>
          </w:p>
        </w:tc>
        <w:tc>
          <w:tcPr>
            <w:tcW w:w="1701" w:type="dxa"/>
          </w:tcPr>
          <w:p>
            <w:pPr>
              <w:spacing w:line="280" w:lineRule="exact"/>
              <w:rPr>
                <w:rFonts w:ascii="宋体" w:hAnsi="宋体" w:cs="宋体"/>
                <w:szCs w:val="21"/>
              </w:rPr>
            </w:pPr>
          </w:p>
        </w:tc>
        <w:tc>
          <w:tcPr>
            <w:tcW w:w="2268" w:type="dxa"/>
          </w:tcPr>
          <w:p>
            <w:pPr>
              <w:spacing w:line="280" w:lineRule="exact"/>
              <w:rPr>
                <w:rFonts w:ascii="宋体" w:hAnsi="宋体" w:cs="宋体"/>
                <w:szCs w:val="21"/>
              </w:rPr>
            </w:pPr>
            <w:r>
              <w:rPr>
                <w:rFonts w:hint="eastAsia" w:ascii="宋体" w:hAnsi="宋体" w:cs="宋体"/>
                <w:szCs w:val="21"/>
              </w:rPr>
              <w:t>按照3.5条评审</w:t>
            </w:r>
          </w:p>
        </w:tc>
        <w:tc>
          <w:tcPr>
            <w:tcW w:w="1165" w:type="dxa"/>
            <w:vAlign w:val="center"/>
          </w:tcPr>
          <w:p>
            <w:pPr>
              <w:spacing w:line="280" w:lineRule="exact"/>
              <w:jc w:val="center"/>
              <w:rPr>
                <w:rFonts w:ascii="宋体" w:hAnsi="宋体" w:cs="宋体"/>
                <w:szCs w:val="21"/>
              </w:rPr>
            </w:pPr>
            <w:r>
              <w:rPr>
                <w:rFonts w:hint="eastAsia" w:ascii="宋体" w:hAnsi="宋体" w:cs="宋体"/>
                <w:szCs w:val="21"/>
              </w:rPr>
              <w:t>符合要求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771" w:type="dxa"/>
            <w:vMerge w:val="continue"/>
          </w:tcPr>
          <w:p>
            <w:pPr>
              <w:spacing w:line="280" w:lineRule="exact"/>
              <w:rPr>
                <w:rFonts w:ascii="宋体" w:hAnsi="宋体" w:cs="宋体"/>
                <w:b/>
                <w:bCs/>
                <w:szCs w:val="21"/>
              </w:rPr>
            </w:pPr>
          </w:p>
        </w:tc>
        <w:tc>
          <w:tcPr>
            <w:tcW w:w="709" w:type="dxa"/>
            <w:vMerge w:val="restart"/>
          </w:tcPr>
          <w:p>
            <w:pPr>
              <w:spacing w:line="280" w:lineRule="exact"/>
              <w:rPr>
                <w:rFonts w:ascii="宋体" w:hAnsi="宋体" w:cs="宋体"/>
                <w:b/>
                <w:bCs/>
                <w:szCs w:val="21"/>
                <w:lang w:val="zh-CN"/>
              </w:rPr>
            </w:pPr>
            <w:r>
              <w:rPr>
                <w:rFonts w:hint="eastAsia" w:ascii="宋体" w:hAnsi="宋体" w:cs="宋体"/>
                <w:b/>
                <w:bCs/>
                <w:szCs w:val="21"/>
                <w:lang w:val="zh-CN"/>
              </w:rPr>
              <w:t>6.6检维修</w:t>
            </w:r>
          </w:p>
          <w:p>
            <w:pPr>
              <w:spacing w:line="280" w:lineRule="exact"/>
              <w:rPr>
                <w:rFonts w:ascii="宋体" w:hAnsi="宋体" w:cs="宋体"/>
                <w:b/>
                <w:bCs/>
                <w:szCs w:val="21"/>
              </w:rPr>
            </w:pPr>
            <w:r>
              <w:rPr>
                <w:rFonts w:hint="eastAsia" w:ascii="宋体" w:hAnsi="宋体" w:cs="宋体"/>
                <w:b/>
                <w:bCs/>
                <w:szCs w:val="21"/>
                <w:lang w:val="zh-CN"/>
              </w:rPr>
              <w:t>（10分）</w:t>
            </w:r>
          </w:p>
        </w:tc>
        <w:tc>
          <w:tcPr>
            <w:tcW w:w="2409" w:type="dxa"/>
          </w:tcPr>
          <w:p>
            <w:pPr>
              <w:spacing w:line="280" w:lineRule="exact"/>
              <w:rPr>
                <w:rFonts w:ascii="宋体" w:hAnsi="宋体" w:cs="宋体"/>
                <w:szCs w:val="21"/>
              </w:rPr>
            </w:pPr>
            <w:r>
              <w:rPr>
                <w:rFonts w:hint="eastAsia" w:ascii="宋体" w:hAnsi="宋体" w:cs="宋体"/>
                <w:szCs w:val="21"/>
              </w:rPr>
              <w:t>1.企业应严格执行检维修管理制度，实行日常检维修和定期检维修管理。</w:t>
            </w:r>
          </w:p>
        </w:tc>
        <w:tc>
          <w:tcPr>
            <w:tcW w:w="2268" w:type="dxa"/>
          </w:tcPr>
          <w:p>
            <w:pPr>
              <w:spacing w:line="280" w:lineRule="exact"/>
              <w:rPr>
                <w:rFonts w:ascii="宋体" w:hAnsi="宋体" w:cs="宋体"/>
                <w:szCs w:val="21"/>
              </w:rPr>
            </w:pPr>
            <w:r>
              <w:rPr>
                <w:rFonts w:hint="eastAsia" w:ascii="宋体" w:hAnsi="宋体" w:cs="宋体"/>
                <w:szCs w:val="21"/>
              </w:rPr>
              <w:t>严格执行检维修管理制度，实行日常检维修和定期检维修管理。</w:t>
            </w:r>
          </w:p>
        </w:tc>
        <w:tc>
          <w:tcPr>
            <w:tcW w:w="2268" w:type="dxa"/>
          </w:tcPr>
          <w:p>
            <w:pPr>
              <w:spacing w:line="280" w:lineRule="exact"/>
              <w:rPr>
                <w:rFonts w:ascii="宋体" w:hAnsi="宋体" w:cs="宋体"/>
                <w:szCs w:val="21"/>
              </w:rPr>
            </w:pPr>
            <w:r>
              <w:rPr>
                <w:rFonts w:hint="eastAsia" w:ascii="宋体" w:hAnsi="宋体" w:cs="宋体"/>
                <w:szCs w:val="21"/>
              </w:rPr>
              <w:t>查文件：</w:t>
            </w:r>
          </w:p>
          <w:p>
            <w:pPr>
              <w:spacing w:line="280" w:lineRule="exact"/>
              <w:rPr>
                <w:rFonts w:ascii="宋体" w:hAnsi="宋体" w:cs="宋体"/>
                <w:szCs w:val="21"/>
              </w:rPr>
            </w:pPr>
            <w:r>
              <w:rPr>
                <w:rFonts w:hint="eastAsia" w:ascii="宋体" w:hAnsi="宋体" w:cs="宋体"/>
                <w:szCs w:val="21"/>
              </w:rPr>
              <w:t>1.设备检维修管理制度；</w:t>
            </w:r>
          </w:p>
          <w:p>
            <w:pPr>
              <w:spacing w:line="280" w:lineRule="exact"/>
              <w:rPr>
                <w:rFonts w:ascii="宋体" w:hAnsi="宋体" w:cs="宋体"/>
                <w:szCs w:val="21"/>
              </w:rPr>
            </w:pPr>
            <w:r>
              <w:rPr>
                <w:rFonts w:hint="eastAsia" w:ascii="宋体" w:hAnsi="宋体" w:cs="宋体"/>
                <w:szCs w:val="21"/>
              </w:rPr>
              <w:t>2.检维修记录。</w:t>
            </w:r>
          </w:p>
          <w:p>
            <w:pPr>
              <w:spacing w:line="280" w:lineRule="exact"/>
              <w:rPr>
                <w:rFonts w:ascii="宋体" w:hAnsi="宋体" w:cs="宋体"/>
                <w:szCs w:val="21"/>
              </w:rPr>
            </w:pPr>
            <w:r>
              <w:rPr>
                <w:rFonts w:hint="eastAsia" w:ascii="宋体" w:hAnsi="宋体" w:cs="宋体"/>
                <w:szCs w:val="21"/>
              </w:rPr>
              <w:t>现场检查：</w:t>
            </w:r>
          </w:p>
          <w:p>
            <w:pPr>
              <w:spacing w:line="280" w:lineRule="exact"/>
              <w:rPr>
                <w:rFonts w:ascii="宋体" w:hAnsi="宋体" w:cs="宋体"/>
                <w:szCs w:val="21"/>
              </w:rPr>
            </w:pPr>
            <w:r>
              <w:rPr>
                <w:rFonts w:hint="eastAsia" w:ascii="宋体" w:hAnsi="宋体" w:cs="宋体"/>
                <w:szCs w:val="21"/>
              </w:rPr>
              <w:t>现场检查或抽查设备状况。</w:t>
            </w:r>
          </w:p>
        </w:tc>
        <w:tc>
          <w:tcPr>
            <w:tcW w:w="1701" w:type="dxa"/>
          </w:tcPr>
          <w:p>
            <w:pPr>
              <w:spacing w:line="280" w:lineRule="exact"/>
              <w:rPr>
                <w:rFonts w:ascii="宋体" w:hAnsi="宋体" w:cs="宋体"/>
                <w:szCs w:val="21"/>
              </w:rPr>
            </w:pPr>
          </w:p>
        </w:tc>
        <w:tc>
          <w:tcPr>
            <w:tcW w:w="2268" w:type="dxa"/>
          </w:tcPr>
          <w:p>
            <w:pPr>
              <w:spacing w:line="280" w:lineRule="exact"/>
              <w:rPr>
                <w:rFonts w:ascii="宋体" w:hAnsi="宋体" w:cs="宋体"/>
                <w:szCs w:val="21"/>
              </w:rPr>
            </w:pPr>
            <w:r>
              <w:rPr>
                <w:rFonts w:hint="eastAsia" w:ascii="宋体" w:hAnsi="宋体" w:cs="宋体"/>
                <w:szCs w:val="21"/>
              </w:rPr>
              <w:t>1.未明确检维修时机、频次和审批程序，一项不扣1分；</w:t>
            </w:r>
          </w:p>
          <w:p>
            <w:pPr>
              <w:spacing w:line="280" w:lineRule="exact"/>
              <w:rPr>
                <w:rFonts w:ascii="宋体" w:hAnsi="宋体" w:cs="宋体"/>
                <w:szCs w:val="21"/>
              </w:rPr>
            </w:pPr>
            <w:r>
              <w:rPr>
                <w:rFonts w:hint="eastAsia" w:ascii="宋体" w:hAnsi="宋体" w:cs="宋体"/>
                <w:szCs w:val="21"/>
              </w:rPr>
              <w:t>2.未实行日常检维修和定期检维修管理，扣2分。</w:t>
            </w:r>
          </w:p>
        </w:tc>
        <w:tc>
          <w:tcPr>
            <w:tcW w:w="1165" w:type="dxa"/>
            <w:vAlign w:val="center"/>
          </w:tcPr>
          <w:p>
            <w:pPr>
              <w:spacing w:line="280" w:lineRule="exact"/>
              <w:jc w:val="center"/>
              <w:rPr>
                <w:rFonts w:ascii="宋体" w:hAnsi="宋体" w:cs="宋体"/>
                <w:szCs w:val="21"/>
              </w:rPr>
            </w:pPr>
            <w:r>
              <w:rPr>
                <w:rFonts w:hint="eastAsia" w:ascii="宋体" w:hAnsi="宋体" w:cs="宋体"/>
                <w:bCs/>
                <w:szCs w:val="21"/>
              </w:rPr>
              <w:t>车间氯化釜部分腐蚀严重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771" w:type="dxa"/>
            <w:vMerge w:val="continue"/>
          </w:tcPr>
          <w:p>
            <w:pPr>
              <w:spacing w:line="280" w:lineRule="exact"/>
              <w:rPr>
                <w:rFonts w:ascii="宋体" w:hAnsi="宋体" w:cs="宋体"/>
                <w:b/>
                <w:bCs/>
                <w:szCs w:val="21"/>
              </w:rPr>
            </w:pPr>
          </w:p>
        </w:tc>
        <w:tc>
          <w:tcPr>
            <w:tcW w:w="709" w:type="dxa"/>
            <w:vMerge w:val="continue"/>
          </w:tcPr>
          <w:p>
            <w:pPr>
              <w:spacing w:line="280" w:lineRule="exact"/>
              <w:rPr>
                <w:rFonts w:ascii="宋体" w:hAnsi="宋体" w:cs="宋体"/>
                <w:b/>
                <w:bCs/>
                <w:szCs w:val="21"/>
              </w:rPr>
            </w:pPr>
          </w:p>
        </w:tc>
        <w:tc>
          <w:tcPr>
            <w:tcW w:w="2409" w:type="dxa"/>
          </w:tcPr>
          <w:p>
            <w:pPr>
              <w:spacing w:line="280" w:lineRule="exact"/>
              <w:rPr>
                <w:rFonts w:ascii="宋体" w:hAnsi="宋体" w:cs="宋体"/>
                <w:szCs w:val="21"/>
              </w:rPr>
            </w:pPr>
            <w:r>
              <w:rPr>
                <w:rFonts w:hint="eastAsia" w:ascii="宋体" w:hAnsi="宋体" w:cs="宋体"/>
                <w:szCs w:val="21"/>
              </w:rPr>
              <w:t>2.企业应制订年度综合检维修计划，落实“五定”，即定检修方案、定检修人员、定安全措施、定检修质量、定检修进度原则。</w:t>
            </w:r>
          </w:p>
        </w:tc>
        <w:tc>
          <w:tcPr>
            <w:tcW w:w="2268" w:type="dxa"/>
          </w:tcPr>
          <w:p>
            <w:pPr>
              <w:spacing w:line="280" w:lineRule="exact"/>
              <w:rPr>
                <w:rFonts w:ascii="宋体" w:hAnsi="宋体" w:cs="宋体"/>
                <w:szCs w:val="21"/>
              </w:rPr>
            </w:pPr>
            <w:r>
              <w:rPr>
                <w:rFonts w:hint="eastAsia" w:ascii="宋体" w:hAnsi="宋体" w:cs="宋体"/>
                <w:szCs w:val="21"/>
              </w:rPr>
              <w:t>1.制订年度综合检维修计划；</w:t>
            </w:r>
          </w:p>
          <w:p>
            <w:pPr>
              <w:spacing w:line="280" w:lineRule="exact"/>
              <w:rPr>
                <w:rFonts w:ascii="宋体" w:hAnsi="宋体" w:cs="宋体"/>
                <w:szCs w:val="21"/>
              </w:rPr>
            </w:pPr>
            <w:r>
              <w:rPr>
                <w:rFonts w:hint="eastAsia" w:ascii="宋体" w:hAnsi="宋体" w:cs="宋体"/>
                <w:szCs w:val="21"/>
              </w:rPr>
              <w:t>2.落实“五定”，即定检修方案、定检修人员、定安全措施、定检修质量、定检修进度原则。</w:t>
            </w:r>
          </w:p>
        </w:tc>
        <w:tc>
          <w:tcPr>
            <w:tcW w:w="2268" w:type="dxa"/>
          </w:tcPr>
          <w:p>
            <w:pPr>
              <w:spacing w:line="280" w:lineRule="exact"/>
              <w:rPr>
                <w:rFonts w:ascii="宋体" w:hAnsi="宋体" w:cs="宋体"/>
                <w:szCs w:val="21"/>
              </w:rPr>
            </w:pPr>
            <w:r>
              <w:rPr>
                <w:rFonts w:hint="eastAsia" w:ascii="宋体" w:hAnsi="宋体" w:cs="宋体"/>
                <w:szCs w:val="21"/>
              </w:rPr>
              <w:t>查文件：</w:t>
            </w:r>
          </w:p>
          <w:p>
            <w:pPr>
              <w:spacing w:line="280" w:lineRule="exact"/>
              <w:rPr>
                <w:rFonts w:ascii="宋体" w:hAnsi="宋体" w:cs="宋体"/>
                <w:szCs w:val="21"/>
              </w:rPr>
            </w:pPr>
            <w:r>
              <w:rPr>
                <w:rFonts w:hint="eastAsia" w:ascii="宋体" w:hAnsi="宋体" w:cs="宋体"/>
                <w:szCs w:val="21"/>
              </w:rPr>
              <w:t>年度综合检维修计划。</w:t>
            </w:r>
          </w:p>
        </w:tc>
        <w:tc>
          <w:tcPr>
            <w:tcW w:w="1701" w:type="dxa"/>
          </w:tcPr>
          <w:p>
            <w:pPr>
              <w:spacing w:line="280" w:lineRule="exact"/>
              <w:rPr>
                <w:rFonts w:ascii="宋体" w:hAnsi="宋体" w:cs="宋体"/>
                <w:szCs w:val="21"/>
              </w:rPr>
            </w:pPr>
          </w:p>
        </w:tc>
        <w:tc>
          <w:tcPr>
            <w:tcW w:w="2268" w:type="dxa"/>
          </w:tcPr>
          <w:p>
            <w:pPr>
              <w:spacing w:line="280" w:lineRule="exact"/>
              <w:rPr>
                <w:rFonts w:ascii="宋体" w:hAnsi="宋体" w:cs="宋体"/>
                <w:szCs w:val="21"/>
              </w:rPr>
            </w:pPr>
            <w:r>
              <w:rPr>
                <w:rFonts w:hint="eastAsia" w:ascii="宋体" w:hAnsi="宋体" w:cs="宋体"/>
                <w:szCs w:val="21"/>
              </w:rPr>
              <w:t>1.未制定年度综合检维修计划，扣4分；</w:t>
            </w:r>
          </w:p>
          <w:p>
            <w:pPr>
              <w:spacing w:line="280" w:lineRule="exact"/>
              <w:rPr>
                <w:rFonts w:ascii="宋体" w:hAnsi="宋体" w:cs="宋体"/>
                <w:szCs w:val="21"/>
              </w:rPr>
            </w:pPr>
            <w:r>
              <w:rPr>
                <w:rFonts w:hint="eastAsia" w:ascii="宋体" w:hAnsi="宋体" w:cs="宋体"/>
                <w:szCs w:val="21"/>
              </w:rPr>
              <w:t>2.年度综合检维修计划未做到“五定”管理，一项扣1分。</w:t>
            </w:r>
          </w:p>
        </w:tc>
        <w:tc>
          <w:tcPr>
            <w:tcW w:w="1165" w:type="dxa"/>
            <w:vAlign w:val="center"/>
          </w:tcPr>
          <w:p>
            <w:pPr>
              <w:spacing w:line="280" w:lineRule="exact"/>
              <w:jc w:val="center"/>
              <w:rPr>
                <w:rFonts w:ascii="宋体" w:hAnsi="宋体" w:cs="宋体"/>
                <w:szCs w:val="21"/>
              </w:rPr>
            </w:pPr>
            <w:r>
              <w:rPr>
                <w:rFonts w:hint="eastAsia" w:ascii="宋体" w:hAnsi="宋体" w:cs="宋体"/>
                <w:szCs w:val="21"/>
              </w:rPr>
              <w:t>符合要求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771" w:type="dxa"/>
            <w:vMerge w:val="continue"/>
          </w:tcPr>
          <w:p>
            <w:pPr>
              <w:spacing w:line="280" w:lineRule="exact"/>
              <w:rPr>
                <w:rFonts w:ascii="宋体" w:hAnsi="宋体" w:cs="宋体"/>
                <w:b/>
                <w:bCs/>
                <w:szCs w:val="21"/>
              </w:rPr>
            </w:pPr>
          </w:p>
        </w:tc>
        <w:tc>
          <w:tcPr>
            <w:tcW w:w="709" w:type="dxa"/>
            <w:vMerge w:val="continue"/>
          </w:tcPr>
          <w:p>
            <w:pPr>
              <w:spacing w:line="280" w:lineRule="exact"/>
              <w:rPr>
                <w:rFonts w:ascii="宋体" w:hAnsi="宋体" w:cs="宋体"/>
                <w:b/>
                <w:bCs/>
                <w:szCs w:val="21"/>
              </w:rPr>
            </w:pPr>
          </w:p>
        </w:tc>
        <w:tc>
          <w:tcPr>
            <w:tcW w:w="2409" w:type="dxa"/>
          </w:tcPr>
          <w:p>
            <w:pPr>
              <w:spacing w:line="280" w:lineRule="exact"/>
              <w:rPr>
                <w:rFonts w:ascii="宋体" w:hAnsi="宋体" w:cs="宋体"/>
                <w:szCs w:val="21"/>
              </w:rPr>
            </w:pPr>
            <w:r>
              <w:rPr>
                <w:rFonts w:hint="eastAsia" w:ascii="宋体" w:hAnsi="宋体" w:cs="宋体"/>
                <w:szCs w:val="21"/>
              </w:rPr>
              <w:t>3.企业在进行检维修作业时，应执行下列程序：</w:t>
            </w:r>
          </w:p>
          <w:p>
            <w:pPr>
              <w:spacing w:line="280" w:lineRule="exact"/>
              <w:rPr>
                <w:rFonts w:ascii="宋体" w:hAnsi="宋体" w:cs="宋体"/>
                <w:szCs w:val="21"/>
              </w:rPr>
            </w:pPr>
            <w:r>
              <w:rPr>
                <w:rFonts w:hint="eastAsia" w:ascii="宋体" w:hAnsi="宋体" w:cs="宋体"/>
                <w:szCs w:val="21"/>
              </w:rPr>
              <w:t>（1）检维修前：</w:t>
            </w:r>
          </w:p>
          <w:p>
            <w:pPr>
              <w:spacing w:line="280" w:lineRule="exact"/>
              <w:rPr>
                <w:rFonts w:ascii="宋体" w:hAnsi="宋体" w:cs="宋体"/>
                <w:szCs w:val="21"/>
              </w:rPr>
            </w:pPr>
            <w:r>
              <w:rPr>
                <w:rFonts w:hint="eastAsia" w:ascii="宋体" w:hAnsi="宋体" w:cs="宋体"/>
                <w:szCs w:val="21"/>
              </w:rPr>
              <w:t>1）进行危险、有害因素识别；</w:t>
            </w:r>
          </w:p>
          <w:p>
            <w:pPr>
              <w:spacing w:line="280" w:lineRule="exact"/>
              <w:rPr>
                <w:rFonts w:ascii="宋体" w:hAnsi="宋体" w:cs="宋体"/>
                <w:szCs w:val="21"/>
              </w:rPr>
            </w:pPr>
            <w:r>
              <w:rPr>
                <w:rFonts w:hint="eastAsia" w:ascii="宋体" w:hAnsi="宋体" w:cs="宋体"/>
                <w:szCs w:val="21"/>
              </w:rPr>
              <w:t>2）编制检维修方案；</w:t>
            </w:r>
          </w:p>
          <w:p>
            <w:pPr>
              <w:spacing w:line="280" w:lineRule="exact"/>
              <w:rPr>
                <w:rFonts w:ascii="宋体" w:hAnsi="宋体" w:cs="宋体"/>
                <w:szCs w:val="21"/>
              </w:rPr>
            </w:pPr>
            <w:r>
              <w:rPr>
                <w:rFonts w:hint="eastAsia" w:ascii="宋体" w:hAnsi="宋体" w:cs="宋体"/>
                <w:szCs w:val="21"/>
              </w:rPr>
              <w:t>3）办理工艺、设备设施交付检维修手续；</w:t>
            </w:r>
          </w:p>
          <w:p>
            <w:pPr>
              <w:spacing w:line="280" w:lineRule="exact"/>
              <w:rPr>
                <w:rFonts w:ascii="宋体" w:hAnsi="宋体" w:cs="宋体"/>
                <w:szCs w:val="21"/>
              </w:rPr>
            </w:pPr>
            <w:r>
              <w:rPr>
                <w:rFonts w:hint="eastAsia" w:ascii="宋体" w:hAnsi="宋体" w:cs="宋体"/>
                <w:szCs w:val="21"/>
              </w:rPr>
              <w:t>4）对检维修人员进行安全培训教育；</w:t>
            </w:r>
          </w:p>
          <w:p>
            <w:pPr>
              <w:spacing w:line="280" w:lineRule="exact"/>
              <w:rPr>
                <w:rFonts w:ascii="宋体" w:hAnsi="宋体" w:cs="宋体"/>
                <w:szCs w:val="21"/>
              </w:rPr>
            </w:pPr>
            <w:r>
              <w:rPr>
                <w:rFonts w:hint="eastAsia" w:ascii="宋体" w:hAnsi="宋体" w:cs="宋体"/>
                <w:szCs w:val="21"/>
              </w:rPr>
              <w:t>5）检维修前对安全控制措施进行确认；</w:t>
            </w:r>
          </w:p>
          <w:p>
            <w:pPr>
              <w:spacing w:line="280" w:lineRule="exact"/>
              <w:rPr>
                <w:rFonts w:ascii="宋体" w:hAnsi="宋体" w:cs="宋体"/>
                <w:szCs w:val="21"/>
              </w:rPr>
            </w:pPr>
            <w:r>
              <w:rPr>
                <w:rFonts w:hint="eastAsia" w:ascii="宋体" w:hAnsi="宋体" w:cs="宋体"/>
                <w:szCs w:val="21"/>
              </w:rPr>
              <w:t>6）为检维修作业人员配备适当的劳动保护用品；</w:t>
            </w:r>
          </w:p>
          <w:p>
            <w:pPr>
              <w:spacing w:line="280" w:lineRule="exact"/>
              <w:rPr>
                <w:rFonts w:ascii="宋体" w:hAnsi="宋体" w:cs="宋体"/>
                <w:szCs w:val="21"/>
              </w:rPr>
            </w:pPr>
            <w:r>
              <w:rPr>
                <w:rFonts w:hint="eastAsia" w:ascii="宋体" w:hAnsi="宋体" w:cs="宋体"/>
                <w:szCs w:val="21"/>
              </w:rPr>
              <w:t>7）办理各种作业许可证。</w:t>
            </w:r>
          </w:p>
          <w:p>
            <w:pPr>
              <w:spacing w:line="280" w:lineRule="exact"/>
              <w:rPr>
                <w:rFonts w:ascii="宋体" w:hAnsi="宋体" w:cs="宋体"/>
                <w:szCs w:val="21"/>
              </w:rPr>
            </w:pPr>
            <w:r>
              <w:rPr>
                <w:rFonts w:hint="eastAsia" w:ascii="宋体" w:hAnsi="宋体" w:cs="宋体"/>
                <w:szCs w:val="21"/>
              </w:rPr>
              <w:t>（2）对检维修现场进行安全检查。</w:t>
            </w:r>
          </w:p>
          <w:p>
            <w:pPr>
              <w:spacing w:line="280" w:lineRule="exact"/>
              <w:rPr>
                <w:rFonts w:ascii="宋体" w:hAnsi="宋体" w:cs="宋体"/>
                <w:szCs w:val="21"/>
              </w:rPr>
            </w:pPr>
            <w:r>
              <w:rPr>
                <w:rFonts w:hint="eastAsia" w:ascii="宋体" w:hAnsi="宋体" w:cs="宋体"/>
                <w:szCs w:val="21"/>
              </w:rPr>
              <w:t>（3）检维修后办理检维修交付生产手续。</w:t>
            </w:r>
          </w:p>
        </w:tc>
        <w:tc>
          <w:tcPr>
            <w:tcW w:w="2268" w:type="dxa"/>
          </w:tcPr>
          <w:p>
            <w:pPr>
              <w:spacing w:line="280" w:lineRule="exact"/>
              <w:rPr>
                <w:rFonts w:ascii="宋体" w:hAnsi="宋体" w:cs="宋体"/>
                <w:szCs w:val="21"/>
              </w:rPr>
            </w:pPr>
            <w:r>
              <w:rPr>
                <w:rFonts w:hint="eastAsia" w:ascii="宋体" w:hAnsi="宋体" w:cs="宋体"/>
                <w:szCs w:val="21"/>
              </w:rPr>
              <w:t>在进行检维修作业时，应执行下列程序：</w:t>
            </w:r>
          </w:p>
          <w:p>
            <w:pPr>
              <w:spacing w:line="280" w:lineRule="exact"/>
              <w:rPr>
                <w:rFonts w:ascii="宋体" w:hAnsi="宋体" w:cs="宋体"/>
                <w:szCs w:val="21"/>
              </w:rPr>
            </w:pPr>
            <w:r>
              <w:rPr>
                <w:rFonts w:hint="eastAsia" w:ascii="宋体" w:hAnsi="宋体" w:cs="宋体"/>
                <w:szCs w:val="21"/>
              </w:rPr>
              <w:t>（1）检维修前：</w:t>
            </w:r>
          </w:p>
          <w:p>
            <w:pPr>
              <w:spacing w:line="280" w:lineRule="exact"/>
              <w:rPr>
                <w:rFonts w:ascii="宋体" w:hAnsi="宋体" w:cs="宋体"/>
                <w:szCs w:val="21"/>
              </w:rPr>
            </w:pPr>
            <w:r>
              <w:rPr>
                <w:rFonts w:hint="eastAsia" w:ascii="宋体" w:hAnsi="宋体" w:cs="宋体"/>
                <w:szCs w:val="21"/>
              </w:rPr>
              <w:t>1）进行危险、有害因素识别；</w:t>
            </w:r>
          </w:p>
          <w:p>
            <w:pPr>
              <w:spacing w:line="280" w:lineRule="exact"/>
              <w:rPr>
                <w:rFonts w:ascii="宋体" w:hAnsi="宋体" w:cs="宋体"/>
                <w:szCs w:val="21"/>
              </w:rPr>
            </w:pPr>
            <w:r>
              <w:rPr>
                <w:rFonts w:hint="eastAsia" w:ascii="宋体" w:hAnsi="宋体" w:cs="宋体"/>
                <w:szCs w:val="21"/>
              </w:rPr>
              <w:t>2）编制检维修方案；</w:t>
            </w:r>
          </w:p>
          <w:p>
            <w:pPr>
              <w:spacing w:line="280" w:lineRule="exact"/>
              <w:rPr>
                <w:rFonts w:ascii="宋体" w:hAnsi="宋体" w:cs="宋体"/>
                <w:szCs w:val="21"/>
              </w:rPr>
            </w:pPr>
            <w:r>
              <w:rPr>
                <w:rFonts w:hint="eastAsia" w:ascii="宋体" w:hAnsi="宋体" w:cs="宋体"/>
                <w:szCs w:val="21"/>
              </w:rPr>
              <w:t>3）办理工艺、设备设施交付检维修手续；</w:t>
            </w:r>
          </w:p>
          <w:p>
            <w:pPr>
              <w:spacing w:line="280" w:lineRule="exact"/>
              <w:rPr>
                <w:rFonts w:ascii="宋体" w:hAnsi="宋体" w:cs="宋体"/>
                <w:szCs w:val="21"/>
              </w:rPr>
            </w:pPr>
            <w:r>
              <w:rPr>
                <w:rFonts w:hint="eastAsia" w:ascii="宋体" w:hAnsi="宋体" w:cs="宋体"/>
                <w:szCs w:val="21"/>
              </w:rPr>
              <w:t>4）对检维修人员进行安全培训教育；</w:t>
            </w:r>
          </w:p>
          <w:p>
            <w:pPr>
              <w:spacing w:line="280" w:lineRule="exact"/>
              <w:rPr>
                <w:rFonts w:ascii="宋体" w:hAnsi="宋体" w:cs="宋体"/>
                <w:szCs w:val="21"/>
              </w:rPr>
            </w:pPr>
            <w:r>
              <w:rPr>
                <w:rFonts w:hint="eastAsia" w:ascii="宋体" w:hAnsi="宋体" w:cs="宋体"/>
                <w:szCs w:val="21"/>
              </w:rPr>
              <w:t>5）检维修前对安全控制措施进行确认；</w:t>
            </w:r>
          </w:p>
          <w:p>
            <w:pPr>
              <w:spacing w:line="280" w:lineRule="exact"/>
              <w:rPr>
                <w:rFonts w:ascii="宋体" w:hAnsi="宋体" w:cs="宋体"/>
                <w:szCs w:val="21"/>
              </w:rPr>
            </w:pPr>
            <w:r>
              <w:rPr>
                <w:rFonts w:hint="eastAsia" w:ascii="宋体" w:hAnsi="宋体" w:cs="宋体"/>
                <w:szCs w:val="21"/>
              </w:rPr>
              <w:t>6）为检维修作业人员配备适当的劳动保护用品；</w:t>
            </w:r>
          </w:p>
          <w:p>
            <w:pPr>
              <w:spacing w:line="280" w:lineRule="exact"/>
              <w:rPr>
                <w:rFonts w:ascii="宋体" w:hAnsi="宋体" w:cs="宋体"/>
                <w:szCs w:val="21"/>
              </w:rPr>
            </w:pPr>
            <w:r>
              <w:rPr>
                <w:rFonts w:hint="eastAsia" w:ascii="宋体" w:hAnsi="宋体" w:cs="宋体"/>
                <w:szCs w:val="21"/>
              </w:rPr>
              <w:t>7）办理各种作业许可证。</w:t>
            </w:r>
          </w:p>
          <w:p>
            <w:pPr>
              <w:spacing w:line="280" w:lineRule="exact"/>
              <w:rPr>
                <w:rFonts w:ascii="宋体" w:hAnsi="宋体" w:cs="宋体"/>
                <w:szCs w:val="21"/>
              </w:rPr>
            </w:pPr>
            <w:r>
              <w:rPr>
                <w:rFonts w:hint="eastAsia" w:ascii="宋体" w:hAnsi="宋体" w:cs="宋体"/>
                <w:szCs w:val="21"/>
              </w:rPr>
              <w:t>（2）对检维修现场进</w:t>
            </w:r>
          </w:p>
          <w:p>
            <w:pPr>
              <w:spacing w:line="280" w:lineRule="exact"/>
              <w:rPr>
                <w:rFonts w:ascii="宋体" w:hAnsi="宋体" w:cs="宋体"/>
                <w:szCs w:val="21"/>
              </w:rPr>
            </w:pPr>
            <w:r>
              <w:rPr>
                <w:rFonts w:hint="eastAsia" w:ascii="宋体" w:hAnsi="宋体" w:cs="宋体"/>
                <w:szCs w:val="21"/>
              </w:rPr>
              <w:t>行安全检查。</w:t>
            </w:r>
          </w:p>
          <w:p>
            <w:pPr>
              <w:spacing w:line="280" w:lineRule="exact"/>
              <w:rPr>
                <w:rFonts w:ascii="宋体" w:hAnsi="宋体" w:cs="宋体"/>
                <w:szCs w:val="21"/>
              </w:rPr>
            </w:pPr>
            <w:r>
              <w:rPr>
                <w:rFonts w:hint="eastAsia" w:ascii="宋体" w:hAnsi="宋体" w:cs="宋体"/>
                <w:szCs w:val="21"/>
              </w:rPr>
              <w:t>（3）检维修后办理检维修交付生产手续。</w:t>
            </w:r>
          </w:p>
        </w:tc>
        <w:tc>
          <w:tcPr>
            <w:tcW w:w="2268" w:type="dxa"/>
          </w:tcPr>
          <w:p>
            <w:pPr>
              <w:spacing w:line="280" w:lineRule="exact"/>
              <w:rPr>
                <w:rFonts w:ascii="宋体" w:hAnsi="宋体" w:cs="宋体"/>
                <w:szCs w:val="21"/>
              </w:rPr>
            </w:pPr>
            <w:r>
              <w:rPr>
                <w:rFonts w:hint="eastAsia" w:ascii="宋体" w:hAnsi="宋体" w:cs="宋体"/>
                <w:szCs w:val="21"/>
              </w:rPr>
              <w:t>查文件：</w:t>
            </w:r>
          </w:p>
          <w:p>
            <w:pPr>
              <w:spacing w:line="280" w:lineRule="exact"/>
              <w:rPr>
                <w:rFonts w:ascii="宋体" w:hAnsi="宋体" w:cs="宋体"/>
                <w:szCs w:val="21"/>
              </w:rPr>
            </w:pPr>
            <w:r>
              <w:rPr>
                <w:rFonts w:hint="eastAsia" w:ascii="宋体" w:hAnsi="宋体" w:cs="宋体"/>
                <w:szCs w:val="21"/>
              </w:rPr>
              <w:t>1.检维修风险分析记录；</w:t>
            </w:r>
          </w:p>
          <w:p>
            <w:pPr>
              <w:spacing w:line="280" w:lineRule="exact"/>
              <w:rPr>
                <w:rFonts w:ascii="宋体" w:hAnsi="宋体" w:cs="宋体"/>
                <w:szCs w:val="21"/>
              </w:rPr>
            </w:pPr>
            <w:r>
              <w:rPr>
                <w:rFonts w:hint="eastAsia" w:ascii="宋体" w:hAnsi="宋体" w:cs="宋体"/>
                <w:szCs w:val="21"/>
              </w:rPr>
              <w:t>2.检维修方案；</w:t>
            </w:r>
          </w:p>
          <w:p>
            <w:pPr>
              <w:spacing w:line="280" w:lineRule="exact"/>
              <w:rPr>
                <w:rFonts w:ascii="宋体" w:hAnsi="宋体" w:cs="宋体"/>
                <w:szCs w:val="21"/>
              </w:rPr>
            </w:pPr>
            <w:r>
              <w:rPr>
                <w:rFonts w:hint="eastAsia" w:ascii="宋体" w:hAnsi="宋体" w:cs="宋体"/>
                <w:szCs w:val="21"/>
              </w:rPr>
              <w:t>3.工艺、设备设施交付检维修手续；</w:t>
            </w:r>
          </w:p>
          <w:p>
            <w:pPr>
              <w:spacing w:line="280" w:lineRule="exact"/>
              <w:rPr>
                <w:rFonts w:ascii="宋体" w:hAnsi="宋体" w:cs="宋体"/>
                <w:szCs w:val="21"/>
              </w:rPr>
            </w:pPr>
            <w:r>
              <w:rPr>
                <w:rFonts w:hint="eastAsia" w:ascii="宋体" w:hAnsi="宋体" w:cs="宋体"/>
                <w:szCs w:val="21"/>
              </w:rPr>
              <w:t>4.检维修人员安全培训教育记录；</w:t>
            </w:r>
          </w:p>
          <w:p>
            <w:pPr>
              <w:spacing w:line="280" w:lineRule="exact"/>
              <w:rPr>
                <w:rFonts w:ascii="宋体" w:hAnsi="宋体" w:cs="宋体"/>
                <w:szCs w:val="21"/>
              </w:rPr>
            </w:pPr>
            <w:r>
              <w:rPr>
                <w:rFonts w:hint="eastAsia" w:ascii="宋体" w:hAnsi="宋体" w:cs="宋体"/>
                <w:szCs w:val="21"/>
              </w:rPr>
              <w:t>5.相应作业许可证及安全控制措施；</w:t>
            </w:r>
          </w:p>
          <w:p>
            <w:pPr>
              <w:spacing w:line="280" w:lineRule="exact"/>
              <w:rPr>
                <w:rFonts w:ascii="宋体" w:hAnsi="宋体" w:cs="宋体"/>
                <w:szCs w:val="21"/>
              </w:rPr>
            </w:pPr>
            <w:r>
              <w:rPr>
                <w:rFonts w:hint="eastAsia" w:ascii="宋体" w:hAnsi="宋体" w:cs="宋体"/>
                <w:szCs w:val="21"/>
              </w:rPr>
              <w:t>6.对检维修作业现场进行安全检查的记录；</w:t>
            </w:r>
          </w:p>
          <w:p>
            <w:pPr>
              <w:spacing w:line="280" w:lineRule="exact"/>
              <w:rPr>
                <w:rFonts w:ascii="宋体" w:hAnsi="宋体" w:cs="宋体"/>
                <w:szCs w:val="21"/>
              </w:rPr>
            </w:pPr>
            <w:r>
              <w:rPr>
                <w:rFonts w:hint="eastAsia" w:ascii="宋体" w:hAnsi="宋体" w:cs="宋体"/>
                <w:szCs w:val="21"/>
              </w:rPr>
              <w:t>7.检维修交付生产手续等。</w:t>
            </w:r>
          </w:p>
          <w:p>
            <w:pPr>
              <w:spacing w:line="280" w:lineRule="exact"/>
              <w:rPr>
                <w:rFonts w:ascii="宋体" w:hAnsi="宋体" w:cs="宋体"/>
                <w:szCs w:val="21"/>
              </w:rPr>
            </w:pPr>
            <w:r>
              <w:rPr>
                <w:rFonts w:hint="eastAsia" w:ascii="宋体" w:hAnsi="宋体" w:cs="宋体"/>
                <w:szCs w:val="21"/>
              </w:rPr>
              <w:t>现场检查：</w:t>
            </w:r>
          </w:p>
          <w:p>
            <w:pPr>
              <w:spacing w:line="280" w:lineRule="exact"/>
              <w:rPr>
                <w:rFonts w:ascii="宋体" w:hAnsi="宋体" w:cs="宋体"/>
                <w:szCs w:val="21"/>
              </w:rPr>
            </w:pPr>
            <w:r>
              <w:rPr>
                <w:rFonts w:hint="eastAsia" w:ascii="宋体" w:hAnsi="宋体" w:cs="宋体"/>
                <w:szCs w:val="21"/>
              </w:rPr>
              <w:t>1.检维修作业人员配备劳动保护用品情况；</w:t>
            </w:r>
          </w:p>
          <w:p>
            <w:pPr>
              <w:spacing w:line="280" w:lineRule="exact"/>
              <w:rPr>
                <w:rFonts w:ascii="宋体" w:hAnsi="宋体" w:cs="宋体"/>
                <w:szCs w:val="21"/>
              </w:rPr>
            </w:pPr>
            <w:r>
              <w:rPr>
                <w:rFonts w:hint="eastAsia" w:ascii="宋体" w:hAnsi="宋体" w:cs="宋体"/>
                <w:szCs w:val="21"/>
              </w:rPr>
              <w:t>2.检维修作业现场的安全管理。</w:t>
            </w:r>
          </w:p>
        </w:tc>
        <w:tc>
          <w:tcPr>
            <w:tcW w:w="1701" w:type="dxa"/>
          </w:tcPr>
          <w:p>
            <w:pPr>
              <w:spacing w:line="280" w:lineRule="exact"/>
              <w:rPr>
                <w:rFonts w:ascii="宋体" w:hAnsi="宋体" w:cs="宋体"/>
                <w:szCs w:val="21"/>
              </w:rPr>
            </w:pPr>
            <w:r>
              <w:rPr>
                <w:rFonts w:hint="eastAsia" w:ascii="宋体" w:hAnsi="宋体" w:cs="宋体"/>
                <w:szCs w:val="21"/>
              </w:rPr>
              <w:t>1.未制定检维修方案，扣10分（B级要素否决项）；</w:t>
            </w:r>
          </w:p>
          <w:p>
            <w:pPr>
              <w:spacing w:line="280" w:lineRule="exact"/>
              <w:rPr>
                <w:rFonts w:ascii="宋体" w:hAnsi="宋体" w:cs="宋体"/>
                <w:szCs w:val="21"/>
              </w:rPr>
            </w:pPr>
            <w:r>
              <w:rPr>
                <w:rFonts w:hint="eastAsia" w:ascii="宋体" w:hAnsi="宋体" w:cs="宋体"/>
                <w:szCs w:val="21"/>
              </w:rPr>
              <w:t>2.未办理检维修前工艺、设备设施交付检维修或检维修后检维修交付生产手续，扣10分（B级要素否决项）。</w:t>
            </w:r>
          </w:p>
        </w:tc>
        <w:tc>
          <w:tcPr>
            <w:tcW w:w="2268" w:type="dxa"/>
          </w:tcPr>
          <w:p>
            <w:pPr>
              <w:spacing w:line="280" w:lineRule="exact"/>
              <w:rPr>
                <w:rFonts w:ascii="宋体" w:hAnsi="宋体" w:cs="宋体"/>
                <w:szCs w:val="21"/>
              </w:rPr>
            </w:pPr>
            <w:r>
              <w:rPr>
                <w:rFonts w:hint="eastAsia" w:ascii="宋体" w:hAnsi="宋体" w:cs="宋体"/>
                <w:szCs w:val="21"/>
              </w:rPr>
              <w:t>1.未对检维修进行风险分析，一项不符合扣1分；</w:t>
            </w:r>
          </w:p>
          <w:p>
            <w:pPr>
              <w:spacing w:line="280" w:lineRule="exact"/>
              <w:rPr>
                <w:rFonts w:ascii="宋体" w:hAnsi="宋体" w:cs="宋体"/>
                <w:szCs w:val="21"/>
              </w:rPr>
            </w:pPr>
            <w:r>
              <w:rPr>
                <w:rFonts w:hint="eastAsia" w:ascii="宋体" w:hAnsi="宋体" w:cs="宋体"/>
                <w:szCs w:val="21"/>
              </w:rPr>
              <w:t>2.未对检修人员进行安全培训教育，1人次扣1分；</w:t>
            </w:r>
          </w:p>
          <w:p>
            <w:pPr>
              <w:spacing w:line="280" w:lineRule="exact"/>
              <w:rPr>
                <w:rFonts w:ascii="宋体" w:hAnsi="宋体" w:cs="宋体"/>
                <w:szCs w:val="21"/>
              </w:rPr>
            </w:pPr>
            <w:r>
              <w:rPr>
                <w:rFonts w:hint="eastAsia" w:ascii="宋体" w:hAnsi="宋体" w:cs="宋体"/>
                <w:szCs w:val="21"/>
              </w:rPr>
              <w:t>3.检维修相应作业票证未办理或办理不符合要求，或检修前未对安全控制措施进行确认，一项不符合扣5分；</w:t>
            </w:r>
          </w:p>
          <w:p>
            <w:pPr>
              <w:spacing w:line="280" w:lineRule="exact"/>
              <w:rPr>
                <w:rFonts w:ascii="宋体" w:hAnsi="宋体" w:cs="宋体"/>
                <w:szCs w:val="21"/>
              </w:rPr>
            </w:pPr>
            <w:r>
              <w:rPr>
                <w:rFonts w:hint="eastAsia" w:ascii="宋体" w:hAnsi="宋体" w:cs="宋体"/>
                <w:szCs w:val="21"/>
              </w:rPr>
              <w:t>4.检维修作业人员未按规定配备或使用劳动保护用品，1人次扣1分；</w:t>
            </w:r>
          </w:p>
          <w:p>
            <w:pPr>
              <w:spacing w:line="280" w:lineRule="exact"/>
              <w:rPr>
                <w:rFonts w:ascii="宋体" w:hAnsi="宋体" w:cs="宋体"/>
                <w:szCs w:val="21"/>
              </w:rPr>
            </w:pPr>
            <w:r>
              <w:rPr>
                <w:rFonts w:hint="eastAsia" w:ascii="宋体" w:hAnsi="宋体" w:cs="宋体"/>
                <w:szCs w:val="21"/>
              </w:rPr>
              <w:t>5.安全生产管理人员未对检维修现场进行安全检查，扣2分；</w:t>
            </w:r>
          </w:p>
          <w:p>
            <w:pPr>
              <w:spacing w:line="280" w:lineRule="exact"/>
              <w:rPr>
                <w:rFonts w:ascii="宋体" w:hAnsi="宋体" w:cs="宋体"/>
                <w:szCs w:val="21"/>
              </w:rPr>
            </w:pPr>
            <w:r>
              <w:rPr>
                <w:rFonts w:hint="eastAsia" w:ascii="宋体" w:hAnsi="宋体" w:cs="宋体"/>
                <w:szCs w:val="21"/>
              </w:rPr>
              <w:t>6.检维修现场一项不符合扣1分。</w:t>
            </w:r>
          </w:p>
        </w:tc>
        <w:tc>
          <w:tcPr>
            <w:tcW w:w="1165" w:type="dxa"/>
            <w:vAlign w:val="center"/>
          </w:tcPr>
          <w:p>
            <w:pPr>
              <w:spacing w:line="280" w:lineRule="exact"/>
              <w:jc w:val="center"/>
              <w:rPr>
                <w:rFonts w:ascii="宋体" w:hAnsi="宋体" w:cs="宋体"/>
                <w:szCs w:val="21"/>
              </w:rPr>
            </w:pPr>
            <w:r>
              <w:rPr>
                <w:rFonts w:hint="eastAsia" w:ascii="宋体" w:hAnsi="宋体" w:cs="宋体"/>
                <w:szCs w:val="21"/>
              </w:rPr>
              <w:t>符合要求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771" w:type="dxa"/>
            <w:vMerge w:val="continue"/>
          </w:tcPr>
          <w:p>
            <w:pPr>
              <w:spacing w:line="280" w:lineRule="exact"/>
              <w:rPr>
                <w:rFonts w:ascii="宋体" w:hAnsi="宋体" w:cs="宋体"/>
                <w:b/>
                <w:bCs/>
                <w:szCs w:val="21"/>
              </w:rPr>
            </w:pPr>
          </w:p>
        </w:tc>
        <w:tc>
          <w:tcPr>
            <w:tcW w:w="709" w:type="dxa"/>
            <w:vMerge w:val="restart"/>
          </w:tcPr>
          <w:p>
            <w:pPr>
              <w:spacing w:line="280" w:lineRule="exact"/>
              <w:rPr>
                <w:rFonts w:ascii="宋体" w:hAnsi="宋体" w:cs="宋体"/>
                <w:b/>
                <w:bCs/>
                <w:szCs w:val="21"/>
                <w:lang w:val="zh-CN"/>
              </w:rPr>
            </w:pPr>
            <w:r>
              <w:rPr>
                <w:rFonts w:hint="eastAsia" w:ascii="宋体" w:hAnsi="宋体" w:cs="宋体"/>
                <w:b/>
                <w:bCs/>
                <w:szCs w:val="21"/>
                <w:lang w:val="zh-CN"/>
              </w:rPr>
              <w:t>6.7拆除和报废</w:t>
            </w:r>
          </w:p>
          <w:p>
            <w:pPr>
              <w:spacing w:line="280" w:lineRule="exact"/>
              <w:rPr>
                <w:rFonts w:ascii="宋体" w:hAnsi="宋体" w:cs="宋体"/>
                <w:b/>
                <w:bCs/>
                <w:szCs w:val="21"/>
              </w:rPr>
            </w:pPr>
            <w:r>
              <w:rPr>
                <w:rFonts w:hint="eastAsia" w:ascii="宋体" w:hAnsi="宋体" w:cs="宋体"/>
                <w:b/>
                <w:bCs/>
                <w:szCs w:val="21"/>
                <w:lang w:val="zh-CN"/>
              </w:rPr>
              <w:t>（10分）</w:t>
            </w:r>
          </w:p>
        </w:tc>
        <w:tc>
          <w:tcPr>
            <w:tcW w:w="2409" w:type="dxa"/>
          </w:tcPr>
          <w:p>
            <w:pPr>
              <w:spacing w:line="280" w:lineRule="exact"/>
              <w:rPr>
                <w:rFonts w:ascii="宋体" w:hAnsi="宋体" w:cs="宋体"/>
                <w:szCs w:val="21"/>
              </w:rPr>
            </w:pPr>
            <w:r>
              <w:rPr>
                <w:rFonts w:hint="eastAsia" w:ascii="宋体" w:hAnsi="宋体" w:cs="宋体"/>
                <w:szCs w:val="21"/>
              </w:rPr>
              <w:t>1.企业应严格执行生产设施拆除和报废管理制度。拆除作业前，拆除作业负责人应与需拆除设施的主管部门和使用单位共同到现场进行对接，作业人员进行危险、有害因素识别，制定拆除计划或方案，办理拆除设施交接手续。</w:t>
            </w:r>
          </w:p>
        </w:tc>
        <w:tc>
          <w:tcPr>
            <w:tcW w:w="2268" w:type="dxa"/>
          </w:tcPr>
          <w:p>
            <w:pPr>
              <w:spacing w:line="280" w:lineRule="exact"/>
              <w:rPr>
                <w:rFonts w:ascii="宋体" w:hAnsi="宋体" w:cs="宋体"/>
                <w:szCs w:val="21"/>
              </w:rPr>
            </w:pPr>
            <w:r>
              <w:rPr>
                <w:rFonts w:hint="eastAsia" w:ascii="宋体" w:hAnsi="宋体" w:cs="宋体"/>
                <w:szCs w:val="21"/>
              </w:rPr>
              <w:t>1.拆除作业前，拆除作业负责人应与需拆除设施的主管部门和使用单位共同到现场进行作业前交底；</w:t>
            </w:r>
          </w:p>
          <w:p>
            <w:pPr>
              <w:spacing w:line="280" w:lineRule="exact"/>
              <w:rPr>
                <w:rFonts w:ascii="宋体" w:hAnsi="宋体" w:cs="宋体"/>
                <w:szCs w:val="21"/>
              </w:rPr>
            </w:pPr>
            <w:r>
              <w:rPr>
                <w:rFonts w:hint="eastAsia" w:ascii="宋体" w:hAnsi="宋体" w:cs="宋体"/>
                <w:szCs w:val="21"/>
              </w:rPr>
              <w:t>2.作业人员进行危险、有害因素识别；</w:t>
            </w:r>
          </w:p>
          <w:p>
            <w:pPr>
              <w:spacing w:line="280" w:lineRule="exact"/>
              <w:rPr>
                <w:rFonts w:ascii="宋体" w:hAnsi="宋体" w:cs="宋体"/>
                <w:szCs w:val="21"/>
              </w:rPr>
            </w:pPr>
            <w:r>
              <w:rPr>
                <w:rFonts w:hint="eastAsia" w:ascii="宋体" w:hAnsi="宋体" w:cs="宋体"/>
                <w:szCs w:val="21"/>
              </w:rPr>
              <w:t>3.制定拆除计划或方案；</w:t>
            </w:r>
          </w:p>
          <w:p>
            <w:pPr>
              <w:spacing w:line="280" w:lineRule="exact"/>
              <w:rPr>
                <w:rFonts w:ascii="宋体" w:hAnsi="宋体" w:cs="宋体"/>
                <w:szCs w:val="21"/>
              </w:rPr>
            </w:pPr>
            <w:r>
              <w:rPr>
                <w:rFonts w:hint="eastAsia" w:ascii="宋体" w:hAnsi="宋体" w:cs="宋体"/>
                <w:szCs w:val="21"/>
              </w:rPr>
              <w:t>4.办理拆除设施交接手续。</w:t>
            </w:r>
          </w:p>
        </w:tc>
        <w:tc>
          <w:tcPr>
            <w:tcW w:w="2268" w:type="dxa"/>
          </w:tcPr>
          <w:p>
            <w:pPr>
              <w:spacing w:line="280" w:lineRule="exact"/>
              <w:rPr>
                <w:rFonts w:ascii="宋体" w:hAnsi="宋体" w:cs="宋体"/>
                <w:szCs w:val="21"/>
              </w:rPr>
            </w:pPr>
            <w:r>
              <w:rPr>
                <w:rFonts w:hint="eastAsia" w:ascii="宋体" w:hAnsi="宋体" w:cs="宋体"/>
                <w:szCs w:val="21"/>
              </w:rPr>
              <w:t>查文件：</w:t>
            </w:r>
          </w:p>
          <w:p>
            <w:pPr>
              <w:spacing w:line="280" w:lineRule="exact"/>
              <w:rPr>
                <w:rFonts w:ascii="宋体" w:hAnsi="宋体" w:cs="宋体"/>
                <w:szCs w:val="21"/>
              </w:rPr>
            </w:pPr>
            <w:r>
              <w:rPr>
                <w:rFonts w:hint="eastAsia" w:ascii="宋体" w:hAnsi="宋体" w:cs="宋体"/>
                <w:szCs w:val="21"/>
              </w:rPr>
              <w:t>1.生产设施拆除和报废管理制度；</w:t>
            </w:r>
          </w:p>
          <w:p>
            <w:pPr>
              <w:spacing w:line="280" w:lineRule="exact"/>
              <w:rPr>
                <w:rFonts w:ascii="宋体" w:hAnsi="宋体" w:cs="宋体"/>
                <w:szCs w:val="21"/>
              </w:rPr>
            </w:pPr>
            <w:r>
              <w:rPr>
                <w:rFonts w:hint="eastAsia" w:ascii="宋体" w:hAnsi="宋体" w:cs="宋体"/>
                <w:szCs w:val="21"/>
              </w:rPr>
              <w:t>2.设施拆除和报废审批手续；</w:t>
            </w:r>
          </w:p>
          <w:p>
            <w:pPr>
              <w:spacing w:line="280" w:lineRule="exact"/>
              <w:rPr>
                <w:rFonts w:ascii="宋体" w:hAnsi="宋体" w:cs="宋体"/>
                <w:szCs w:val="21"/>
              </w:rPr>
            </w:pPr>
            <w:r>
              <w:rPr>
                <w:rFonts w:hint="eastAsia" w:ascii="宋体" w:hAnsi="宋体" w:cs="宋体"/>
                <w:szCs w:val="21"/>
              </w:rPr>
              <w:t>3.拆除作业风险分析记录；</w:t>
            </w:r>
          </w:p>
          <w:p>
            <w:pPr>
              <w:spacing w:line="280" w:lineRule="exact"/>
              <w:rPr>
                <w:rFonts w:ascii="宋体" w:hAnsi="宋体" w:cs="宋体"/>
                <w:szCs w:val="21"/>
              </w:rPr>
            </w:pPr>
            <w:r>
              <w:rPr>
                <w:rFonts w:hint="eastAsia" w:ascii="宋体" w:hAnsi="宋体" w:cs="宋体"/>
                <w:szCs w:val="21"/>
              </w:rPr>
              <w:t>4.拆除计划或拆除方案；</w:t>
            </w:r>
          </w:p>
          <w:p>
            <w:pPr>
              <w:spacing w:line="280" w:lineRule="exact"/>
              <w:rPr>
                <w:rFonts w:ascii="宋体" w:hAnsi="宋体" w:cs="宋体"/>
                <w:szCs w:val="21"/>
              </w:rPr>
            </w:pPr>
            <w:r>
              <w:rPr>
                <w:rFonts w:hint="eastAsia" w:ascii="宋体" w:hAnsi="宋体" w:cs="宋体"/>
                <w:szCs w:val="21"/>
              </w:rPr>
              <w:t>5.设施拆除交接手续。</w:t>
            </w:r>
          </w:p>
          <w:p>
            <w:pPr>
              <w:spacing w:line="280" w:lineRule="exact"/>
              <w:rPr>
                <w:rFonts w:ascii="宋体" w:hAnsi="宋体" w:cs="宋体"/>
                <w:szCs w:val="21"/>
              </w:rPr>
            </w:pPr>
            <w:r>
              <w:rPr>
                <w:rFonts w:hint="eastAsia" w:ascii="宋体" w:hAnsi="宋体" w:cs="宋体"/>
                <w:szCs w:val="21"/>
              </w:rPr>
              <w:t>现场查看：</w:t>
            </w:r>
          </w:p>
          <w:p>
            <w:pPr>
              <w:spacing w:line="280" w:lineRule="exact"/>
              <w:rPr>
                <w:rFonts w:ascii="宋体" w:hAnsi="宋体" w:cs="宋体"/>
                <w:szCs w:val="21"/>
              </w:rPr>
            </w:pPr>
            <w:r>
              <w:rPr>
                <w:rFonts w:hint="eastAsia" w:ascii="宋体" w:hAnsi="宋体" w:cs="宋体"/>
                <w:szCs w:val="21"/>
              </w:rPr>
              <w:t>查看拆除作业现场安全管理。</w:t>
            </w:r>
          </w:p>
        </w:tc>
        <w:tc>
          <w:tcPr>
            <w:tcW w:w="1701" w:type="dxa"/>
          </w:tcPr>
          <w:p>
            <w:pPr>
              <w:spacing w:line="280" w:lineRule="exact"/>
              <w:rPr>
                <w:rFonts w:ascii="宋体" w:hAnsi="宋体" w:cs="宋体"/>
                <w:szCs w:val="21"/>
              </w:rPr>
            </w:pPr>
          </w:p>
        </w:tc>
        <w:tc>
          <w:tcPr>
            <w:tcW w:w="2268" w:type="dxa"/>
          </w:tcPr>
          <w:p>
            <w:pPr>
              <w:spacing w:line="280" w:lineRule="exact"/>
              <w:rPr>
                <w:rFonts w:ascii="宋体" w:hAnsi="宋体" w:cs="宋体"/>
                <w:szCs w:val="21"/>
              </w:rPr>
            </w:pPr>
            <w:r>
              <w:rPr>
                <w:rFonts w:hint="eastAsia" w:ascii="宋体" w:hAnsi="宋体" w:cs="宋体"/>
                <w:szCs w:val="21"/>
              </w:rPr>
              <w:t>1.拆除作业前，相关单位未共同到现场进行作业前交底，1次扣5分；</w:t>
            </w:r>
          </w:p>
          <w:p>
            <w:pPr>
              <w:spacing w:line="280" w:lineRule="exact"/>
              <w:rPr>
                <w:rFonts w:ascii="宋体" w:hAnsi="宋体" w:cs="宋体"/>
                <w:szCs w:val="21"/>
              </w:rPr>
            </w:pPr>
            <w:r>
              <w:rPr>
                <w:rFonts w:hint="eastAsia" w:ascii="宋体" w:hAnsi="宋体" w:cs="宋体"/>
                <w:szCs w:val="21"/>
              </w:rPr>
              <w:t>2.设施拆除和报废无审批手续，1次扣1分；</w:t>
            </w:r>
          </w:p>
          <w:p>
            <w:pPr>
              <w:spacing w:line="280" w:lineRule="exact"/>
              <w:rPr>
                <w:rFonts w:ascii="宋体" w:hAnsi="宋体" w:cs="宋体"/>
                <w:szCs w:val="21"/>
              </w:rPr>
            </w:pPr>
            <w:r>
              <w:rPr>
                <w:rFonts w:hint="eastAsia" w:ascii="宋体" w:hAnsi="宋体" w:cs="宋体"/>
                <w:szCs w:val="21"/>
              </w:rPr>
              <w:t>3.未对拆除作业进行风险分析并制定风险控制措施，1次扣1分；</w:t>
            </w:r>
          </w:p>
          <w:p>
            <w:pPr>
              <w:spacing w:line="280" w:lineRule="exact"/>
              <w:rPr>
                <w:rFonts w:ascii="宋体" w:hAnsi="宋体" w:cs="宋体"/>
                <w:szCs w:val="21"/>
              </w:rPr>
            </w:pPr>
            <w:r>
              <w:rPr>
                <w:rFonts w:hint="eastAsia" w:ascii="宋体" w:hAnsi="宋体" w:cs="宋体"/>
                <w:szCs w:val="21"/>
              </w:rPr>
              <w:t>4.未制定拆除计划或方案，1次扣2分；</w:t>
            </w:r>
          </w:p>
          <w:p>
            <w:pPr>
              <w:spacing w:line="280" w:lineRule="exact"/>
              <w:rPr>
                <w:rFonts w:ascii="宋体" w:hAnsi="宋体" w:cs="宋体"/>
                <w:szCs w:val="21"/>
              </w:rPr>
            </w:pPr>
            <w:r>
              <w:rPr>
                <w:rFonts w:hint="eastAsia" w:ascii="宋体" w:hAnsi="宋体" w:cs="宋体"/>
                <w:szCs w:val="21"/>
              </w:rPr>
              <w:t>5.未办理设施拆除交接手续，1次扣1分；</w:t>
            </w:r>
          </w:p>
          <w:p>
            <w:pPr>
              <w:spacing w:line="280" w:lineRule="exact"/>
              <w:rPr>
                <w:rFonts w:ascii="宋体" w:hAnsi="宋体" w:cs="宋体"/>
                <w:szCs w:val="21"/>
              </w:rPr>
            </w:pPr>
            <w:r>
              <w:rPr>
                <w:rFonts w:hint="eastAsia" w:ascii="宋体" w:hAnsi="宋体" w:cs="宋体"/>
                <w:szCs w:val="21"/>
              </w:rPr>
              <w:t>6.拆除作业现场，一项不符合扣1分。</w:t>
            </w:r>
          </w:p>
        </w:tc>
        <w:tc>
          <w:tcPr>
            <w:tcW w:w="1165" w:type="dxa"/>
            <w:vAlign w:val="center"/>
          </w:tcPr>
          <w:p>
            <w:pPr>
              <w:spacing w:line="280" w:lineRule="exact"/>
              <w:jc w:val="center"/>
              <w:rPr>
                <w:rFonts w:ascii="宋体" w:hAnsi="宋体" w:cs="宋体"/>
                <w:szCs w:val="21"/>
              </w:rPr>
            </w:pPr>
            <w:r>
              <w:rPr>
                <w:rFonts w:hint="eastAsia" w:ascii="宋体" w:hAnsi="宋体" w:cs="宋体"/>
                <w:szCs w:val="21"/>
              </w:rPr>
              <w:t>不涉及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771" w:type="dxa"/>
            <w:vMerge w:val="continue"/>
          </w:tcPr>
          <w:p>
            <w:pPr>
              <w:spacing w:line="280" w:lineRule="exact"/>
              <w:rPr>
                <w:rFonts w:ascii="宋体" w:hAnsi="宋体" w:cs="宋体"/>
                <w:b/>
                <w:bCs/>
                <w:szCs w:val="21"/>
              </w:rPr>
            </w:pPr>
          </w:p>
        </w:tc>
        <w:tc>
          <w:tcPr>
            <w:tcW w:w="709" w:type="dxa"/>
            <w:vMerge w:val="continue"/>
          </w:tcPr>
          <w:p>
            <w:pPr>
              <w:spacing w:line="280" w:lineRule="exact"/>
              <w:rPr>
                <w:rFonts w:ascii="宋体" w:hAnsi="宋体" w:cs="宋体"/>
                <w:b/>
                <w:bCs/>
                <w:szCs w:val="21"/>
              </w:rPr>
            </w:pPr>
          </w:p>
        </w:tc>
        <w:tc>
          <w:tcPr>
            <w:tcW w:w="2409" w:type="dxa"/>
          </w:tcPr>
          <w:p>
            <w:pPr>
              <w:spacing w:line="280" w:lineRule="exact"/>
              <w:rPr>
                <w:rFonts w:ascii="宋体" w:hAnsi="宋体" w:cs="宋体"/>
                <w:szCs w:val="21"/>
              </w:rPr>
            </w:pPr>
            <w:r>
              <w:rPr>
                <w:rFonts w:hint="eastAsia" w:ascii="宋体" w:hAnsi="宋体" w:cs="宋体"/>
                <w:szCs w:val="21"/>
              </w:rPr>
              <w:t>2.企业凡需拆除的容器、设备和管道，应先清洗干净，分析、验收合格后方可进行拆除作业。</w:t>
            </w:r>
          </w:p>
        </w:tc>
        <w:tc>
          <w:tcPr>
            <w:tcW w:w="2268" w:type="dxa"/>
          </w:tcPr>
          <w:p>
            <w:pPr>
              <w:spacing w:line="280" w:lineRule="exact"/>
              <w:rPr>
                <w:rFonts w:ascii="宋体" w:hAnsi="宋体" w:cs="宋体"/>
                <w:szCs w:val="21"/>
              </w:rPr>
            </w:pPr>
            <w:r>
              <w:rPr>
                <w:rFonts w:hint="eastAsia" w:ascii="宋体" w:hAnsi="宋体" w:cs="宋体"/>
                <w:szCs w:val="21"/>
              </w:rPr>
              <w:t>1.凡需拆除的容器、设备和管道，应先清洗干净，分析、验收合格后方可进行拆除作业；</w:t>
            </w:r>
          </w:p>
          <w:p>
            <w:pPr>
              <w:spacing w:line="280" w:lineRule="exact"/>
              <w:rPr>
                <w:rFonts w:ascii="宋体" w:hAnsi="宋体" w:cs="宋体"/>
                <w:szCs w:val="21"/>
              </w:rPr>
            </w:pPr>
            <w:r>
              <w:rPr>
                <w:rFonts w:hint="eastAsia" w:ascii="宋体" w:hAnsi="宋体" w:cs="宋体"/>
                <w:szCs w:val="21"/>
              </w:rPr>
              <w:t>2.拆除、清洗等现场作业应严格遵守作业许可等有关规定。</w:t>
            </w:r>
          </w:p>
        </w:tc>
        <w:tc>
          <w:tcPr>
            <w:tcW w:w="2268" w:type="dxa"/>
          </w:tcPr>
          <w:p>
            <w:pPr>
              <w:spacing w:line="280" w:lineRule="exact"/>
              <w:rPr>
                <w:rFonts w:ascii="宋体" w:hAnsi="宋体" w:cs="宋体"/>
                <w:szCs w:val="21"/>
              </w:rPr>
            </w:pPr>
            <w:r>
              <w:rPr>
                <w:rFonts w:hint="eastAsia" w:ascii="宋体" w:hAnsi="宋体" w:cs="宋体"/>
                <w:szCs w:val="21"/>
              </w:rPr>
              <w:t>查文件：</w:t>
            </w:r>
          </w:p>
          <w:p>
            <w:pPr>
              <w:spacing w:line="280" w:lineRule="exact"/>
              <w:rPr>
                <w:rFonts w:ascii="宋体" w:hAnsi="宋体" w:cs="宋体"/>
                <w:szCs w:val="21"/>
              </w:rPr>
            </w:pPr>
            <w:r>
              <w:rPr>
                <w:rFonts w:hint="eastAsia" w:ascii="宋体" w:hAnsi="宋体" w:cs="宋体"/>
                <w:szCs w:val="21"/>
              </w:rPr>
              <w:t>分析、验收合格证明。</w:t>
            </w:r>
          </w:p>
          <w:p>
            <w:pPr>
              <w:spacing w:line="280" w:lineRule="exact"/>
              <w:rPr>
                <w:rFonts w:ascii="宋体" w:hAnsi="宋体" w:cs="宋体"/>
                <w:szCs w:val="21"/>
              </w:rPr>
            </w:pPr>
            <w:r>
              <w:rPr>
                <w:rFonts w:hint="eastAsia" w:ascii="宋体" w:hAnsi="宋体" w:cs="宋体"/>
                <w:szCs w:val="21"/>
              </w:rPr>
              <w:t>现场检查：</w:t>
            </w:r>
          </w:p>
          <w:p>
            <w:pPr>
              <w:spacing w:line="280" w:lineRule="exact"/>
              <w:rPr>
                <w:rFonts w:ascii="宋体" w:hAnsi="宋体" w:cs="宋体"/>
                <w:szCs w:val="21"/>
              </w:rPr>
            </w:pPr>
            <w:r>
              <w:rPr>
                <w:rFonts w:hint="eastAsia" w:ascii="宋体" w:hAnsi="宋体" w:cs="宋体"/>
                <w:szCs w:val="21"/>
              </w:rPr>
              <w:t>拆除、清洗作业现场安全管理。</w:t>
            </w:r>
          </w:p>
        </w:tc>
        <w:tc>
          <w:tcPr>
            <w:tcW w:w="1701" w:type="dxa"/>
          </w:tcPr>
          <w:p>
            <w:pPr>
              <w:spacing w:line="280" w:lineRule="exact"/>
              <w:rPr>
                <w:rFonts w:ascii="宋体" w:hAnsi="宋体" w:cs="宋体"/>
                <w:szCs w:val="21"/>
              </w:rPr>
            </w:pPr>
          </w:p>
        </w:tc>
        <w:tc>
          <w:tcPr>
            <w:tcW w:w="2268" w:type="dxa"/>
          </w:tcPr>
          <w:p>
            <w:pPr>
              <w:spacing w:line="280" w:lineRule="exact"/>
              <w:rPr>
                <w:rFonts w:ascii="宋体" w:hAnsi="宋体" w:cs="宋体"/>
                <w:szCs w:val="21"/>
              </w:rPr>
            </w:pPr>
            <w:r>
              <w:rPr>
                <w:rFonts w:hint="eastAsia" w:ascii="宋体" w:hAnsi="宋体" w:cs="宋体"/>
                <w:szCs w:val="21"/>
              </w:rPr>
              <w:t>1.未进行分析、验收或分析不合格进行拆除作业，一项扣1分；</w:t>
            </w:r>
          </w:p>
          <w:p>
            <w:pPr>
              <w:spacing w:line="280" w:lineRule="exact"/>
              <w:rPr>
                <w:rFonts w:ascii="宋体" w:hAnsi="宋体" w:cs="宋体"/>
                <w:szCs w:val="21"/>
              </w:rPr>
            </w:pPr>
            <w:r>
              <w:rPr>
                <w:rFonts w:hint="eastAsia" w:ascii="宋体" w:hAnsi="宋体" w:cs="宋体"/>
                <w:szCs w:val="21"/>
              </w:rPr>
              <w:t>2.拆除作业现场，一项不符合扣1分。</w:t>
            </w:r>
          </w:p>
        </w:tc>
        <w:tc>
          <w:tcPr>
            <w:tcW w:w="1165" w:type="dxa"/>
            <w:vAlign w:val="center"/>
          </w:tcPr>
          <w:p>
            <w:pPr>
              <w:spacing w:line="280" w:lineRule="exact"/>
              <w:jc w:val="center"/>
              <w:rPr>
                <w:rFonts w:ascii="宋体" w:hAnsi="宋体" w:cs="宋体"/>
                <w:szCs w:val="21"/>
              </w:rPr>
            </w:pPr>
            <w:r>
              <w:rPr>
                <w:rFonts w:hint="eastAsia" w:ascii="宋体" w:hAnsi="宋体" w:cs="宋体"/>
                <w:szCs w:val="21"/>
              </w:rPr>
              <w:t>不涉及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771" w:type="dxa"/>
            <w:vMerge w:val="continue"/>
          </w:tcPr>
          <w:p>
            <w:pPr>
              <w:spacing w:line="280" w:lineRule="exact"/>
              <w:rPr>
                <w:rFonts w:ascii="宋体" w:hAnsi="宋体" w:cs="宋体"/>
                <w:b/>
                <w:bCs/>
                <w:szCs w:val="21"/>
              </w:rPr>
            </w:pPr>
          </w:p>
        </w:tc>
        <w:tc>
          <w:tcPr>
            <w:tcW w:w="709" w:type="dxa"/>
            <w:vMerge w:val="continue"/>
          </w:tcPr>
          <w:p>
            <w:pPr>
              <w:spacing w:line="280" w:lineRule="exact"/>
              <w:rPr>
                <w:rFonts w:ascii="宋体" w:hAnsi="宋体" w:cs="宋体"/>
                <w:b/>
                <w:bCs/>
                <w:szCs w:val="21"/>
              </w:rPr>
            </w:pPr>
          </w:p>
        </w:tc>
        <w:tc>
          <w:tcPr>
            <w:tcW w:w="2409" w:type="dxa"/>
          </w:tcPr>
          <w:p>
            <w:pPr>
              <w:spacing w:line="280" w:lineRule="exact"/>
              <w:rPr>
                <w:rFonts w:ascii="宋体" w:hAnsi="宋体" w:cs="宋体"/>
                <w:szCs w:val="21"/>
              </w:rPr>
            </w:pPr>
            <w:r>
              <w:rPr>
                <w:rFonts w:hint="eastAsia" w:ascii="宋体" w:hAnsi="宋体" w:cs="宋体"/>
                <w:szCs w:val="21"/>
              </w:rPr>
              <w:t>3.企业欲报废的容器、设备和管道内仍存有危险化学品的，应清洗干净，分析、验收合格后，方可报废处置。</w:t>
            </w:r>
          </w:p>
        </w:tc>
        <w:tc>
          <w:tcPr>
            <w:tcW w:w="2268" w:type="dxa"/>
          </w:tcPr>
          <w:p>
            <w:pPr>
              <w:spacing w:line="280" w:lineRule="exact"/>
              <w:rPr>
                <w:rFonts w:ascii="宋体" w:hAnsi="宋体" w:cs="宋体"/>
                <w:szCs w:val="21"/>
              </w:rPr>
            </w:pPr>
            <w:r>
              <w:rPr>
                <w:rFonts w:hint="eastAsia" w:ascii="宋体" w:hAnsi="宋体" w:cs="宋体"/>
                <w:szCs w:val="21"/>
              </w:rPr>
              <w:t>1.欲报废的容器、设备和管道，应清洗干净，分析、验收合格后，方可报废处置；</w:t>
            </w:r>
          </w:p>
          <w:p>
            <w:pPr>
              <w:spacing w:line="280" w:lineRule="exact"/>
              <w:rPr>
                <w:rFonts w:ascii="宋体" w:hAnsi="宋体" w:cs="宋体"/>
                <w:szCs w:val="21"/>
              </w:rPr>
            </w:pPr>
            <w:r>
              <w:rPr>
                <w:rFonts w:hint="eastAsia" w:ascii="宋体" w:hAnsi="宋体" w:cs="宋体"/>
                <w:szCs w:val="21"/>
              </w:rPr>
              <w:t>2.报废、清洗等现场作业应严格遵守作业许可等有关规定。</w:t>
            </w:r>
          </w:p>
        </w:tc>
        <w:tc>
          <w:tcPr>
            <w:tcW w:w="2268" w:type="dxa"/>
          </w:tcPr>
          <w:p>
            <w:pPr>
              <w:spacing w:line="280" w:lineRule="exact"/>
              <w:rPr>
                <w:rFonts w:ascii="宋体" w:hAnsi="宋体" w:cs="宋体"/>
                <w:szCs w:val="21"/>
              </w:rPr>
            </w:pPr>
            <w:r>
              <w:rPr>
                <w:rFonts w:hint="eastAsia" w:ascii="宋体" w:hAnsi="宋体" w:cs="宋体"/>
                <w:szCs w:val="21"/>
              </w:rPr>
              <w:t>查文件：</w:t>
            </w:r>
          </w:p>
          <w:p>
            <w:pPr>
              <w:spacing w:line="280" w:lineRule="exact"/>
              <w:rPr>
                <w:rFonts w:ascii="宋体" w:hAnsi="宋体" w:cs="宋体"/>
                <w:szCs w:val="21"/>
              </w:rPr>
            </w:pPr>
            <w:r>
              <w:rPr>
                <w:rFonts w:hint="eastAsia" w:ascii="宋体" w:hAnsi="宋体" w:cs="宋体"/>
                <w:szCs w:val="21"/>
              </w:rPr>
              <w:t>分析、验收合格证明。</w:t>
            </w:r>
          </w:p>
          <w:p>
            <w:pPr>
              <w:spacing w:line="280" w:lineRule="exact"/>
              <w:rPr>
                <w:rFonts w:ascii="宋体" w:hAnsi="宋体" w:cs="宋体"/>
                <w:szCs w:val="21"/>
              </w:rPr>
            </w:pPr>
            <w:r>
              <w:rPr>
                <w:rFonts w:hint="eastAsia" w:ascii="宋体" w:hAnsi="宋体" w:cs="宋体"/>
                <w:szCs w:val="21"/>
              </w:rPr>
              <w:t>现场检查：</w:t>
            </w:r>
          </w:p>
          <w:p>
            <w:pPr>
              <w:spacing w:line="280" w:lineRule="exact"/>
              <w:rPr>
                <w:rFonts w:ascii="宋体" w:hAnsi="宋体" w:cs="宋体"/>
                <w:szCs w:val="21"/>
              </w:rPr>
            </w:pPr>
            <w:r>
              <w:rPr>
                <w:rFonts w:hint="eastAsia" w:ascii="宋体" w:hAnsi="宋体" w:cs="宋体"/>
                <w:szCs w:val="21"/>
              </w:rPr>
              <w:t>拆除、报废、清洗作业现场安全管理。</w:t>
            </w:r>
          </w:p>
        </w:tc>
        <w:tc>
          <w:tcPr>
            <w:tcW w:w="1701" w:type="dxa"/>
          </w:tcPr>
          <w:p>
            <w:pPr>
              <w:spacing w:line="280" w:lineRule="exact"/>
              <w:rPr>
                <w:rFonts w:ascii="宋体" w:hAnsi="宋体" w:cs="宋体"/>
                <w:szCs w:val="21"/>
              </w:rPr>
            </w:pPr>
          </w:p>
        </w:tc>
        <w:tc>
          <w:tcPr>
            <w:tcW w:w="2268" w:type="dxa"/>
          </w:tcPr>
          <w:p>
            <w:pPr>
              <w:spacing w:line="280" w:lineRule="exact"/>
              <w:rPr>
                <w:rFonts w:ascii="宋体" w:hAnsi="宋体" w:cs="宋体"/>
                <w:szCs w:val="21"/>
              </w:rPr>
            </w:pPr>
            <w:r>
              <w:rPr>
                <w:rFonts w:hint="eastAsia" w:ascii="宋体" w:hAnsi="宋体" w:cs="宋体"/>
                <w:szCs w:val="21"/>
              </w:rPr>
              <w:t>未经分析、验收合格或验收不合格进行报废处置，1台扣5分。</w:t>
            </w:r>
          </w:p>
        </w:tc>
        <w:tc>
          <w:tcPr>
            <w:tcW w:w="1165" w:type="dxa"/>
            <w:vAlign w:val="center"/>
          </w:tcPr>
          <w:p>
            <w:pPr>
              <w:spacing w:line="280" w:lineRule="exact"/>
              <w:jc w:val="center"/>
              <w:rPr>
                <w:rFonts w:ascii="宋体" w:hAnsi="宋体" w:cs="宋体"/>
                <w:szCs w:val="21"/>
              </w:rPr>
            </w:pPr>
            <w:r>
              <w:rPr>
                <w:rFonts w:hint="eastAsia" w:ascii="宋体" w:hAnsi="宋体" w:cs="宋体"/>
                <w:szCs w:val="21"/>
              </w:rPr>
              <w:t>不涉及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771" w:type="dxa"/>
            <w:vMerge w:val="restart"/>
          </w:tcPr>
          <w:p>
            <w:pPr>
              <w:spacing w:line="280" w:lineRule="exact"/>
              <w:rPr>
                <w:rFonts w:ascii="宋体" w:hAnsi="宋体" w:cs="宋体"/>
                <w:b/>
                <w:bCs/>
                <w:szCs w:val="21"/>
              </w:rPr>
            </w:pPr>
            <w:r>
              <w:rPr>
                <w:rFonts w:hint="eastAsia" w:ascii="宋体" w:hAnsi="宋体" w:cs="宋体"/>
                <w:b/>
                <w:bCs/>
                <w:szCs w:val="21"/>
              </w:rPr>
              <w:t>7 作业安全</w:t>
            </w:r>
          </w:p>
          <w:p>
            <w:pPr>
              <w:spacing w:line="280" w:lineRule="exact"/>
              <w:rPr>
                <w:rFonts w:ascii="宋体" w:hAnsi="宋体" w:cs="宋体"/>
                <w:b/>
                <w:bCs/>
                <w:szCs w:val="21"/>
              </w:rPr>
            </w:pPr>
            <w:r>
              <w:rPr>
                <w:rFonts w:hint="eastAsia" w:ascii="宋体" w:hAnsi="宋体" w:cs="宋体"/>
                <w:b/>
                <w:bCs/>
                <w:szCs w:val="21"/>
              </w:rPr>
              <w:t>（100分）</w:t>
            </w:r>
          </w:p>
          <w:p>
            <w:pPr>
              <w:spacing w:line="280" w:lineRule="exact"/>
              <w:rPr>
                <w:rFonts w:ascii="宋体" w:hAnsi="宋体" w:cs="宋体"/>
                <w:b/>
                <w:bCs/>
                <w:szCs w:val="21"/>
              </w:rPr>
            </w:pPr>
          </w:p>
          <w:p>
            <w:pPr>
              <w:spacing w:line="280" w:lineRule="exact"/>
              <w:rPr>
                <w:rFonts w:ascii="宋体" w:hAnsi="宋体" w:cs="宋体"/>
                <w:b/>
                <w:bCs/>
                <w:szCs w:val="21"/>
              </w:rPr>
            </w:pPr>
          </w:p>
          <w:p>
            <w:pPr>
              <w:spacing w:line="280" w:lineRule="exact"/>
              <w:rPr>
                <w:rFonts w:ascii="宋体" w:hAnsi="宋体" w:cs="宋体"/>
                <w:b/>
                <w:bCs/>
                <w:szCs w:val="21"/>
                <w:lang w:val="zh-CN"/>
              </w:rPr>
            </w:pPr>
          </w:p>
        </w:tc>
        <w:tc>
          <w:tcPr>
            <w:tcW w:w="709" w:type="dxa"/>
          </w:tcPr>
          <w:p>
            <w:pPr>
              <w:spacing w:line="280" w:lineRule="exact"/>
              <w:rPr>
                <w:rFonts w:ascii="宋体" w:hAnsi="宋体" w:cs="宋体"/>
                <w:b/>
                <w:bCs/>
                <w:szCs w:val="21"/>
              </w:rPr>
            </w:pPr>
            <w:r>
              <w:rPr>
                <w:rFonts w:hint="eastAsia" w:ascii="宋体" w:hAnsi="宋体" w:cs="宋体"/>
                <w:b/>
                <w:bCs/>
                <w:szCs w:val="21"/>
              </w:rPr>
              <w:t>7.1</w:t>
            </w:r>
          </w:p>
          <w:p>
            <w:pPr>
              <w:spacing w:line="280" w:lineRule="exact"/>
              <w:rPr>
                <w:rFonts w:ascii="宋体" w:hAnsi="宋体" w:cs="宋体"/>
                <w:b/>
                <w:bCs/>
                <w:szCs w:val="21"/>
              </w:rPr>
            </w:pPr>
            <w:r>
              <w:rPr>
                <w:rFonts w:hint="eastAsia" w:ascii="宋体" w:hAnsi="宋体" w:cs="宋体"/>
                <w:b/>
                <w:bCs/>
                <w:szCs w:val="21"/>
              </w:rPr>
              <w:t>作业许可</w:t>
            </w:r>
          </w:p>
          <w:p>
            <w:pPr>
              <w:spacing w:line="280" w:lineRule="exact"/>
              <w:rPr>
                <w:rFonts w:ascii="宋体" w:hAnsi="宋体" w:cs="宋体"/>
                <w:b/>
                <w:bCs/>
                <w:szCs w:val="21"/>
                <w:lang w:val="zh-CN"/>
              </w:rPr>
            </w:pPr>
            <w:r>
              <w:rPr>
                <w:rFonts w:hint="eastAsia" w:ascii="宋体" w:hAnsi="宋体" w:cs="宋体"/>
                <w:b/>
                <w:bCs/>
                <w:szCs w:val="21"/>
              </w:rPr>
              <w:t>（20分）</w:t>
            </w:r>
          </w:p>
        </w:tc>
        <w:tc>
          <w:tcPr>
            <w:tcW w:w="2409" w:type="dxa"/>
          </w:tcPr>
          <w:p>
            <w:pPr>
              <w:spacing w:line="280" w:lineRule="exact"/>
              <w:rPr>
                <w:rFonts w:ascii="宋体" w:hAnsi="宋体" w:cs="宋体"/>
                <w:szCs w:val="21"/>
              </w:rPr>
            </w:pPr>
            <w:r>
              <w:rPr>
                <w:rFonts w:hint="eastAsia" w:ascii="宋体" w:hAnsi="宋体" w:cs="宋体"/>
                <w:szCs w:val="21"/>
              </w:rPr>
              <w:t>企业应对下列危险性作业活动实施作业许可管理，严格履行审批手续，各种作业许可证中应有危险、有害因素识别和安全措施内容：</w:t>
            </w:r>
          </w:p>
          <w:p>
            <w:pPr>
              <w:spacing w:line="280" w:lineRule="exact"/>
              <w:rPr>
                <w:rFonts w:ascii="宋体" w:hAnsi="宋体" w:cs="宋体"/>
                <w:szCs w:val="21"/>
              </w:rPr>
            </w:pPr>
            <w:r>
              <w:rPr>
                <w:rFonts w:hint="eastAsia" w:ascii="宋体" w:hAnsi="宋体" w:cs="宋体"/>
                <w:szCs w:val="21"/>
              </w:rPr>
              <w:t>（1）动火作业；</w:t>
            </w:r>
          </w:p>
          <w:p>
            <w:pPr>
              <w:spacing w:line="280" w:lineRule="exact"/>
              <w:rPr>
                <w:rFonts w:ascii="宋体" w:hAnsi="宋体" w:cs="宋体"/>
                <w:szCs w:val="21"/>
              </w:rPr>
            </w:pPr>
            <w:r>
              <w:rPr>
                <w:rFonts w:hint="eastAsia" w:ascii="宋体" w:hAnsi="宋体" w:cs="宋体"/>
                <w:szCs w:val="21"/>
              </w:rPr>
              <w:t>（2）进入受限空间作业；</w:t>
            </w:r>
          </w:p>
          <w:p>
            <w:pPr>
              <w:spacing w:line="280" w:lineRule="exact"/>
              <w:rPr>
                <w:rFonts w:ascii="宋体" w:hAnsi="宋体" w:cs="宋体"/>
                <w:szCs w:val="21"/>
              </w:rPr>
            </w:pPr>
            <w:r>
              <w:rPr>
                <w:rFonts w:hint="eastAsia" w:ascii="宋体" w:hAnsi="宋体" w:cs="宋体"/>
                <w:szCs w:val="21"/>
              </w:rPr>
              <w:t>（3）破土作业；</w:t>
            </w:r>
          </w:p>
          <w:p>
            <w:pPr>
              <w:spacing w:line="280" w:lineRule="exact"/>
              <w:rPr>
                <w:rFonts w:ascii="宋体" w:hAnsi="宋体" w:cs="宋体"/>
                <w:szCs w:val="21"/>
              </w:rPr>
            </w:pPr>
            <w:r>
              <w:rPr>
                <w:rFonts w:hint="eastAsia" w:ascii="宋体" w:hAnsi="宋体" w:cs="宋体"/>
                <w:szCs w:val="21"/>
              </w:rPr>
              <w:t>（4）临时用电作业；</w:t>
            </w:r>
          </w:p>
          <w:p>
            <w:pPr>
              <w:spacing w:line="280" w:lineRule="exact"/>
              <w:rPr>
                <w:rFonts w:ascii="宋体" w:hAnsi="宋体" w:cs="宋体"/>
                <w:szCs w:val="21"/>
              </w:rPr>
            </w:pPr>
            <w:r>
              <w:rPr>
                <w:rFonts w:hint="eastAsia" w:ascii="宋体" w:hAnsi="宋体" w:cs="宋体"/>
                <w:szCs w:val="21"/>
              </w:rPr>
              <w:t>（5）高处作业；</w:t>
            </w:r>
          </w:p>
          <w:p>
            <w:pPr>
              <w:spacing w:line="280" w:lineRule="exact"/>
              <w:rPr>
                <w:rFonts w:ascii="宋体" w:hAnsi="宋体" w:cs="宋体"/>
                <w:szCs w:val="21"/>
              </w:rPr>
            </w:pPr>
            <w:r>
              <w:rPr>
                <w:rFonts w:hint="eastAsia" w:ascii="宋体" w:hAnsi="宋体" w:cs="宋体"/>
                <w:szCs w:val="21"/>
              </w:rPr>
              <w:t>（6）断路作业；</w:t>
            </w:r>
          </w:p>
          <w:p>
            <w:pPr>
              <w:spacing w:line="280" w:lineRule="exact"/>
              <w:rPr>
                <w:rFonts w:ascii="宋体" w:hAnsi="宋体" w:cs="宋体"/>
                <w:szCs w:val="21"/>
              </w:rPr>
            </w:pPr>
            <w:r>
              <w:rPr>
                <w:rFonts w:hint="eastAsia" w:ascii="宋体" w:hAnsi="宋体" w:cs="宋体"/>
                <w:szCs w:val="21"/>
              </w:rPr>
              <w:t>（7）吊装作业；</w:t>
            </w:r>
          </w:p>
          <w:p>
            <w:pPr>
              <w:spacing w:line="280" w:lineRule="exact"/>
              <w:rPr>
                <w:rFonts w:ascii="宋体" w:hAnsi="宋体" w:cs="宋体"/>
                <w:szCs w:val="21"/>
              </w:rPr>
            </w:pPr>
            <w:r>
              <w:rPr>
                <w:rFonts w:hint="eastAsia" w:ascii="宋体" w:hAnsi="宋体" w:cs="宋体"/>
                <w:szCs w:val="21"/>
              </w:rPr>
              <w:t>（8）设备检修作业；</w:t>
            </w:r>
          </w:p>
          <w:p>
            <w:pPr>
              <w:spacing w:line="280" w:lineRule="exact"/>
              <w:rPr>
                <w:rFonts w:ascii="宋体" w:hAnsi="宋体" w:cs="宋体"/>
                <w:szCs w:val="21"/>
              </w:rPr>
            </w:pPr>
            <w:r>
              <w:rPr>
                <w:rFonts w:hint="eastAsia" w:ascii="宋体" w:hAnsi="宋体" w:cs="宋体"/>
                <w:szCs w:val="21"/>
              </w:rPr>
              <w:t>（9）抽堵盲板作业；</w:t>
            </w:r>
          </w:p>
          <w:p>
            <w:pPr>
              <w:spacing w:line="280" w:lineRule="exact"/>
              <w:rPr>
                <w:rFonts w:ascii="宋体" w:hAnsi="宋体" w:cs="宋体"/>
                <w:szCs w:val="21"/>
              </w:rPr>
            </w:pPr>
            <w:r>
              <w:rPr>
                <w:rFonts w:hint="eastAsia" w:ascii="宋体" w:hAnsi="宋体" w:cs="宋体"/>
                <w:szCs w:val="21"/>
              </w:rPr>
              <w:t>（10）其他危险性作业。</w:t>
            </w:r>
          </w:p>
        </w:tc>
        <w:tc>
          <w:tcPr>
            <w:tcW w:w="2268" w:type="dxa"/>
          </w:tcPr>
          <w:p>
            <w:pPr>
              <w:spacing w:line="280" w:lineRule="exact"/>
              <w:rPr>
                <w:rFonts w:ascii="宋体" w:hAnsi="宋体" w:cs="宋体"/>
                <w:szCs w:val="21"/>
              </w:rPr>
            </w:pPr>
            <w:r>
              <w:rPr>
                <w:rFonts w:hint="eastAsia" w:ascii="宋体" w:hAnsi="宋体" w:cs="宋体"/>
                <w:szCs w:val="21"/>
              </w:rPr>
              <w:t>1.对动火作业、进入受限空间作业、破土作业、临时用电作业、高处作业、断路作业、吊装作业、设备检修作业和抽堵盲板作业等危险性作业实施作业许可管理,严格履行审批手续；</w:t>
            </w:r>
          </w:p>
          <w:p>
            <w:pPr>
              <w:spacing w:line="280" w:lineRule="exact"/>
              <w:rPr>
                <w:rFonts w:ascii="宋体" w:hAnsi="宋体" w:cs="宋体"/>
                <w:szCs w:val="21"/>
              </w:rPr>
            </w:pPr>
            <w:r>
              <w:rPr>
                <w:rFonts w:hint="eastAsia" w:ascii="宋体" w:hAnsi="宋体" w:cs="宋体"/>
                <w:szCs w:val="21"/>
              </w:rPr>
              <w:t>2.作业许可证中有危险、有害因素识别和安全措施内容。</w:t>
            </w:r>
          </w:p>
          <w:p>
            <w:pPr>
              <w:spacing w:line="280" w:lineRule="exact"/>
              <w:rPr>
                <w:rFonts w:ascii="宋体" w:hAnsi="宋体" w:cs="宋体"/>
                <w:szCs w:val="21"/>
              </w:rPr>
            </w:pPr>
          </w:p>
        </w:tc>
        <w:tc>
          <w:tcPr>
            <w:tcW w:w="2268" w:type="dxa"/>
          </w:tcPr>
          <w:p>
            <w:pPr>
              <w:spacing w:line="280" w:lineRule="exact"/>
              <w:rPr>
                <w:rFonts w:ascii="宋体" w:hAnsi="宋体" w:cs="宋体"/>
                <w:szCs w:val="21"/>
              </w:rPr>
            </w:pPr>
            <w:r>
              <w:rPr>
                <w:rFonts w:hint="eastAsia" w:ascii="宋体" w:hAnsi="宋体" w:cs="宋体"/>
                <w:szCs w:val="21"/>
              </w:rPr>
              <w:t>查文件：</w:t>
            </w:r>
          </w:p>
          <w:p>
            <w:pPr>
              <w:spacing w:line="280" w:lineRule="exact"/>
              <w:rPr>
                <w:rFonts w:ascii="宋体" w:hAnsi="宋体" w:cs="宋体"/>
                <w:szCs w:val="21"/>
              </w:rPr>
            </w:pPr>
            <w:r>
              <w:rPr>
                <w:rFonts w:hint="eastAsia" w:ascii="宋体" w:hAnsi="宋体" w:cs="宋体"/>
                <w:szCs w:val="21"/>
              </w:rPr>
              <w:t>1.危险性作业安全管理制度或操作规程；</w:t>
            </w:r>
          </w:p>
          <w:p>
            <w:pPr>
              <w:spacing w:line="280" w:lineRule="exact"/>
              <w:rPr>
                <w:rFonts w:ascii="宋体" w:hAnsi="宋体" w:cs="宋体"/>
                <w:szCs w:val="21"/>
              </w:rPr>
            </w:pPr>
            <w:r>
              <w:rPr>
                <w:rFonts w:hint="eastAsia" w:ascii="宋体" w:hAnsi="宋体" w:cs="宋体"/>
                <w:szCs w:val="21"/>
              </w:rPr>
              <w:t>2.作业许可证。</w:t>
            </w:r>
          </w:p>
          <w:p>
            <w:pPr>
              <w:spacing w:line="280" w:lineRule="exact"/>
              <w:rPr>
                <w:rFonts w:ascii="宋体" w:hAnsi="宋体" w:cs="宋体"/>
                <w:szCs w:val="21"/>
              </w:rPr>
            </w:pPr>
          </w:p>
          <w:p>
            <w:pPr>
              <w:spacing w:line="280" w:lineRule="exact"/>
              <w:rPr>
                <w:rFonts w:ascii="宋体" w:hAnsi="宋体" w:cs="宋体"/>
                <w:szCs w:val="21"/>
              </w:rPr>
            </w:pPr>
          </w:p>
        </w:tc>
        <w:tc>
          <w:tcPr>
            <w:tcW w:w="1701" w:type="dxa"/>
          </w:tcPr>
          <w:p>
            <w:pPr>
              <w:spacing w:line="280" w:lineRule="exact"/>
              <w:rPr>
                <w:rFonts w:ascii="宋体" w:hAnsi="宋体" w:cs="宋体"/>
                <w:szCs w:val="21"/>
              </w:rPr>
            </w:pPr>
            <w:r>
              <w:rPr>
                <w:rFonts w:hint="eastAsia" w:ascii="宋体" w:hAnsi="宋体" w:cs="宋体"/>
                <w:szCs w:val="21"/>
              </w:rPr>
              <w:t>未实施危险性作业许可管理，扣100分（A级要素否决项）。</w:t>
            </w:r>
          </w:p>
          <w:p>
            <w:pPr>
              <w:spacing w:line="280" w:lineRule="exact"/>
              <w:rPr>
                <w:rFonts w:ascii="宋体" w:hAnsi="宋体" w:cs="宋体"/>
                <w:szCs w:val="21"/>
              </w:rPr>
            </w:pPr>
          </w:p>
        </w:tc>
        <w:tc>
          <w:tcPr>
            <w:tcW w:w="2268" w:type="dxa"/>
          </w:tcPr>
          <w:p>
            <w:pPr>
              <w:spacing w:line="280" w:lineRule="exact"/>
              <w:rPr>
                <w:rFonts w:ascii="宋体" w:hAnsi="宋体" w:cs="宋体"/>
                <w:szCs w:val="21"/>
              </w:rPr>
            </w:pPr>
            <w:r>
              <w:rPr>
                <w:rFonts w:hint="eastAsia" w:ascii="宋体" w:hAnsi="宋体" w:cs="宋体"/>
                <w:szCs w:val="21"/>
              </w:rPr>
              <w:t>1.作业许可审批手续不符合要求，1次扣2分；</w:t>
            </w:r>
          </w:p>
          <w:p>
            <w:pPr>
              <w:spacing w:line="280" w:lineRule="exact"/>
              <w:rPr>
                <w:rFonts w:ascii="宋体" w:hAnsi="宋体" w:cs="宋体"/>
                <w:szCs w:val="21"/>
              </w:rPr>
            </w:pPr>
            <w:r>
              <w:rPr>
                <w:rFonts w:hint="eastAsia" w:ascii="宋体" w:hAnsi="宋体" w:cs="宋体"/>
                <w:szCs w:val="21"/>
              </w:rPr>
              <w:t>2.作业许可证中危险有害因素与安全措施等内容不符合要求，1次扣2分。</w:t>
            </w:r>
          </w:p>
        </w:tc>
        <w:tc>
          <w:tcPr>
            <w:tcW w:w="1165" w:type="dxa"/>
            <w:vAlign w:val="center"/>
          </w:tcPr>
          <w:p>
            <w:pPr>
              <w:spacing w:line="280" w:lineRule="exact"/>
              <w:jc w:val="center"/>
              <w:rPr>
                <w:rFonts w:ascii="宋体" w:hAnsi="宋体" w:cs="宋体"/>
                <w:szCs w:val="21"/>
              </w:rPr>
            </w:pPr>
            <w:r>
              <w:rPr>
                <w:rFonts w:hint="eastAsia" w:ascii="宋体" w:hAnsi="宋体" w:cs="宋体"/>
                <w:szCs w:val="21"/>
              </w:rPr>
              <w:t>符合要求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771" w:type="dxa"/>
            <w:vMerge w:val="continue"/>
          </w:tcPr>
          <w:p>
            <w:pPr>
              <w:spacing w:line="280" w:lineRule="exact"/>
              <w:rPr>
                <w:rFonts w:ascii="宋体" w:hAnsi="宋体" w:cs="宋体"/>
                <w:b/>
                <w:bCs/>
                <w:szCs w:val="21"/>
              </w:rPr>
            </w:pPr>
          </w:p>
        </w:tc>
        <w:tc>
          <w:tcPr>
            <w:tcW w:w="709" w:type="dxa"/>
            <w:vMerge w:val="restart"/>
          </w:tcPr>
          <w:p>
            <w:pPr>
              <w:spacing w:line="280" w:lineRule="exact"/>
              <w:rPr>
                <w:rFonts w:ascii="宋体" w:hAnsi="宋体" w:cs="宋体"/>
                <w:b/>
                <w:bCs/>
                <w:szCs w:val="21"/>
              </w:rPr>
            </w:pPr>
            <w:r>
              <w:rPr>
                <w:rFonts w:hint="eastAsia" w:ascii="宋体" w:hAnsi="宋体" w:cs="宋体"/>
                <w:b/>
                <w:bCs/>
                <w:szCs w:val="21"/>
              </w:rPr>
              <w:t>7.2</w:t>
            </w:r>
          </w:p>
          <w:p>
            <w:pPr>
              <w:spacing w:line="280" w:lineRule="exact"/>
              <w:rPr>
                <w:rFonts w:ascii="宋体" w:hAnsi="宋体" w:cs="宋体"/>
                <w:b/>
                <w:bCs/>
                <w:szCs w:val="21"/>
              </w:rPr>
            </w:pPr>
            <w:r>
              <w:rPr>
                <w:rFonts w:hint="eastAsia" w:ascii="宋体" w:hAnsi="宋体" w:cs="宋体"/>
                <w:b/>
                <w:bCs/>
                <w:szCs w:val="21"/>
              </w:rPr>
              <w:t>警示标志</w:t>
            </w:r>
          </w:p>
          <w:p>
            <w:pPr>
              <w:spacing w:line="280" w:lineRule="exact"/>
              <w:rPr>
                <w:rFonts w:ascii="宋体" w:hAnsi="宋体" w:cs="宋体"/>
                <w:b/>
                <w:bCs/>
                <w:szCs w:val="21"/>
              </w:rPr>
            </w:pPr>
            <w:r>
              <w:rPr>
                <w:rFonts w:hint="eastAsia" w:ascii="宋体" w:hAnsi="宋体" w:cs="宋体"/>
                <w:b/>
                <w:bCs/>
                <w:szCs w:val="21"/>
              </w:rPr>
              <w:t>（15分）</w:t>
            </w:r>
          </w:p>
          <w:p>
            <w:pPr>
              <w:spacing w:line="280" w:lineRule="exact"/>
              <w:rPr>
                <w:rFonts w:ascii="宋体" w:hAnsi="宋体" w:cs="宋体"/>
                <w:b/>
                <w:bCs/>
                <w:szCs w:val="21"/>
              </w:rPr>
            </w:pPr>
          </w:p>
          <w:p>
            <w:pPr>
              <w:spacing w:line="280" w:lineRule="exact"/>
              <w:rPr>
                <w:rFonts w:ascii="宋体" w:hAnsi="宋体" w:cs="宋体"/>
                <w:b/>
                <w:bCs/>
                <w:szCs w:val="21"/>
              </w:rPr>
            </w:pPr>
          </w:p>
        </w:tc>
        <w:tc>
          <w:tcPr>
            <w:tcW w:w="2409" w:type="dxa"/>
          </w:tcPr>
          <w:p>
            <w:pPr>
              <w:spacing w:line="280" w:lineRule="exact"/>
              <w:rPr>
                <w:rFonts w:ascii="宋体" w:hAnsi="宋体" w:cs="宋体"/>
                <w:szCs w:val="21"/>
              </w:rPr>
            </w:pPr>
            <w:r>
              <w:rPr>
                <w:rFonts w:hint="eastAsia" w:ascii="宋体" w:hAnsi="宋体" w:cs="宋体"/>
                <w:szCs w:val="21"/>
              </w:rPr>
              <w:t>1.企业应按照GB16179规定，在易燃、易爆、有毒有害等危险场所的醒目位置设置符合GB2894规定的安全标志。</w:t>
            </w:r>
          </w:p>
        </w:tc>
        <w:tc>
          <w:tcPr>
            <w:tcW w:w="2268" w:type="dxa"/>
          </w:tcPr>
          <w:p>
            <w:pPr>
              <w:spacing w:line="280" w:lineRule="exact"/>
              <w:rPr>
                <w:rFonts w:ascii="宋体" w:hAnsi="宋体" w:cs="宋体"/>
                <w:szCs w:val="21"/>
              </w:rPr>
            </w:pPr>
            <w:r>
              <w:rPr>
                <w:rFonts w:hint="eastAsia" w:ascii="宋体" w:hAnsi="宋体" w:cs="宋体"/>
                <w:szCs w:val="21"/>
              </w:rPr>
              <w:t>装置、仓库、罐区、装卸区、危险化学品输送管道等危险场所的醒目位置设置符合GB2894规定的安全标志。</w:t>
            </w:r>
          </w:p>
        </w:tc>
        <w:tc>
          <w:tcPr>
            <w:tcW w:w="2268" w:type="dxa"/>
          </w:tcPr>
          <w:p>
            <w:pPr>
              <w:spacing w:line="280" w:lineRule="exact"/>
              <w:rPr>
                <w:rFonts w:ascii="宋体" w:hAnsi="宋体" w:cs="宋体"/>
                <w:szCs w:val="21"/>
              </w:rPr>
            </w:pPr>
            <w:r>
              <w:rPr>
                <w:rFonts w:hint="eastAsia" w:ascii="宋体" w:hAnsi="宋体" w:cs="宋体"/>
                <w:szCs w:val="21"/>
              </w:rPr>
              <w:t>查文件：</w:t>
            </w:r>
          </w:p>
          <w:p>
            <w:pPr>
              <w:spacing w:line="280" w:lineRule="exact"/>
              <w:rPr>
                <w:rFonts w:ascii="宋体" w:hAnsi="宋体" w:cs="宋体"/>
                <w:szCs w:val="21"/>
              </w:rPr>
            </w:pPr>
            <w:r>
              <w:rPr>
                <w:rFonts w:hint="eastAsia" w:ascii="宋体" w:hAnsi="宋体" w:cs="宋体"/>
                <w:szCs w:val="21"/>
              </w:rPr>
              <w:t>安全标志一览表，载明每个安全标志使用的场所。</w:t>
            </w:r>
          </w:p>
          <w:p>
            <w:pPr>
              <w:spacing w:line="280" w:lineRule="exact"/>
              <w:rPr>
                <w:rFonts w:ascii="宋体" w:hAnsi="宋体" w:cs="宋体"/>
                <w:szCs w:val="21"/>
              </w:rPr>
            </w:pPr>
            <w:r>
              <w:rPr>
                <w:rFonts w:hint="eastAsia" w:ascii="宋体" w:hAnsi="宋体" w:cs="宋体"/>
                <w:szCs w:val="21"/>
              </w:rPr>
              <w:t>现场检查：</w:t>
            </w:r>
          </w:p>
          <w:p>
            <w:pPr>
              <w:spacing w:line="280" w:lineRule="exact"/>
              <w:rPr>
                <w:rFonts w:ascii="宋体" w:hAnsi="宋体" w:cs="宋体"/>
                <w:szCs w:val="21"/>
              </w:rPr>
            </w:pPr>
            <w:r>
              <w:rPr>
                <w:rFonts w:hint="eastAsia" w:ascii="宋体" w:hAnsi="宋体" w:cs="宋体"/>
                <w:szCs w:val="21"/>
              </w:rPr>
              <w:t>装置现场、仓库、罐区、装卸区等危险场所安全标志设置情况。</w:t>
            </w:r>
          </w:p>
        </w:tc>
        <w:tc>
          <w:tcPr>
            <w:tcW w:w="1701" w:type="dxa"/>
          </w:tcPr>
          <w:p>
            <w:pPr>
              <w:spacing w:line="280" w:lineRule="exact"/>
              <w:rPr>
                <w:rFonts w:ascii="宋体" w:hAnsi="宋体" w:cs="宋体"/>
                <w:szCs w:val="21"/>
              </w:rPr>
            </w:pPr>
          </w:p>
        </w:tc>
        <w:tc>
          <w:tcPr>
            <w:tcW w:w="2268" w:type="dxa"/>
          </w:tcPr>
          <w:p>
            <w:pPr>
              <w:spacing w:line="280" w:lineRule="exact"/>
              <w:rPr>
                <w:rFonts w:ascii="宋体" w:hAnsi="宋体" w:cs="宋体"/>
                <w:szCs w:val="21"/>
              </w:rPr>
            </w:pPr>
            <w:r>
              <w:rPr>
                <w:rFonts w:hint="eastAsia" w:ascii="宋体" w:hAnsi="宋体" w:cs="宋体"/>
                <w:szCs w:val="21"/>
              </w:rPr>
              <w:t>1.未建立安全标志一览表，或者没有载明安全标志使用场所，一项扣1分；</w:t>
            </w:r>
          </w:p>
          <w:p>
            <w:pPr>
              <w:spacing w:line="280" w:lineRule="exact"/>
              <w:rPr>
                <w:rFonts w:ascii="宋体" w:hAnsi="宋体" w:cs="宋体"/>
                <w:szCs w:val="21"/>
              </w:rPr>
            </w:pPr>
            <w:r>
              <w:rPr>
                <w:rFonts w:hint="eastAsia" w:ascii="宋体" w:hAnsi="宋体" w:cs="宋体"/>
                <w:szCs w:val="21"/>
              </w:rPr>
              <w:t>2.未设置安全标志或安全标志使用不符合要求，一处扣1分。</w:t>
            </w:r>
          </w:p>
        </w:tc>
        <w:tc>
          <w:tcPr>
            <w:tcW w:w="1165" w:type="dxa"/>
            <w:vAlign w:val="center"/>
          </w:tcPr>
          <w:p>
            <w:pPr>
              <w:spacing w:line="280" w:lineRule="exact"/>
              <w:jc w:val="center"/>
              <w:rPr>
                <w:rFonts w:ascii="宋体" w:hAnsi="宋体" w:cs="宋体"/>
                <w:szCs w:val="21"/>
              </w:rPr>
            </w:pPr>
            <w:r>
              <w:rPr>
                <w:rFonts w:hint="eastAsia" w:ascii="宋体" w:hAnsi="宋体" w:cs="宋体"/>
                <w:szCs w:val="21"/>
                <w:lang w:eastAsia="zh-CN"/>
              </w:rPr>
              <w:t>危废库</w:t>
            </w:r>
            <w:r>
              <w:rPr>
                <w:rFonts w:hint="eastAsia" w:ascii="宋体" w:hAnsi="宋体" w:cs="宋体"/>
                <w:szCs w:val="21"/>
              </w:rPr>
              <w:t>安全标志使用不符合要求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771" w:type="dxa"/>
            <w:vMerge w:val="continue"/>
          </w:tcPr>
          <w:p>
            <w:pPr>
              <w:spacing w:line="280" w:lineRule="exact"/>
              <w:rPr>
                <w:rFonts w:ascii="宋体" w:hAnsi="宋体" w:cs="宋体"/>
                <w:b/>
                <w:bCs/>
                <w:szCs w:val="21"/>
              </w:rPr>
            </w:pPr>
          </w:p>
        </w:tc>
        <w:tc>
          <w:tcPr>
            <w:tcW w:w="709" w:type="dxa"/>
            <w:vMerge w:val="continue"/>
          </w:tcPr>
          <w:p>
            <w:pPr>
              <w:spacing w:line="280" w:lineRule="exact"/>
              <w:rPr>
                <w:rFonts w:ascii="宋体" w:hAnsi="宋体" w:cs="宋体"/>
                <w:b/>
                <w:bCs/>
                <w:szCs w:val="21"/>
              </w:rPr>
            </w:pPr>
          </w:p>
        </w:tc>
        <w:tc>
          <w:tcPr>
            <w:tcW w:w="2409" w:type="dxa"/>
          </w:tcPr>
          <w:p>
            <w:pPr>
              <w:spacing w:line="280" w:lineRule="exact"/>
              <w:rPr>
                <w:rFonts w:ascii="宋体" w:hAnsi="宋体" w:cs="宋体"/>
                <w:szCs w:val="21"/>
              </w:rPr>
            </w:pPr>
            <w:r>
              <w:rPr>
                <w:rFonts w:hint="eastAsia" w:ascii="宋体" w:hAnsi="宋体" w:cs="宋体"/>
                <w:szCs w:val="21"/>
              </w:rPr>
              <w:t>2.企业应在重大危险源现场设置明显的安全警示标志。</w:t>
            </w:r>
          </w:p>
        </w:tc>
        <w:tc>
          <w:tcPr>
            <w:tcW w:w="2268" w:type="dxa"/>
          </w:tcPr>
          <w:p>
            <w:pPr>
              <w:spacing w:line="280" w:lineRule="exact"/>
              <w:rPr>
                <w:rFonts w:ascii="宋体" w:hAnsi="宋体" w:cs="宋体"/>
                <w:szCs w:val="21"/>
              </w:rPr>
            </w:pPr>
            <w:r>
              <w:rPr>
                <w:rFonts w:hint="eastAsia" w:ascii="宋体" w:hAnsi="宋体" w:cs="宋体"/>
                <w:szCs w:val="21"/>
              </w:rPr>
              <w:t>重大危险源现场，设置明显的安全警示标志和告知牌。</w:t>
            </w:r>
          </w:p>
        </w:tc>
        <w:tc>
          <w:tcPr>
            <w:tcW w:w="2268" w:type="dxa"/>
          </w:tcPr>
          <w:p>
            <w:pPr>
              <w:spacing w:line="280" w:lineRule="exact"/>
              <w:rPr>
                <w:rFonts w:ascii="宋体" w:hAnsi="宋体" w:cs="宋体"/>
                <w:szCs w:val="21"/>
              </w:rPr>
            </w:pPr>
            <w:r>
              <w:rPr>
                <w:rFonts w:hint="eastAsia" w:ascii="宋体" w:hAnsi="宋体" w:cs="宋体"/>
                <w:szCs w:val="21"/>
              </w:rPr>
              <w:t>现场检查：</w:t>
            </w:r>
          </w:p>
          <w:p>
            <w:pPr>
              <w:spacing w:line="280" w:lineRule="exact"/>
              <w:rPr>
                <w:rFonts w:ascii="宋体" w:hAnsi="宋体" w:cs="宋体"/>
                <w:szCs w:val="21"/>
              </w:rPr>
            </w:pPr>
            <w:r>
              <w:rPr>
                <w:rFonts w:hint="eastAsia" w:ascii="宋体" w:hAnsi="宋体" w:cs="宋体"/>
                <w:szCs w:val="21"/>
              </w:rPr>
              <w:t>重大危险源现场安全警示标志和告知牌。</w:t>
            </w:r>
          </w:p>
        </w:tc>
        <w:tc>
          <w:tcPr>
            <w:tcW w:w="1701" w:type="dxa"/>
          </w:tcPr>
          <w:p>
            <w:pPr>
              <w:spacing w:line="280" w:lineRule="exact"/>
              <w:rPr>
                <w:rFonts w:ascii="宋体" w:hAnsi="宋体" w:cs="宋体"/>
                <w:szCs w:val="21"/>
              </w:rPr>
            </w:pPr>
          </w:p>
        </w:tc>
        <w:tc>
          <w:tcPr>
            <w:tcW w:w="2268" w:type="dxa"/>
          </w:tcPr>
          <w:p>
            <w:pPr>
              <w:spacing w:line="280" w:lineRule="exact"/>
              <w:rPr>
                <w:rFonts w:ascii="宋体" w:hAnsi="宋体" w:cs="宋体"/>
                <w:szCs w:val="21"/>
              </w:rPr>
            </w:pPr>
            <w:r>
              <w:rPr>
                <w:rFonts w:hint="eastAsia" w:ascii="宋体" w:hAnsi="宋体" w:cs="宋体"/>
                <w:szCs w:val="21"/>
              </w:rPr>
              <w:t>警示标志和告知牌，一处不符合扣1分。</w:t>
            </w:r>
          </w:p>
        </w:tc>
        <w:tc>
          <w:tcPr>
            <w:tcW w:w="1165" w:type="dxa"/>
            <w:vAlign w:val="center"/>
          </w:tcPr>
          <w:p>
            <w:pPr>
              <w:spacing w:line="280" w:lineRule="exact"/>
              <w:jc w:val="center"/>
              <w:rPr>
                <w:rFonts w:ascii="宋体" w:hAnsi="宋体" w:cs="宋体"/>
                <w:szCs w:val="21"/>
              </w:rPr>
            </w:pPr>
            <w:r>
              <w:rPr>
                <w:rFonts w:hint="eastAsia" w:ascii="宋体" w:hAnsi="宋体" w:cs="宋体"/>
                <w:spacing w:val="2"/>
                <w:szCs w:val="21"/>
              </w:rPr>
              <w:t>符合要求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771" w:type="dxa"/>
            <w:vMerge w:val="continue"/>
          </w:tcPr>
          <w:p>
            <w:pPr>
              <w:spacing w:line="280" w:lineRule="exact"/>
              <w:rPr>
                <w:rFonts w:ascii="宋体" w:hAnsi="宋体" w:cs="宋体"/>
                <w:b/>
                <w:bCs/>
                <w:szCs w:val="21"/>
              </w:rPr>
            </w:pPr>
          </w:p>
        </w:tc>
        <w:tc>
          <w:tcPr>
            <w:tcW w:w="709" w:type="dxa"/>
            <w:vMerge w:val="continue"/>
          </w:tcPr>
          <w:p>
            <w:pPr>
              <w:spacing w:line="280" w:lineRule="exact"/>
              <w:rPr>
                <w:rFonts w:ascii="宋体" w:hAnsi="宋体" w:cs="宋体"/>
                <w:b/>
                <w:bCs/>
                <w:szCs w:val="21"/>
              </w:rPr>
            </w:pPr>
          </w:p>
        </w:tc>
        <w:tc>
          <w:tcPr>
            <w:tcW w:w="2409" w:type="dxa"/>
          </w:tcPr>
          <w:p>
            <w:pPr>
              <w:spacing w:line="280" w:lineRule="exact"/>
              <w:rPr>
                <w:rFonts w:ascii="宋体" w:hAnsi="宋体" w:cs="宋体"/>
                <w:szCs w:val="21"/>
              </w:rPr>
            </w:pPr>
            <w:r>
              <w:rPr>
                <w:rFonts w:hint="eastAsia" w:ascii="宋体" w:hAnsi="宋体" w:cs="宋体"/>
                <w:szCs w:val="21"/>
              </w:rPr>
              <w:t>3.企业应按有关规定，在厂内道路设置限速、限高、禁行等标志。</w:t>
            </w:r>
          </w:p>
        </w:tc>
        <w:tc>
          <w:tcPr>
            <w:tcW w:w="2268" w:type="dxa"/>
          </w:tcPr>
          <w:p>
            <w:pPr>
              <w:spacing w:line="280" w:lineRule="exact"/>
              <w:rPr>
                <w:rFonts w:ascii="宋体" w:hAnsi="宋体" w:cs="宋体"/>
                <w:szCs w:val="21"/>
              </w:rPr>
            </w:pPr>
            <w:r>
              <w:rPr>
                <w:rFonts w:hint="eastAsia" w:ascii="宋体" w:hAnsi="宋体" w:cs="宋体"/>
                <w:szCs w:val="21"/>
              </w:rPr>
              <w:t>按有关规定在厂内道路设置限速、限高、禁行标志。</w:t>
            </w:r>
          </w:p>
        </w:tc>
        <w:tc>
          <w:tcPr>
            <w:tcW w:w="2268" w:type="dxa"/>
          </w:tcPr>
          <w:p>
            <w:pPr>
              <w:spacing w:line="280" w:lineRule="exact"/>
              <w:rPr>
                <w:rFonts w:ascii="宋体" w:hAnsi="宋体" w:cs="宋体"/>
                <w:szCs w:val="21"/>
              </w:rPr>
            </w:pPr>
            <w:r>
              <w:rPr>
                <w:rFonts w:hint="eastAsia" w:ascii="宋体" w:hAnsi="宋体" w:cs="宋体"/>
                <w:szCs w:val="21"/>
              </w:rPr>
              <w:t>现场检查：</w:t>
            </w:r>
          </w:p>
          <w:p>
            <w:pPr>
              <w:spacing w:line="280" w:lineRule="exact"/>
              <w:rPr>
                <w:rFonts w:ascii="宋体" w:hAnsi="宋体" w:cs="宋体"/>
                <w:szCs w:val="21"/>
              </w:rPr>
            </w:pPr>
            <w:r>
              <w:rPr>
                <w:rFonts w:hint="eastAsia" w:ascii="宋体" w:hAnsi="宋体" w:cs="宋体"/>
                <w:szCs w:val="21"/>
              </w:rPr>
              <w:t>厂区道路限速、限高、禁行等标志。</w:t>
            </w:r>
          </w:p>
        </w:tc>
        <w:tc>
          <w:tcPr>
            <w:tcW w:w="1701" w:type="dxa"/>
          </w:tcPr>
          <w:p>
            <w:pPr>
              <w:spacing w:line="280" w:lineRule="exact"/>
              <w:rPr>
                <w:rFonts w:ascii="宋体" w:hAnsi="宋体" w:cs="宋体"/>
                <w:szCs w:val="21"/>
              </w:rPr>
            </w:pPr>
          </w:p>
        </w:tc>
        <w:tc>
          <w:tcPr>
            <w:tcW w:w="2268" w:type="dxa"/>
          </w:tcPr>
          <w:p>
            <w:pPr>
              <w:spacing w:line="280" w:lineRule="exact"/>
              <w:rPr>
                <w:rFonts w:ascii="宋体" w:hAnsi="宋体" w:cs="宋体"/>
                <w:szCs w:val="21"/>
              </w:rPr>
            </w:pPr>
            <w:r>
              <w:rPr>
                <w:rFonts w:hint="eastAsia" w:ascii="宋体" w:hAnsi="宋体" w:cs="宋体"/>
                <w:szCs w:val="21"/>
              </w:rPr>
              <w:t>道路限高、限速、禁行等标志不符合要求，一处扣1分。</w:t>
            </w:r>
          </w:p>
        </w:tc>
        <w:tc>
          <w:tcPr>
            <w:tcW w:w="1165" w:type="dxa"/>
            <w:vAlign w:val="center"/>
          </w:tcPr>
          <w:p>
            <w:pPr>
              <w:spacing w:line="280" w:lineRule="exact"/>
              <w:jc w:val="center"/>
              <w:rPr>
                <w:rFonts w:ascii="宋体" w:hAnsi="宋体" w:cs="宋体"/>
                <w:szCs w:val="21"/>
              </w:rPr>
            </w:pPr>
            <w:r>
              <w:rPr>
                <w:rFonts w:hint="eastAsia" w:ascii="宋体" w:hAnsi="宋体" w:cs="宋体"/>
                <w:szCs w:val="21"/>
              </w:rPr>
              <w:t>符合要求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771" w:type="dxa"/>
            <w:vMerge w:val="continue"/>
          </w:tcPr>
          <w:p>
            <w:pPr>
              <w:spacing w:line="280" w:lineRule="exact"/>
              <w:rPr>
                <w:rFonts w:ascii="宋体" w:hAnsi="宋体" w:cs="宋体"/>
                <w:b/>
                <w:bCs/>
                <w:szCs w:val="21"/>
              </w:rPr>
            </w:pPr>
          </w:p>
        </w:tc>
        <w:tc>
          <w:tcPr>
            <w:tcW w:w="709" w:type="dxa"/>
            <w:vMerge w:val="continue"/>
          </w:tcPr>
          <w:p>
            <w:pPr>
              <w:spacing w:line="280" w:lineRule="exact"/>
              <w:rPr>
                <w:rFonts w:ascii="宋体" w:hAnsi="宋体" w:cs="宋体"/>
                <w:b/>
                <w:bCs/>
                <w:szCs w:val="21"/>
              </w:rPr>
            </w:pPr>
          </w:p>
        </w:tc>
        <w:tc>
          <w:tcPr>
            <w:tcW w:w="2409" w:type="dxa"/>
          </w:tcPr>
          <w:p>
            <w:pPr>
              <w:spacing w:line="280" w:lineRule="exact"/>
              <w:rPr>
                <w:rFonts w:ascii="宋体" w:hAnsi="宋体" w:cs="宋体"/>
                <w:szCs w:val="21"/>
              </w:rPr>
            </w:pPr>
            <w:r>
              <w:rPr>
                <w:rFonts w:hint="eastAsia" w:ascii="宋体" w:hAnsi="宋体" w:cs="宋体"/>
                <w:szCs w:val="21"/>
              </w:rPr>
              <w:t>4.企业应在检维修、施工、吊装等作业现场设置警戒区域和安全标志，在检修现场的坑、井、洼、沟、陡坡等场所设置围栏和警示灯。</w:t>
            </w:r>
          </w:p>
        </w:tc>
        <w:tc>
          <w:tcPr>
            <w:tcW w:w="2268" w:type="dxa"/>
          </w:tcPr>
          <w:p>
            <w:pPr>
              <w:spacing w:line="280" w:lineRule="exact"/>
              <w:rPr>
                <w:rFonts w:ascii="宋体" w:hAnsi="宋体" w:cs="宋体"/>
                <w:szCs w:val="21"/>
              </w:rPr>
            </w:pPr>
            <w:r>
              <w:rPr>
                <w:rFonts w:hint="eastAsia" w:ascii="宋体" w:hAnsi="宋体" w:cs="宋体"/>
                <w:szCs w:val="21"/>
              </w:rPr>
              <w:t>1.检维修、施工、吊装等作业现场设置相应的警戒区域和警示标志；</w:t>
            </w:r>
          </w:p>
          <w:p>
            <w:pPr>
              <w:spacing w:line="280" w:lineRule="exact"/>
              <w:rPr>
                <w:rFonts w:ascii="宋体" w:hAnsi="宋体" w:cs="宋体"/>
                <w:szCs w:val="21"/>
              </w:rPr>
            </w:pPr>
            <w:r>
              <w:rPr>
                <w:rFonts w:hint="eastAsia" w:ascii="宋体" w:hAnsi="宋体" w:cs="宋体"/>
                <w:szCs w:val="21"/>
              </w:rPr>
              <w:t>2.检修现场的坑、井、洼、沟、陡坡等场所设置围栏和警示灯。</w:t>
            </w:r>
          </w:p>
        </w:tc>
        <w:tc>
          <w:tcPr>
            <w:tcW w:w="2268" w:type="dxa"/>
          </w:tcPr>
          <w:p>
            <w:pPr>
              <w:spacing w:line="280" w:lineRule="exact"/>
              <w:rPr>
                <w:rFonts w:ascii="宋体" w:hAnsi="宋体" w:cs="宋体"/>
                <w:szCs w:val="21"/>
              </w:rPr>
            </w:pPr>
            <w:r>
              <w:rPr>
                <w:rFonts w:hint="eastAsia" w:ascii="宋体" w:hAnsi="宋体" w:cs="宋体"/>
                <w:szCs w:val="21"/>
              </w:rPr>
              <w:t>现场检查：</w:t>
            </w:r>
          </w:p>
          <w:p>
            <w:pPr>
              <w:spacing w:line="280" w:lineRule="exact"/>
              <w:rPr>
                <w:rFonts w:ascii="宋体" w:hAnsi="宋体" w:cs="宋体"/>
                <w:szCs w:val="21"/>
              </w:rPr>
            </w:pPr>
            <w:r>
              <w:rPr>
                <w:rFonts w:hint="eastAsia" w:ascii="宋体" w:hAnsi="宋体" w:cs="宋体"/>
                <w:szCs w:val="21"/>
              </w:rPr>
              <w:t>检维修、施工、吊装等作业现场管理情况。</w:t>
            </w:r>
          </w:p>
        </w:tc>
        <w:tc>
          <w:tcPr>
            <w:tcW w:w="1701" w:type="dxa"/>
          </w:tcPr>
          <w:p>
            <w:pPr>
              <w:spacing w:line="280" w:lineRule="exact"/>
              <w:rPr>
                <w:rFonts w:ascii="宋体" w:hAnsi="宋体" w:cs="宋体"/>
                <w:szCs w:val="21"/>
              </w:rPr>
            </w:pPr>
          </w:p>
        </w:tc>
        <w:tc>
          <w:tcPr>
            <w:tcW w:w="2268" w:type="dxa"/>
          </w:tcPr>
          <w:p>
            <w:pPr>
              <w:spacing w:line="280" w:lineRule="exact"/>
              <w:rPr>
                <w:rFonts w:ascii="宋体" w:hAnsi="宋体" w:cs="宋体"/>
                <w:szCs w:val="21"/>
              </w:rPr>
            </w:pPr>
            <w:r>
              <w:rPr>
                <w:rFonts w:hint="eastAsia" w:ascii="宋体" w:hAnsi="宋体" w:cs="宋体"/>
                <w:szCs w:val="21"/>
              </w:rPr>
              <w:t>一项不符合扣1分。</w:t>
            </w:r>
          </w:p>
        </w:tc>
        <w:tc>
          <w:tcPr>
            <w:tcW w:w="1165" w:type="dxa"/>
            <w:vAlign w:val="center"/>
          </w:tcPr>
          <w:p>
            <w:pPr>
              <w:spacing w:line="280" w:lineRule="exact"/>
              <w:jc w:val="center"/>
              <w:rPr>
                <w:rFonts w:ascii="宋体" w:hAnsi="宋体" w:cs="宋体"/>
                <w:szCs w:val="21"/>
              </w:rPr>
            </w:pPr>
            <w:r>
              <w:rPr>
                <w:rFonts w:hint="eastAsia" w:ascii="宋体" w:hAnsi="宋体" w:cs="宋体"/>
                <w:szCs w:val="21"/>
              </w:rPr>
              <w:t>符合要求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771" w:type="dxa"/>
            <w:vMerge w:val="continue"/>
          </w:tcPr>
          <w:p>
            <w:pPr>
              <w:spacing w:line="280" w:lineRule="exact"/>
              <w:rPr>
                <w:rFonts w:ascii="宋体" w:hAnsi="宋体" w:cs="宋体"/>
                <w:b/>
                <w:bCs/>
                <w:szCs w:val="21"/>
              </w:rPr>
            </w:pPr>
          </w:p>
        </w:tc>
        <w:tc>
          <w:tcPr>
            <w:tcW w:w="709" w:type="dxa"/>
            <w:vMerge w:val="continue"/>
          </w:tcPr>
          <w:p>
            <w:pPr>
              <w:spacing w:line="280" w:lineRule="exact"/>
              <w:rPr>
                <w:rFonts w:ascii="宋体" w:hAnsi="宋体" w:cs="宋体"/>
                <w:b/>
                <w:bCs/>
                <w:szCs w:val="21"/>
              </w:rPr>
            </w:pPr>
          </w:p>
        </w:tc>
        <w:tc>
          <w:tcPr>
            <w:tcW w:w="2409" w:type="dxa"/>
          </w:tcPr>
          <w:p>
            <w:pPr>
              <w:spacing w:line="280" w:lineRule="exact"/>
              <w:rPr>
                <w:rFonts w:ascii="宋体" w:hAnsi="宋体" w:cs="宋体"/>
                <w:szCs w:val="21"/>
              </w:rPr>
            </w:pPr>
            <w:r>
              <w:rPr>
                <w:rFonts w:hint="eastAsia" w:ascii="宋体" w:hAnsi="宋体" w:cs="宋体"/>
                <w:szCs w:val="21"/>
              </w:rPr>
              <w:t>5.企业应在可能产生严重职业危害作业岗位的醒目位置，按照GBZ158设置职业危害警示标识，同时设置告知牌，告知产生职业危害的种类、后果、预防及应急救治措施、作业场所职业危害因素检测结果等。</w:t>
            </w:r>
          </w:p>
        </w:tc>
        <w:tc>
          <w:tcPr>
            <w:tcW w:w="2268" w:type="dxa"/>
          </w:tcPr>
          <w:p>
            <w:pPr>
              <w:spacing w:line="280" w:lineRule="exact"/>
              <w:rPr>
                <w:rFonts w:ascii="宋体" w:hAnsi="宋体" w:cs="宋体"/>
                <w:szCs w:val="21"/>
              </w:rPr>
            </w:pPr>
            <w:r>
              <w:rPr>
                <w:rFonts w:hint="eastAsia" w:ascii="宋体" w:hAnsi="宋体" w:cs="宋体"/>
                <w:szCs w:val="21"/>
              </w:rPr>
              <w:t>1.在装置现场、仓库、罐区、装卸区等区域可能产生严重职业危害的岗位醒目位置设置警示标志；</w:t>
            </w:r>
          </w:p>
          <w:p>
            <w:pPr>
              <w:spacing w:line="280" w:lineRule="exact"/>
              <w:rPr>
                <w:rFonts w:ascii="宋体" w:hAnsi="宋体" w:cs="宋体"/>
                <w:szCs w:val="21"/>
              </w:rPr>
            </w:pPr>
            <w:r>
              <w:rPr>
                <w:rFonts w:hint="eastAsia" w:ascii="宋体" w:hAnsi="宋体" w:cs="宋体"/>
                <w:szCs w:val="21"/>
              </w:rPr>
              <w:t>2.在产生职业危害的岗位醒目位置设置告知牌，告知职业危害因素检测结果、时间和周期及标准规定值。</w:t>
            </w:r>
          </w:p>
        </w:tc>
        <w:tc>
          <w:tcPr>
            <w:tcW w:w="2268" w:type="dxa"/>
          </w:tcPr>
          <w:p>
            <w:pPr>
              <w:spacing w:line="280" w:lineRule="exact"/>
              <w:rPr>
                <w:rFonts w:ascii="宋体" w:hAnsi="宋体" w:cs="宋体"/>
                <w:szCs w:val="21"/>
              </w:rPr>
            </w:pPr>
            <w:r>
              <w:rPr>
                <w:rFonts w:hint="eastAsia" w:ascii="宋体" w:hAnsi="宋体" w:cs="宋体"/>
                <w:szCs w:val="21"/>
              </w:rPr>
              <w:t>查文件：</w:t>
            </w:r>
          </w:p>
          <w:p>
            <w:pPr>
              <w:spacing w:line="280" w:lineRule="exact"/>
              <w:rPr>
                <w:rFonts w:ascii="宋体" w:hAnsi="宋体" w:cs="宋体"/>
                <w:szCs w:val="21"/>
              </w:rPr>
            </w:pPr>
            <w:r>
              <w:rPr>
                <w:rFonts w:hint="eastAsia" w:ascii="宋体" w:hAnsi="宋体" w:cs="宋体"/>
                <w:szCs w:val="21"/>
              </w:rPr>
              <w:t>1.警示标志和告知牌管理台账；</w:t>
            </w:r>
          </w:p>
          <w:p>
            <w:pPr>
              <w:spacing w:line="280" w:lineRule="exact"/>
              <w:rPr>
                <w:rFonts w:ascii="宋体" w:hAnsi="宋体" w:cs="宋体"/>
                <w:szCs w:val="21"/>
              </w:rPr>
            </w:pPr>
            <w:r>
              <w:rPr>
                <w:rFonts w:hint="eastAsia" w:ascii="宋体" w:hAnsi="宋体" w:cs="宋体"/>
                <w:szCs w:val="21"/>
              </w:rPr>
              <w:t>2.职业危害因素检测记录。</w:t>
            </w:r>
          </w:p>
          <w:p>
            <w:pPr>
              <w:spacing w:line="280" w:lineRule="exact"/>
              <w:rPr>
                <w:rFonts w:ascii="宋体" w:hAnsi="宋体" w:cs="宋体"/>
                <w:szCs w:val="21"/>
              </w:rPr>
            </w:pPr>
            <w:r>
              <w:rPr>
                <w:rFonts w:hint="eastAsia" w:ascii="宋体" w:hAnsi="宋体" w:cs="宋体"/>
                <w:szCs w:val="21"/>
              </w:rPr>
              <w:t>现场检查：</w:t>
            </w:r>
          </w:p>
          <w:p>
            <w:pPr>
              <w:spacing w:line="280" w:lineRule="exact"/>
              <w:rPr>
                <w:rFonts w:ascii="宋体" w:hAnsi="宋体" w:cs="宋体"/>
                <w:szCs w:val="21"/>
              </w:rPr>
            </w:pPr>
            <w:r>
              <w:rPr>
                <w:rFonts w:hint="eastAsia" w:ascii="宋体" w:hAnsi="宋体" w:cs="宋体"/>
                <w:szCs w:val="21"/>
              </w:rPr>
              <w:t>职业危害岗位警示标志和告知牌。</w:t>
            </w:r>
          </w:p>
        </w:tc>
        <w:tc>
          <w:tcPr>
            <w:tcW w:w="1701" w:type="dxa"/>
          </w:tcPr>
          <w:p>
            <w:pPr>
              <w:spacing w:line="280" w:lineRule="exact"/>
              <w:rPr>
                <w:rFonts w:ascii="宋体" w:hAnsi="宋体" w:cs="宋体"/>
                <w:szCs w:val="21"/>
              </w:rPr>
            </w:pPr>
          </w:p>
        </w:tc>
        <w:tc>
          <w:tcPr>
            <w:tcW w:w="2268" w:type="dxa"/>
          </w:tcPr>
          <w:p>
            <w:pPr>
              <w:spacing w:line="280" w:lineRule="exact"/>
              <w:rPr>
                <w:rFonts w:ascii="宋体" w:hAnsi="宋体" w:cs="宋体"/>
                <w:szCs w:val="21"/>
              </w:rPr>
            </w:pPr>
            <w:r>
              <w:rPr>
                <w:rFonts w:hint="eastAsia" w:ascii="宋体" w:hAnsi="宋体" w:cs="宋体"/>
                <w:szCs w:val="21"/>
              </w:rPr>
              <w:t>1.未设置警示标志和告知牌，或设置不符合要求，一处扣2分；</w:t>
            </w:r>
          </w:p>
          <w:p>
            <w:pPr>
              <w:spacing w:line="280" w:lineRule="exact"/>
              <w:rPr>
                <w:rFonts w:ascii="宋体" w:hAnsi="宋体" w:cs="宋体"/>
                <w:szCs w:val="21"/>
              </w:rPr>
            </w:pPr>
            <w:r>
              <w:rPr>
                <w:rFonts w:hint="eastAsia" w:ascii="宋体" w:hAnsi="宋体" w:cs="宋体"/>
                <w:szCs w:val="21"/>
              </w:rPr>
              <w:t>2.未在现场告知职业危害因素检测结果、时间和周期或标准规定值，一处扣1分。</w:t>
            </w:r>
          </w:p>
        </w:tc>
        <w:tc>
          <w:tcPr>
            <w:tcW w:w="1165" w:type="dxa"/>
            <w:vAlign w:val="center"/>
          </w:tcPr>
          <w:p>
            <w:pPr>
              <w:spacing w:line="280" w:lineRule="exact"/>
              <w:jc w:val="center"/>
              <w:rPr>
                <w:rFonts w:ascii="宋体" w:hAnsi="宋体" w:cs="宋体"/>
                <w:b/>
                <w:bCs/>
                <w:szCs w:val="21"/>
              </w:rPr>
            </w:pPr>
            <w:r>
              <w:rPr>
                <w:rFonts w:hint="eastAsia" w:ascii="宋体" w:hAnsi="宋体" w:cs="宋体"/>
                <w:szCs w:val="21"/>
              </w:rPr>
              <w:t>符合要求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771" w:type="dxa"/>
            <w:vMerge w:val="continue"/>
          </w:tcPr>
          <w:p>
            <w:pPr>
              <w:spacing w:line="280" w:lineRule="exact"/>
              <w:rPr>
                <w:rFonts w:ascii="宋体" w:hAnsi="宋体" w:cs="宋体"/>
                <w:b/>
                <w:bCs/>
                <w:szCs w:val="21"/>
              </w:rPr>
            </w:pPr>
          </w:p>
        </w:tc>
        <w:tc>
          <w:tcPr>
            <w:tcW w:w="709" w:type="dxa"/>
            <w:vMerge w:val="continue"/>
          </w:tcPr>
          <w:p>
            <w:pPr>
              <w:spacing w:line="280" w:lineRule="exact"/>
              <w:rPr>
                <w:rFonts w:ascii="宋体" w:hAnsi="宋体" w:cs="宋体"/>
                <w:b/>
                <w:bCs/>
                <w:szCs w:val="21"/>
              </w:rPr>
            </w:pPr>
          </w:p>
        </w:tc>
        <w:tc>
          <w:tcPr>
            <w:tcW w:w="2409" w:type="dxa"/>
          </w:tcPr>
          <w:p>
            <w:pPr>
              <w:spacing w:line="280" w:lineRule="exact"/>
              <w:rPr>
                <w:rFonts w:ascii="宋体" w:hAnsi="宋体" w:cs="宋体"/>
                <w:szCs w:val="21"/>
              </w:rPr>
            </w:pPr>
            <w:r>
              <w:rPr>
                <w:rFonts w:hint="eastAsia" w:ascii="宋体" w:hAnsi="宋体" w:cs="宋体"/>
                <w:szCs w:val="21"/>
              </w:rPr>
              <w:t>6.企业应按有关规定，在生产区域设置风向标。</w:t>
            </w:r>
          </w:p>
        </w:tc>
        <w:tc>
          <w:tcPr>
            <w:tcW w:w="2268" w:type="dxa"/>
          </w:tcPr>
          <w:p>
            <w:pPr>
              <w:spacing w:line="280" w:lineRule="exact"/>
              <w:rPr>
                <w:rFonts w:ascii="宋体" w:hAnsi="宋体" w:cs="宋体"/>
                <w:szCs w:val="21"/>
              </w:rPr>
            </w:pPr>
            <w:r>
              <w:rPr>
                <w:rFonts w:hint="eastAsia" w:ascii="宋体" w:hAnsi="宋体" w:cs="宋体"/>
                <w:szCs w:val="21"/>
              </w:rPr>
              <w:t>按有关规定，在生产区域设置风向标。</w:t>
            </w:r>
          </w:p>
        </w:tc>
        <w:tc>
          <w:tcPr>
            <w:tcW w:w="2268" w:type="dxa"/>
          </w:tcPr>
          <w:p>
            <w:pPr>
              <w:spacing w:line="280" w:lineRule="exact"/>
              <w:rPr>
                <w:rFonts w:ascii="宋体" w:hAnsi="宋体" w:cs="宋体"/>
                <w:szCs w:val="21"/>
              </w:rPr>
            </w:pPr>
            <w:r>
              <w:rPr>
                <w:rFonts w:hint="eastAsia" w:ascii="宋体" w:hAnsi="宋体" w:cs="宋体"/>
                <w:szCs w:val="21"/>
              </w:rPr>
              <w:t>现场检查：</w:t>
            </w:r>
          </w:p>
          <w:p>
            <w:pPr>
              <w:spacing w:line="280" w:lineRule="exact"/>
              <w:rPr>
                <w:rFonts w:ascii="宋体" w:hAnsi="宋体" w:cs="宋体"/>
                <w:szCs w:val="21"/>
              </w:rPr>
            </w:pPr>
            <w:r>
              <w:rPr>
                <w:rFonts w:hint="eastAsia" w:ascii="宋体" w:hAnsi="宋体" w:cs="宋体"/>
                <w:szCs w:val="21"/>
              </w:rPr>
              <w:t>风向标设置的位置是否合理。</w:t>
            </w:r>
          </w:p>
        </w:tc>
        <w:tc>
          <w:tcPr>
            <w:tcW w:w="1701" w:type="dxa"/>
          </w:tcPr>
          <w:p>
            <w:pPr>
              <w:spacing w:line="280" w:lineRule="exact"/>
              <w:rPr>
                <w:rFonts w:ascii="宋体" w:hAnsi="宋体" w:cs="宋体"/>
                <w:szCs w:val="21"/>
              </w:rPr>
            </w:pPr>
          </w:p>
        </w:tc>
        <w:tc>
          <w:tcPr>
            <w:tcW w:w="2268" w:type="dxa"/>
          </w:tcPr>
          <w:p>
            <w:pPr>
              <w:spacing w:line="280" w:lineRule="exact"/>
              <w:rPr>
                <w:rFonts w:ascii="宋体" w:hAnsi="宋体" w:cs="宋体"/>
                <w:szCs w:val="21"/>
              </w:rPr>
            </w:pPr>
            <w:r>
              <w:rPr>
                <w:rFonts w:hint="eastAsia" w:ascii="宋体" w:hAnsi="宋体" w:cs="宋体"/>
                <w:szCs w:val="21"/>
              </w:rPr>
              <w:t>未设置风向标，扣3分；设置不符合要求，一处扣1分。</w:t>
            </w:r>
          </w:p>
        </w:tc>
        <w:tc>
          <w:tcPr>
            <w:tcW w:w="1165" w:type="dxa"/>
            <w:vAlign w:val="center"/>
          </w:tcPr>
          <w:p>
            <w:pPr>
              <w:spacing w:line="280" w:lineRule="exact"/>
              <w:jc w:val="center"/>
              <w:rPr>
                <w:rFonts w:ascii="宋体" w:hAnsi="宋体" w:cs="宋体"/>
                <w:szCs w:val="21"/>
              </w:rPr>
            </w:pPr>
            <w:r>
              <w:rPr>
                <w:rFonts w:hint="eastAsia" w:ascii="宋体" w:hAnsi="宋体" w:cs="宋体"/>
                <w:szCs w:val="21"/>
              </w:rPr>
              <w:t>符合要求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771" w:type="dxa"/>
            <w:vMerge w:val="continue"/>
          </w:tcPr>
          <w:p>
            <w:pPr>
              <w:spacing w:line="280" w:lineRule="exact"/>
              <w:rPr>
                <w:rFonts w:ascii="宋体" w:hAnsi="宋体" w:cs="宋体"/>
                <w:b/>
                <w:bCs/>
                <w:szCs w:val="21"/>
              </w:rPr>
            </w:pPr>
          </w:p>
        </w:tc>
        <w:tc>
          <w:tcPr>
            <w:tcW w:w="709" w:type="dxa"/>
            <w:vMerge w:val="restart"/>
          </w:tcPr>
          <w:p>
            <w:pPr>
              <w:spacing w:line="280" w:lineRule="exact"/>
              <w:rPr>
                <w:rFonts w:ascii="宋体" w:hAnsi="宋体" w:cs="宋体"/>
                <w:b/>
                <w:bCs/>
                <w:szCs w:val="21"/>
              </w:rPr>
            </w:pPr>
            <w:r>
              <w:rPr>
                <w:rFonts w:hint="eastAsia" w:ascii="宋体" w:hAnsi="宋体" w:cs="宋体"/>
                <w:b/>
                <w:bCs/>
                <w:szCs w:val="21"/>
              </w:rPr>
              <w:t>7.3</w:t>
            </w:r>
          </w:p>
          <w:p>
            <w:pPr>
              <w:spacing w:line="280" w:lineRule="exact"/>
              <w:rPr>
                <w:rFonts w:ascii="宋体" w:hAnsi="宋体" w:cs="宋体"/>
                <w:b/>
                <w:bCs/>
                <w:szCs w:val="21"/>
              </w:rPr>
            </w:pPr>
            <w:r>
              <w:rPr>
                <w:rFonts w:hint="eastAsia" w:ascii="宋体" w:hAnsi="宋体" w:cs="宋体"/>
                <w:b/>
                <w:bCs/>
                <w:szCs w:val="21"/>
              </w:rPr>
              <w:t>作业环节</w:t>
            </w:r>
          </w:p>
          <w:p>
            <w:pPr>
              <w:spacing w:line="280" w:lineRule="exact"/>
              <w:rPr>
                <w:rFonts w:ascii="宋体" w:hAnsi="宋体" w:cs="宋体"/>
                <w:b/>
                <w:bCs/>
                <w:szCs w:val="21"/>
              </w:rPr>
            </w:pPr>
            <w:r>
              <w:rPr>
                <w:rFonts w:hint="eastAsia" w:ascii="宋体" w:hAnsi="宋体" w:cs="宋体"/>
                <w:b/>
                <w:bCs/>
                <w:szCs w:val="21"/>
              </w:rPr>
              <w:t>（40分）</w:t>
            </w:r>
          </w:p>
          <w:p>
            <w:pPr>
              <w:spacing w:line="280" w:lineRule="exact"/>
              <w:rPr>
                <w:rFonts w:ascii="宋体" w:hAnsi="宋体" w:cs="宋体"/>
                <w:b/>
                <w:bCs/>
                <w:szCs w:val="21"/>
              </w:rPr>
            </w:pPr>
          </w:p>
        </w:tc>
        <w:tc>
          <w:tcPr>
            <w:tcW w:w="2409" w:type="dxa"/>
          </w:tcPr>
          <w:p>
            <w:pPr>
              <w:spacing w:line="280" w:lineRule="exact"/>
              <w:rPr>
                <w:rFonts w:ascii="宋体" w:hAnsi="宋体" w:cs="宋体"/>
                <w:szCs w:val="21"/>
              </w:rPr>
            </w:pPr>
            <w:r>
              <w:rPr>
                <w:rFonts w:hint="eastAsia" w:ascii="宋体" w:hAnsi="宋体" w:cs="宋体"/>
                <w:szCs w:val="21"/>
              </w:rPr>
              <w:t>1.企业应在危险性作业活动作业前进行危险、有害因素识别，制定控制措施。在作业现场配备相应的安全防护用品（具）及消防设施与器材，规范现场人员作业行为。</w:t>
            </w:r>
          </w:p>
        </w:tc>
        <w:tc>
          <w:tcPr>
            <w:tcW w:w="2268" w:type="dxa"/>
          </w:tcPr>
          <w:p>
            <w:pPr>
              <w:spacing w:line="280" w:lineRule="exact"/>
              <w:rPr>
                <w:rFonts w:ascii="宋体" w:hAnsi="宋体" w:cs="宋体"/>
                <w:szCs w:val="21"/>
              </w:rPr>
            </w:pPr>
            <w:r>
              <w:rPr>
                <w:rFonts w:hint="eastAsia" w:ascii="宋体" w:hAnsi="宋体" w:cs="宋体"/>
                <w:szCs w:val="21"/>
              </w:rPr>
              <w:t>危险作业现场配备相应安全防护用品（具）及消防设施与器材。</w:t>
            </w:r>
          </w:p>
        </w:tc>
        <w:tc>
          <w:tcPr>
            <w:tcW w:w="2268" w:type="dxa"/>
          </w:tcPr>
          <w:p>
            <w:pPr>
              <w:spacing w:line="280" w:lineRule="exact"/>
              <w:rPr>
                <w:rFonts w:ascii="宋体" w:hAnsi="宋体" w:cs="宋体"/>
                <w:szCs w:val="21"/>
              </w:rPr>
            </w:pPr>
            <w:r>
              <w:rPr>
                <w:rFonts w:hint="eastAsia" w:ascii="宋体" w:hAnsi="宋体" w:cs="宋体"/>
                <w:szCs w:val="21"/>
              </w:rPr>
              <w:t>现场检查：</w:t>
            </w:r>
          </w:p>
          <w:p>
            <w:pPr>
              <w:spacing w:line="280" w:lineRule="exact"/>
              <w:rPr>
                <w:rFonts w:ascii="宋体" w:hAnsi="宋体" w:cs="宋体"/>
                <w:szCs w:val="21"/>
              </w:rPr>
            </w:pPr>
            <w:r>
              <w:rPr>
                <w:rFonts w:hint="eastAsia" w:ascii="宋体" w:hAnsi="宋体" w:cs="宋体"/>
                <w:szCs w:val="21"/>
              </w:rPr>
              <w:t>相应安全防护用品（具）及消防设施与器材配备情况。</w:t>
            </w:r>
          </w:p>
        </w:tc>
        <w:tc>
          <w:tcPr>
            <w:tcW w:w="1701" w:type="dxa"/>
          </w:tcPr>
          <w:p>
            <w:pPr>
              <w:spacing w:line="280" w:lineRule="exact"/>
              <w:rPr>
                <w:rFonts w:ascii="宋体" w:hAnsi="宋体" w:cs="宋体"/>
                <w:szCs w:val="21"/>
              </w:rPr>
            </w:pPr>
          </w:p>
        </w:tc>
        <w:tc>
          <w:tcPr>
            <w:tcW w:w="2268" w:type="dxa"/>
          </w:tcPr>
          <w:p>
            <w:pPr>
              <w:spacing w:line="280" w:lineRule="exact"/>
              <w:rPr>
                <w:rFonts w:ascii="宋体" w:hAnsi="宋体" w:cs="宋体"/>
                <w:szCs w:val="21"/>
              </w:rPr>
            </w:pPr>
            <w:r>
              <w:rPr>
                <w:rFonts w:hint="eastAsia" w:ascii="宋体" w:hAnsi="宋体" w:cs="宋体"/>
                <w:szCs w:val="21"/>
              </w:rPr>
              <w:t>作业现场安全防护用品（具）及消防设施与器材配备不符合要求，一处扣1分。</w:t>
            </w:r>
          </w:p>
        </w:tc>
        <w:tc>
          <w:tcPr>
            <w:tcW w:w="1165" w:type="dxa"/>
            <w:vAlign w:val="center"/>
          </w:tcPr>
          <w:p>
            <w:pPr>
              <w:spacing w:line="280" w:lineRule="exact"/>
              <w:jc w:val="center"/>
              <w:rPr>
                <w:rFonts w:ascii="宋体" w:hAnsi="宋体" w:cs="宋体"/>
                <w:szCs w:val="21"/>
              </w:rPr>
            </w:pPr>
            <w:r>
              <w:rPr>
                <w:rFonts w:hint="eastAsia" w:ascii="宋体" w:hAnsi="宋体" w:cs="宋体"/>
                <w:szCs w:val="21"/>
              </w:rPr>
              <w:t>符合要求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771" w:type="dxa"/>
            <w:vMerge w:val="continue"/>
          </w:tcPr>
          <w:p>
            <w:pPr>
              <w:spacing w:line="280" w:lineRule="exact"/>
              <w:rPr>
                <w:rFonts w:ascii="宋体" w:hAnsi="宋体" w:cs="宋体"/>
                <w:b/>
                <w:bCs/>
                <w:szCs w:val="21"/>
              </w:rPr>
            </w:pPr>
          </w:p>
        </w:tc>
        <w:tc>
          <w:tcPr>
            <w:tcW w:w="709" w:type="dxa"/>
            <w:vMerge w:val="continue"/>
          </w:tcPr>
          <w:p>
            <w:pPr>
              <w:spacing w:line="280" w:lineRule="exact"/>
              <w:rPr>
                <w:rFonts w:ascii="宋体" w:hAnsi="宋体" w:cs="宋体"/>
                <w:b/>
                <w:bCs/>
                <w:szCs w:val="21"/>
              </w:rPr>
            </w:pPr>
          </w:p>
        </w:tc>
        <w:tc>
          <w:tcPr>
            <w:tcW w:w="2409" w:type="dxa"/>
          </w:tcPr>
          <w:p>
            <w:pPr>
              <w:spacing w:line="280" w:lineRule="exact"/>
              <w:rPr>
                <w:rFonts w:ascii="宋体" w:hAnsi="宋体" w:cs="宋体"/>
                <w:szCs w:val="21"/>
              </w:rPr>
            </w:pPr>
            <w:r>
              <w:rPr>
                <w:rFonts w:hint="eastAsia" w:ascii="宋体" w:hAnsi="宋体" w:cs="宋体"/>
                <w:szCs w:val="21"/>
              </w:rPr>
              <w:t>2.企业作业活动的负责人应严格按照规定要求科学指挥；作业人员应严格执行操作规程，不违章作业，不违反劳动纪律。</w:t>
            </w:r>
          </w:p>
        </w:tc>
        <w:tc>
          <w:tcPr>
            <w:tcW w:w="2268" w:type="dxa"/>
          </w:tcPr>
          <w:p>
            <w:pPr>
              <w:spacing w:line="280" w:lineRule="exact"/>
              <w:rPr>
                <w:rFonts w:ascii="宋体" w:hAnsi="宋体" w:cs="宋体"/>
                <w:szCs w:val="21"/>
              </w:rPr>
            </w:pPr>
            <w:r>
              <w:rPr>
                <w:rFonts w:hint="eastAsia" w:ascii="宋体" w:hAnsi="宋体" w:cs="宋体"/>
                <w:szCs w:val="21"/>
              </w:rPr>
              <w:t>1.作业活动负责人应严格按照规定要求科学组织作业活动，不得违章指挥；</w:t>
            </w:r>
          </w:p>
          <w:p>
            <w:pPr>
              <w:spacing w:line="280" w:lineRule="exact"/>
              <w:rPr>
                <w:rFonts w:ascii="宋体" w:hAnsi="宋体" w:cs="宋体"/>
                <w:szCs w:val="21"/>
              </w:rPr>
            </w:pPr>
            <w:r>
              <w:rPr>
                <w:rFonts w:hint="eastAsia" w:ascii="宋体" w:hAnsi="宋体" w:cs="宋体"/>
                <w:szCs w:val="21"/>
              </w:rPr>
              <w:t>2.作业人员应严格执行操作规程和作业许可要求，不违章作业，不违反劳动纪律。</w:t>
            </w:r>
          </w:p>
        </w:tc>
        <w:tc>
          <w:tcPr>
            <w:tcW w:w="2268" w:type="dxa"/>
          </w:tcPr>
          <w:p>
            <w:pPr>
              <w:spacing w:line="280" w:lineRule="exact"/>
              <w:rPr>
                <w:rFonts w:ascii="宋体" w:hAnsi="宋体" w:cs="宋体"/>
                <w:szCs w:val="21"/>
              </w:rPr>
            </w:pPr>
            <w:r>
              <w:rPr>
                <w:rFonts w:hint="eastAsia" w:ascii="宋体" w:hAnsi="宋体" w:cs="宋体"/>
                <w:szCs w:val="21"/>
              </w:rPr>
              <w:t>现场检查：</w:t>
            </w:r>
          </w:p>
          <w:p>
            <w:pPr>
              <w:spacing w:line="280" w:lineRule="exact"/>
              <w:rPr>
                <w:rFonts w:ascii="宋体" w:hAnsi="宋体" w:cs="宋体"/>
                <w:szCs w:val="21"/>
              </w:rPr>
            </w:pPr>
            <w:r>
              <w:rPr>
                <w:rFonts w:hint="eastAsia" w:ascii="宋体" w:hAnsi="宋体" w:cs="宋体"/>
                <w:szCs w:val="21"/>
              </w:rPr>
              <w:t>违章指挥、违章作业和违反劳动纪律（“三违”）现象。</w:t>
            </w:r>
          </w:p>
        </w:tc>
        <w:tc>
          <w:tcPr>
            <w:tcW w:w="1701" w:type="dxa"/>
          </w:tcPr>
          <w:p>
            <w:pPr>
              <w:spacing w:line="280" w:lineRule="exact"/>
              <w:rPr>
                <w:rFonts w:ascii="宋体" w:hAnsi="宋体" w:cs="宋体"/>
                <w:szCs w:val="21"/>
              </w:rPr>
            </w:pPr>
          </w:p>
        </w:tc>
        <w:tc>
          <w:tcPr>
            <w:tcW w:w="2268" w:type="dxa"/>
          </w:tcPr>
          <w:p>
            <w:pPr>
              <w:spacing w:line="280" w:lineRule="exact"/>
              <w:rPr>
                <w:rFonts w:ascii="宋体" w:hAnsi="宋体" w:cs="宋体"/>
                <w:szCs w:val="21"/>
              </w:rPr>
            </w:pPr>
            <w:r>
              <w:rPr>
                <w:rFonts w:hint="eastAsia" w:ascii="宋体" w:hAnsi="宋体" w:cs="宋体"/>
                <w:szCs w:val="21"/>
              </w:rPr>
              <w:t>存在“三违”现象，1人次扣5分。</w:t>
            </w:r>
          </w:p>
        </w:tc>
        <w:tc>
          <w:tcPr>
            <w:tcW w:w="1165" w:type="dxa"/>
            <w:vAlign w:val="center"/>
          </w:tcPr>
          <w:p>
            <w:pPr>
              <w:spacing w:line="280" w:lineRule="exact"/>
              <w:jc w:val="center"/>
              <w:rPr>
                <w:rFonts w:ascii="宋体" w:hAnsi="宋体" w:cs="宋体"/>
                <w:szCs w:val="21"/>
              </w:rPr>
            </w:pPr>
            <w:r>
              <w:rPr>
                <w:rFonts w:hint="eastAsia" w:ascii="宋体" w:hAnsi="宋体" w:cs="宋体"/>
                <w:szCs w:val="21"/>
              </w:rPr>
              <w:t>无“三违”现象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771" w:type="dxa"/>
            <w:vMerge w:val="continue"/>
          </w:tcPr>
          <w:p>
            <w:pPr>
              <w:spacing w:line="280" w:lineRule="exact"/>
              <w:rPr>
                <w:rFonts w:ascii="宋体" w:hAnsi="宋体" w:cs="宋体"/>
                <w:b/>
                <w:bCs/>
                <w:szCs w:val="21"/>
              </w:rPr>
            </w:pPr>
          </w:p>
        </w:tc>
        <w:tc>
          <w:tcPr>
            <w:tcW w:w="709" w:type="dxa"/>
            <w:vMerge w:val="continue"/>
          </w:tcPr>
          <w:p>
            <w:pPr>
              <w:spacing w:line="280" w:lineRule="exact"/>
              <w:rPr>
                <w:rFonts w:ascii="宋体" w:hAnsi="宋体" w:cs="宋体"/>
                <w:b/>
                <w:bCs/>
                <w:szCs w:val="21"/>
              </w:rPr>
            </w:pPr>
          </w:p>
        </w:tc>
        <w:tc>
          <w:tcPr>
            <w:tcW w:w="2409" w:type="dxa"/>
          </w:tcPr>
          <w:p>
            <w:pPr>
              <w:spacing w:line="280" w:lineRule="exact"/>
              <w:rPr>
                <w:rFonts w:ascii="宋体" w:hAnsi="宋体" w:cs="宋体"/>
                <w:szCs w:val="21"/>
              </w:rPr>
            </w:pPr>
            <w:r>
              <w:rPr>
                <w:rFonts w:hint="eastAsia" w:ascii="宋体" w:hAnsi="宋体" w:cs="宋体"/>
                <w:szCs w:val="21"/>
              </w:rPr>
              <w:t>3.企业作业人员在进行6.1中规定的作业活动时，应持相应的作业许可证作业。</w:t>
            </w:r>
          </w:p>
        </w:tc>
        <w:tc>
          <w:tcPr>
            <w:tcW w:w="2268" w:type="dxa"/>
          </w:tcPr>
          <w:p>
            <w:pPr>
              <w:spacing w:line="280" w:lineRule="exact"/>
              <w:rPr>
                <w:rFonts w:ascii="宋体" w:hAnsi="宋体" w:cs="宋体"/>
                <w:szCs w:val="21"/>
              </w:rPr>
            </w:pPr>
            <w:r>
              <w:rPr>
                <w:rFonts w:hint="eastAsia" w:ascii="宋体" w:hAnsi="宋体" w:cs="宋体"/>
                <w:szCs w:val="21"/>
              </w:rPr>
              <w:t>进行危险性作业时，作业人员应持经过审批许可的相应作业许可证。</w:t>
            </w:r>
          </w:p>
        </w:tc>
        <w:tc>
          <w:tcPr>
            <w:tcW w:w="2268" w:type="dxa"/>
          </w:tcPr>
          <w:p>
            <w:pPr>
              <w:spacing w:line="280" w:lineRule="exact"/>
              <w:rPr>
                <w:rFonts w:ascii="宋体" w:hAnsi="宋体" w:cs="宋体"/>
                <w:szCs w:val="21"/>
              </w:rPr>
            </w:pPr>
            <w:r>
              <w:rPr>
                <w:rFonts w:hint="eastAsia" w:ascii="宋体" w:hAnsi="宋体" w:cs="宋体"/>
                <w:szCs w:val="21"/>
              </w:rPr>
              <w:t>现场检查：</w:t>
            </w:r>
          </w:p>
          <w:p>
            <w:pPr>
              <w:spacing w:line="280" w:lineRule="exact"/>
              <w:rPr>
                <w:rFonts w:ascii="宋体" w:hAnsi="宋体" w:cs="宋体"/>
                <w:szCs w:val="21"/>
              </w:rPr>
            </w:pPr>
            <w:r>
              <w:rPr>
                <w:rFonts w:hint="eastAsia" w:ascii="宋体" w:hAnsi="宋体" w:cs="宋体"/>
                <w:szCs w:val="21"/>
              </w:rPr>
              <w:t>作业人员持作业许可证作业情况。</w:t>
            </w:r>
          </w:p>
        </w:tc>
        <w:tc>
          <w:tcPr>
            <w:tcW w:w="1701" w:type="dxa"/>
          </w:tcPr>
          <w:p>
            <w:pPr>
              <w:spacing w:line="280" w:lineRule="exact"/>
              <w:rPr>
                <w:rFonts w:ascii="宋体" w:hAnsi="宋体" w:cs="宋体"/>
                <w:szCs w:val="21"/>
              </w:rPr>
            </w:pPr>
            <w:r>
              <w:rPr>
                <w:rFonts w:hint="eastAsia" w:ascii="宋体" w:hAnsi="宋体" w:cs="宋体"/>
                <w:szCs w:val="21"/>
              </w:rPr>
              <w:t>未持相应作业许可证进行危险性作业，扣40分（B级要素否决项）。</w:t>
            </w:r>
          </w:p>
        </w:tc>
        <w:tc>
          <w:tcPr>
            <w:tcW w:w="2268" w:type="dxa"/>
          </w:tcPr>
          <w:p>
            <w:pPr>
              <w:spacing w:line="280" w:lineRule="exact"/>
              <w:rPr>
                <w:rFonts w:ascii="宋体" w:hAnsi="宋体" w:cs="宋体"/>
                <w:szCs w:val="21"/>
              </w:rPr>
            </w:pPr>
          </w:p>
        </w:tc>
        <w:tc>
          <w:tcPr>
            <w:tcW w:w="1165" w:type="dxa"/>
            <w:vAlign w:val="center"/>
          </w:tcPr>
          <w:p>
            <w:pPr>
              <w:spacing w:line="280" w:lineRule="exact"/>
              <w:jc w:val="center"/>
              <w:rPr>
                <w:rFonts w:ascii="宋体" w:hAnsi="宋体" w:cs="宋体"/>
                <w:szCs w:val="21"/>
              </w:rPr>
            </w:pPr>
            <w:r>
              <w:rPr>
                <w:rFonts w:hint="eastAsia" w:ascii="宋体" w:hAnsi="宋体" w:cs="宋体"/>
                <w:szCs w:val="21"/>
              </w:rPr>
              <w:t>符合要求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771" w:type="dxa"/>
            <w:vMerge w:val="continue"/>
          </w:tcPr>
          <w:p>
            <w:pPr>
              <w:spacing w:line="280" w:lineRule="exact"/>
              <w:rPr>
                <w:rFonts w:ascii="宋体" w:hAnsi="宋体" w:cs="宋体"/>
                <w:b/>
                <w:bCs/>
                <w:szCs w:val="21"/>
              </w:rPr>
            </w:pPr>
          </w:p>
        </w:tc>
        <w:tc>
          <w:tcPr>
            <w:tcW w:w="709" w:type="dxa"/>
            <w:vMerge w:val="continue"/>
          </w:tcPr>
          <w:p>
            <w:pPr>
              <w:spacing w:line="280" w:lineRule="exact"/>
              <w:rPr>
                <w:rFonts w:ascii="宋体" w:hAnsi="宋体" w:cs="宋体"/>
                <w:b/>
                <w:bCs/>
                <w:szCs w:val="21"/>
              </w:rPr>
            </w:pPr>
          </w:p>
        </w:tc>
        <w:tc>
          <w:tcPr>
            <w:tcW w:w="2409" w:type="dxa"/>
          </w:tcPr>
          <w:p>
            <w:pPr>
              <w:spacing w:line="280" w:lineRule="exact"/>
              <w:rPr>
                <w:rFonts w:ascii="宋体" w:hAnsi="宋体" w:cs="宋体"/>
                <w:szCs w:val="21"/>
              </w:rPr>
            </w:pPr>
            <w:r>
              <w:rPr>
                <w:rFonts w:hint="eastAsia" w:ascii="宋体" w:hAnsi="宋体" w:cs="宋体"/>
                <w:szCs w:val="21"/>
              </w:rPr>
              <w:t>4.企业作业活动监护人员应具备基本救护技能和作业现场的应急处理能力，持相应作业许可证进行监护作业，作业过程中不得离开监护岗位。</w:t>
            </w:r>
          </w:p>
        </w:tc>
        <w:tc>
          <w:tcPr>
            <w:tcW w:w="2268" w:type="dxa"/>
          </w:tcPr>
          <w:p>
            <w:pPr>
              <w:spacing w:line="280" w:lineRule="exact"/>
              <w:rPr>
                <w:rFonts w:ascii="宋体" w:hAnsi="宋体" w:cs="宋体"/>
                <w:szCs w:val="21"/>
              </w:rPr>
            </w:pPr>
            <w:r>
              <w:rPr>
                <w:rFonts w:hint="eastAsia" w:ascii="宋体" w:hAnsi="宋体" w:cs="宋体"/>
                <w:szCs w:val="21"/>
              </w:rPr>
              <w:t>1.作业活动监护人员应具备基本救护技能和作业现场的应急处理能力；</w:t>
            </w:r>
          </w:p>
          <w:p>
            <w:pPr>
              <w:spacing w:line="280" w:lineRule="exact"/>
              <w:rPr>
                <w:rFonts w:ascii="宋体" w:hAnsi="宋体" w:cs="宋体"/>
                <w:szCs w:val="21"/>
              </w:rPr>
            </w:pPr>
            <w:r>
              <w:rPr>
                <w:rFonts w:hint="eastAsia" w:ascii="宋体" w:hAnsi="宋体" w:cs="宋体"/>
                <w:szCs w:val="21"/>
              </w:rPr>
              <w:t>2.作业活动监护人员持相应作业许可证进行现场监护，不得离开监护岗位。</w:t>
            </w:r>
          </w:p>
        </w:tc>
        <w:tc>
          <w:tcPr>
            <w:tcW w:w="2268" w:type="dxa"/>
          </w:tcPr>
          <w:p>
            <w:pPr>
              <w:spacing w:line="280" w:lineRule="exact"/>
              <w:rPr>
                <w:rFonts w:ascii="宋体" w:hAnsi="宋体" w:cs="宋体"/>
                <w:szCs w:val="21"/>
              </w:rPr>
            </w:pPr>
            <w:r>
              <w:rPr>
                <w:rFonts w:hint="eastAsia" w:ascii="宋体" w:hAnsi="宋体" w:cs="宋体"/>
                <w:szCs w:val="21"/>
              </w:rPr>
              <w:t>查文件：</w:t>
            </w:r>
          </w:p>
          <w:p>
            <w:pPr>
              <w:spacing w:line="280" w:lineRule="exact"/>
              <w:rPr>
                <w:rFonts w:ascii="宋体" w:hAnsi="宋体" w:cs="宋体"/>
                <w:szCs w:val="21"/>
              </w:rPr>
            </w:pPr>
            <w:r>
              <w:rPr>
                <w:rFonts w:hint="eastAsia" w:ascii="宋体" w:hAnsi="宋体" w:cs="宋体"/>
                <w:szCs w:val="21"/>
              </w:rPr>
              <w:t>作业许可证。</w:t>
            </w:r>
          </w:p>
          <w:p>
            <w:pPr>
              <w:spacing w:line="280" w:lineRule="exact"/>
              <w:rPr>
                <w:rFonts w:ascii="宋体" w:hAnsi="宋体" w:cs="宋体"/>
                <w:szCs w:val="21"/>
              </w:rPr>
            </w:pPr>
            <w:r>
              <w:rPr>
                <w:rFonts w:hint="eastAsia" w:ascii="宋体" w:hAnsi="宋体" w:cs="宋体"/>
                <w:szCs w:val="21"/>
              </w:rPr>
              <w:t>询问：</w:t>
            </w:r>
          </w:p>
          <w:p>
            <w:pPr>
              <w:spacing w:line="280" w:lineRule="exact"/>
              <w:rPr>
                <w:rFonts w:ascii="宋体" w:hAnsi="宋体" w:cs="宋体"/>
                <w:szCs w:val="21"/>
              </w:rPr>
            </w:pPr>
            <w:r>
              <w:rPr>
                <w:rFonts w:hint="eastAsia" w:ascii="宋体" w:hAnsi="宋体" w:cs="宋体"/>
                <w:szCs w:val="21"/>
              </w:rPr>
              <w:t>监护人员救护技能和应急处理能力。</w:t>
            </w:r>
          </w:p>
          <w:p>
            <w:pPr>
              <w:spacing w:line="280" w:lineRule="exact"/>
              <w:rPr>
                <w:rFonts w:ascii="宋体" w:hAnsi="宋体" w:cs="宋体"/>
                <w:szCs w:val="21"/>
              </w:rPr>
            </w:pPr>
            <w:r>
              <w:rPr>
                <w:rFonts w:hint="eastAsia" w:ascii="宋体" w:hAnsi="宋体" w:cs="宋体"/>
                <w:szCs w:val="21"/>
              </w:rPr>
              <w:t>现场检查：</w:t>
            </w:r>
          </w:p>
          <w:p>
            <w:pPr>
              <w:spacing w:line="280" w:lineRule="exact"/>
              <w:rPr>
                <w:rFonts w:ascii="宋体" w:hAnsi="宋体" w:cs="宋体"/>
                <w:szCs w:val="21"/>
              </w:rPr>
            </w:pPr>
            <w:r>
              <w:rPr>
                <w:rFonts w:hint="eastAsia" w:ascii="宋体" w:hAnsi="宋体" w:cs="宋体"/>
                <w:szCs w:val="21"/>
              </w:rPr>
              <w:t>监护人员是否持相应许可证监护。</w:t>
            </w:r>
          </w:p>
        </w:tc>
        <w:tc>
          <w:tcPr>
            <w:tcW w:w="1701" w:type="dxa"/>
          </w:tcPr>
          <w:p>
            <w:pPr>
              <w:spacing w:line="280" w:lineRule="exact"/>
              <w:rPr>
                <w:rFonts w:ascii="宋体" w:hAnsi="宋体" w:cs="宋体"/>
                <w:szCs w:val="21"/>
              </w:rPr>
            </w:pPr>
          </w:p>
        </w:tc>
        <w:tc>
          <w:tcPr>
            <w:tcW w:w="2268" w:type="dxa"/>
          </w:tcPr>
          <w:p>
            <w:pPr>
              <w:spacing w:line="280" w:lineRule="exact"/>
              <w:rPr>
                <w:rFonts w:ascii="宋体" w:hAnsi="宋体" w:cs="宋体"/>
                <w:szCs w:val="21"/>
              </w:rPr>
            </w:pPr>
            <w:r>
              <w:rPr>
                <w:rFonts w:hint="eastAsia" w:ascii="宋体" w:hAnsi="宋体" w:cs="宋体"/>
                <w:szCs w:val="21"/>
              </w:rPr>
              <w:t>1.作业许可证未明确监护人员，扣2分；</w:t>
            </w:r>
          </w:p>
          <w:p>
            <w:pPr>
              <w:spacing w:line="280" w:lineRule="exact"/>
              <w:rPr>
                <w:rFonts w:ascii="宋体" w:hAnsi="宋体" w:cs="宋体"/>
                <w:szCs w:val="21"/>
              </w:rPr>
            </w:pPr>
            <w:r>
              <w:rPr>
                <w:rFonts w:hint="eastAsia" w:ascii="宋体" w:hAnsi="宋体" w:cs="宋体"/>
                <w:szCs w:val="21"/>
              </w:rPr>
              <w:t>2.监护人员不具备相应的救护技能及应急处理能力，1人扣1分；</w:t>
            </w:r>
          </w:p>
          <w:p>
            <w:pPr>
              <w:spacing w:line="280" w:lineRule="exact"/>
              <w:rPr>
                <w:rFonts w:ascii="宋体" w:hAnsi="宋体" w:cs="宋体"/>
                <w:szCs w:val="21"/>
              </w:rPr>
            </w:pPr>
            <w:r>
              <w:rPr>
                <w:rFonts w:hint="eastAsia" w:ascii="宋体" w:hAnsi="宋体" w:cs="宋体"/>
                <w:szCs w:val="21"/>
              </w:rPr>
              <w:t>3.监护人员未持有相应作业许可证监护，1人次扣1分；</w:t>
            </w:r>
          </w:p>
          <w:p>
            <w:pPr>
              <w:spacing w:line="280" w:lineRule="exact"/>
              <w:rPr>
                <w:rFonts w:ascii="宋体" w:hAnsi="宋体" w:cs="宋体"/>
                <w:szCs w:val="21"/>
              </w:rPr>
            </w:pPr>
            <w:r>
              <w:rPr>
                <w:rFonts w:hint="eastAsia" w:ascii="宋体" w:hAnsi="宋体" w:cs="宋体"/>
                <w:szCs w:val="21"/>
              </w:rPr>
              <w:t xml:space="preserve">4.监护人员擅离监护岗位，1人次扣2分。  </w:t>
            </w:r>
          </w:p>
        </w:tc>
        <w:tc>
          <w:tcPr>
            <w:tcW w:w="1165" w:type="dxa"/>
            <w:vAlign w:val="center"/>
          </w:tcPr>
          <w:p>
            <w:pPr>
              <w:spacing w:line="280" w:lineRule="exact"/>
              <w:jc w:val="center"/>
              <w:rPr>
                <w:rFonts w:ascii="宋体" w:hAnsi="宋体" w:cs="宋体"/>
                <w:szCs w:val="21"/>
              </w:rPr>
            </w:pPr>
            <w:r>
              <w:rPr>
                <w:rFonts w:hint="eastAsia" w:ascii="宋体" w:hAnsi="宋体" w:cs="宋体"/>
                <w:szCs w:val="21"/>
              </w:rPr>
              <w:t>符合要求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771" w:type="dxa"/>
            <w:vMerge w:val="continue"/>
          </w:tcPr>
          <w:p>
            <w:pPr>
              <w:spacing w:line="280" w:lineRule="exact"/>
              <w:rPr>
                <w:rFonts w:ascii="宋体" w:hAnsi="宋体" w:cs="宋体"/>
                <w:b/>
                <w:bCs/>
                <w:szCs w:val="21"/>
              </w:rPr>
            </w:pPr>
          </w:p>
        </w:tc>
        <w:tc>
          <w:tcPr>
            <w:tcW w:w="709" w:type="dxa"/>
            <w:vMerge w:val="continue"/>
          </w:tcPr>
          <w:p>
            <w:pPr>
              <w:spacing w:line="280" w:lineRule="exact"/>
              <w:rPr>
                <w:rFonts w:ascii="宋体" w:hAnsi="宋体" w:cs="宋体"/>
                <w:b/>
                <w:bCs/>
                <w:szCs w:val="21"/>
              </w:rPr>
            </w:pPr>
          </w:p>
        </w:tc>
        <w:tc>
          <w:tcPr>
            <w:tcW w:w="2409" w:type="dxa"/>
          </w:tcPr>
          <w:p>
            <w:pPr>
              <w:spacing w:line="280" w:lineRule="exact"/>
              <w:rPr>
                <w:rFonts w:ascii="宋体" w:hAnsi="宋体" w:cs="宋体"/>
                <w:szCs w:val="21"/>
              </w:rPr>
            </w:pPr>
            <w:r>
              <w:rPr>
                <w:rFonts w:hint="eastAsia" w:ascii="宋体" w:hAnsi="宋体" w:cs="宋体"/>
                <w:szCs w:val="21"/>
              </w:rPr>
              <w:t>5.企业应保持作业环境整洁。</w:t>
            </w:r>
          </w:p>
        </w:tc>
        <w:tc>
          <w:tcPr>
            <w:tcW w:w="2268" w:type="dxa"/>
          </w:tcPr>
          <w:p>
            <w:pPr>
              <w:spacing w:line="280" w:lineRule="exact"/>
              <w:rPr>
                <w:rFonts w:ascii="宋体" w:hAnsi="宋体" w:cs="宋体"/>
                <w:szCs w:val="21"/>
              </w:rPr>
            </w:pPr>
            <w:r>
              <w:rPr>
                <w:rFonts w:hint="eastAsia" w:ascii="宋体" w:hAnsi="宋体" w:cs="宋体"/>
                <w:szCs w:val="21"/>
              </w:rPr>
              <w:t>保持作业环境整洁，消除安全隐患。</w:t>
            </w:r>
          </w:p>
        </w:tc>
        <w:tc>
          <w:tcPr>
            <w:tcW w:w="2268" w:type="dxa"/>
          </w:tcPr>
          <w:p>
            <w:pPr>
              <w:spacing w:line="280" w:lineRule="exact"/>
              <w:rPr>
                <w:rFonts w:ascii="宋体" w:hAnsi="宋体" w:cs="宋体"/>
                <w:szCs w:val="21"/>
              </w:rPr>
            </w:pPr>
            <w:r>
              <w:rPr>
                <w:rFonts w:hint="eastAsia" w:ascii="宋体" w:hAnsi="宋体" w:cs="宋体"/>
                <w:szCs w:val="21"/>
              </w:rPr>
              <w:t>现场检查：</w:t>
            </w:r>
          </w:p>
          <w:p>
            <w:pPr>
              <w:spacing w:line="280" w:lineRule="exact"/>
              <w:rPr>
                <w:rFonts w:ascii="宋体" w:hAnsi="宋体" w:cs="宋体"/>
                <w:szCs w:val="21"/>
              </w:rPr>
            </w:pPr>
            <w:r>
              <w:rPr>
                <w:rFonts w:hint="eastAsia" w:ascii="宋体" w:hAnsi="宋体" w:cs="宋体"/>
                <w:szCs w:val="21"/>
              </w:rPr>
              <w:t>作业环境。</w:t>
            </w:r>
          </w:p>
        </w:tc>
        <w:tc>
          <w:tcPr>
            <w:tcW w:w="1701" w:type="dxa"/>
          </w:tcPr>
          <w:p>
            <w:pPr>
              <w:spacing w:line="280" w:lineRule="exact"/>
              <w:rPr>
                <w:rFonts w:ascii="宋体" w:hAnsi="宋体" w:cs="宋体"/>
                <w:szCs w:val="21"/>
              </w:rPr>
            </w:pPr>
          </w:p>
        </w:tc>
        <w:tc>
          <w:tcPr>
            <w:tcW w:w="2268" w:type="dxa"/>
          </w:tcPr>
          <w:p>
            <w:pPr>
              <w:spacing w:line="280" w:lineRule="exact"/>
              <w:rPr>
                <w:rFonts w:ascii="宋体" w:hAnsi="宋体" w:cs="宋体"/>
                <w:szCs w:val="21"/>
              </w:rPr>
            </w:pPr>
            <w:r>
              <w:rPr>
                <w:rFonts w:hint="eastAsia" w:ascii="宋体" w:hAnsi="宋体" w:cs="宋体"/>
                <w:szCs w:val="21"/>
              </w:rPr>
              <w:t>作业环境或工器具、材料等摆放不符合要求，一处扣1分。</w:t>
            </w:r>
          </w:p>
        </w:tc>
        <w:tc>
          <w:tcPr>
            <w:tcW w:w="1165" w:type="dxa"/>
            <w:vAlign w:val="center"/>
          </w:tcPr>
          <w:p>
            <w:pPr>
              <w:spacing w:line="280" w:lineRule="exact"/>
              <w:jc w:val="center"/>
              <w:rPr>
                <w:rFonts w:hint="eastAsia" w:ascii="宋体" w:hAnsi="宋体" w:eastAsia="宋体" w:cs="宋体"/>
                <w:szCs w:val="21"/>
                <w:lang w:eastAsia="zh-CN"/>
              </w:rPr>
            </w:pPr>
            <w:r>
              <w:rPr>
                <w:rFonts w:hint="eastAsia" w:ascii="宋体" w:hAnsi="宋体" w:cs="宋体"/>
                <w:szCs w:val="21"/>
              </w:rPr>
              <w:t>作业场所旁摆放</w:t>
            </w:r>
            <w:r>
              <w:rPr>
                <w:rFonts w:hint="eastAsia" w:ascii="宋体" w:hAnsi="宋体" w:cs="宋体"/>
                <w:szCs w:val="21"/>
                <w:lang w:eastAsia="zh-CN"/>
              </w:rPr>
              <w:t>杂物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771" w:type="dxa"/>
            <w:vMerge w:val="continue"/>
          </w:tcPr>
          <w:p>
            <w:pPr>
              <w:spacing w:line="280" w:lineRule="exact"/>
              <w:rPr>
                <w:rFonts w:ascii="宋体" w:hAnsi="宋体" w:cs="宋体"/>
                <w:b/>
                <w:bCs/>
                <w:szCs w:val="21"/>
              </w:rPr>
            </w:pPr>
          </w:p>
        </w:tc>
        <w:tc>
          <w:tcPr>
            <w:tcW w:w="709" w:type="dxa"/>
            <w:vMerge w:val="continue"/>
          </w:tcPr>
          <w:p>
            <w:pPr>
              <w:spacing w:line="280" w:lineRule="exact"/>
              <w:rPr>
                <w:rFonts w:ascii="宋体" w:hAnsi="宋体" w:cs="宋体"/>
                <w:b/>
                <w:bCs/>
                <w:szCs w:val="21"/>
              </w:rPr>
            </w:pPr>
          </w:p>
        </w:tc>
        <w:tc>
          <w:tcPr>
            <w:tcW w:w="2409" w:type="dxa"/>
          </w:tcPr>
          <w:p>
            <w:pPr>
              <w:spacing w:line="280" w:lineRule="exact"/>
              <w:rPr>
                <w:rFonts w:ascii="宋体" w:hAnsi="宋体" w:cs="宋体"/>
                <w:szCs w:val="21"/>
              </w:rPr>
            </w:pPr>
            <w:r>
              <w:rPr>
                <w:rFonts w:hint="eastAsia" w:ascii="宋体" w:hAnsi="宋体" w:cs="宋体"/>
                <w:szCs w:val="21"/>
              </w:rPr>
              <w:t>6.企业同一作业区域内有两个以上承包商进行生产经营活动，可能危及对方生产安全时，应组织并监督承包商之间签订安全生产协议，明确各自的安全生产管理职责和应当采取的安全措施，并指定专职安全生产管理人员进行安全检查与协调。</w:t>
            </w:r>
          </w:p>
        </w:tc>
        <w:tc>
          <w:tcPr>
            <w:tcW w:w="2268" w:type="dxa"/>
          </w:tcPr>
          <w:p>
            <w:pPr>
              <w:spacing w:line="280" w:lineRule="exact"/>
              <w:rPr>
                <w:rFonts w:ascii="宋体" w:hAnsi="宋体" w:cs="宋体"/>
                <w:szCs w:val="21"/>
              </w:rPr>
            </w:pPr>
            <w:r>
              <w:rPr>
                <w:rFonts w:hint="eastAsia" w:ascii="宋体" w:hAnsi="宋体" w:cs="宋体"/>
                <w:szCs w:val="21"/>
              </w:rPr>
              <w:t>1.同一作业区域内有两个以上承包商进行生产经营活动，可能危及对方生产安全时，应组织承包商之间签订安全生产协议，明确各自的安全生产管理职责和应当采取的安全措施；</w:t>
            </w:r>
          </w:p>
          <w:p>
            <w:pPr>
              <w:spacing w:line="280" w:lineRule="exact"/>
              <w:rPr>
                <w:rFonts w:ascii="宋体" w:hAnsi="宋体" w:cs="宋体"/>
                <w:szCs w:val="21"/>
              </w:rPr>
            </w:pPr>
            <w:r>
              <w:rPr>
                <w:rFonts w:hint="eastAsia" w:ascii="宋体" w:hAnsi="宋体" w:cs="宋体"/>
                <w:szCs w:val="21"/>
              </w:rPr>
              <w:t>2.指定专职安全生产管理人员进行安全检查和协调并记录。</w:t>
            </w:r>
          </w:p>
        </w:tc>
        <w:tc>
          <w:tcPr>
            <w:tcW w:w="2268" w:type="dxa"/>
          </w:tcPr>
          <w:p>
            <w:pPr>
              <w:spacing w:line="280" w:lineRule="exact"/>
              <w:rPr>
                <w:rFonts w:ascii="宋体" w:hAnsi="宋体" w:cs="宋体"/>
                <w:szCs w:val="21"/>
              </w:rPr>
            </w:pPr>
            <w:r>
              <w:rPr>
                <w:rFonts w:hint="eastAsia" w:ascii="宋体" w:hAnsi="宋体" w:cs="宋体"/>
                <w:szCs w:val="21"/>
              </w:rPr>
              <w:t>查文件：</w:t>
            </w:r>
          </w:p>
          <w:p>
            <w:pPr>
              <w:spacing w:line="280" w:lineRule="exact"/>
              <w:rPr>
                <w:rFonts w:ascii="宋体" w:hAnsi="宋体" w:cs="宋体"/>
                <w:szCs w:val="21"/>
              </w:rPr>
            </w:pPr>
            <w:r>
              <w:rPr>
                <w:rFonts w:hint="eastAsia" w:ascii="宋体" w:hAnsi="宋体" w:cs="宋体"/>
                <w:szCs w:val="21"/>
              </w:rPr>
              <w:t>1.承包商之间的安全生产协议；</w:t>
            </w:r>
          </w:p>
          <w:p>
            <w:pPr>
              <w:spacing w:line="280" w:lineRule="exact"/>
              <w:rPr>
                <w:rFonts w:ascii="宋体" w:hAnsi="宋体" w:cs="宋体"/>
                <w:szCs w:val="21"/>
              </w:rPr>
            </w:pPr>
            <w:r>
              <w:rPr>
                <w:rFonts w:hint="eastAsia" w:ascii="宋体" w:hAnsi="宋体" w:cs="宋体"/>
                <w:szCs w:val="21"/>
              </w:rPr>
              <w:t>2.检查记录。</w:t>
            </w:r>
          </w:p>
          <w:p>
            <w:pPr>
              <w:spacing w:line="280" w:lineRule="exact"/>
              <w:rPr>
                <w:rFonts w:ascii="宋体" w:hAnsi="宋体" w:cs="宋体"/>
                <w:szCs w:val="21"/>
              </w:rPr>
            </w:pPr>
            <w:r>
              <w:rPr>
                <w:rFonts w:hint="eastAsia" w:ascii="宋体" w:hAnsi="宋体" w:cs="宋体"/>
                <w:szCs w:val="21"/>
              </w:rPr>
              <w:t>现场检查：</w:t>
            </w:r>
          </w:p>
          <w:p>
            <w:pPr>
              <w:spacing w:line="280" w:lineRule="exact"/>
              <w:rPr>
                <w:rFonts w:ascii="宋体" w:hAnsi="宋体" w:cs="宋体"/>
                <w:szCs w:val="21"/>
              </w:rPr>
            </w:pPr>
            <w:r>
              <w:rPr>
                <w:rFonts w:hint="eastAsia" w:ascii="宋体" w:hAnsi="宋体" w:cs="宋体"/>
                <w:szCs w:val="21"/>
              </w:rPr>
              <w:t>承包商作业现场管理。</w:t>
            </w:r>
          </w:p>
        </w:tc>
        <w:tc>
          <w:tcPr>
            <w:tcW w:w="1701" w:type="dxa"/>
          </w:tcPr>
          <w:p>
            <w:pPr>
              <w:spacing w:line="280" w:lineRule="exact"/>
              <w:rPr>
                <w:rFonts w:ascii="宋体" w:hAnsi="宋体" w:cs="宋体"/>
                <w:szCs w:val="21"/>
              </w:rPr>
            </w:pPr>
          </w:p>
        </w:tc>
        <w:tc>
          <w:tcPr>
            <w:tcW w:w="2268" w:type="dxa"/>
          </w:tcPr>
          <w:p>
            <w:pPr>
              <w:spacing w:line="280" w:lineRule="exact"/>
              <w:rPr>
                <w:rFonts w:ascii="宋体" w:hAnsi="宋体" w:cs="宋体"/>
                <w:szCs w:val="21"/>
              </w:rPr>
            </w:pPr>
            <w:r>
              <w:rPr>
                <w:rFonts w:hint="eastAsia" w:ascii="宋体" w:hAnsi="宋体" w:cs="宋体"/>
                <w:szCs w:val="21"/>
              </w:rPr>
              <w:t>1.未签订安全生产协议书的，一项扣2分；安全生产协议书内容不符合要求，一项扣1分；</w:t>
            </w:r>
          </w:p>
          <w:p>
            <w:pPr>
              <w:spacing w:line="280" w:lineRule="exact"/>
              <w:rPr>
                <w:rFonts w:ascii="宋体" w:hAnsi="宋体" w:cs="宋体"/>
                <w:szCs w:val="21"/>
              </w:rPr>
            </w:pPr>
            <w:r>
              <w:rPr>
                <w:rFonts w:hint="eastAsia" w:ascii="宋体" w:hAnsi="宋体" w:cs="宋体"/>
                <w:szCs w:val="21"/>
              </w:rPr>
              <w:t>2.未进行现场安全检查和协调的，1次扣1分。</w:t>
            </w:r>
          </w:p>
        </w:tc>
        <w:tc>
          <w:tcPr>
            <w:tcW w:w="1165" w:type="dxa"/>
            <w:vAlign w:val="center"/>
          </w:tcPr>
          <w:p>
            <w:pPr>
              <w:spacing w:line="280" w:lineRule="exact"/>
              <w:jc w:val="center"/>
              <w:rPr>
                <w:rFonts w:ascii="宋体" w:hAnsi="宋体" w:cs="宋体"/>
                <w:szCs w:val="21"/>
              </w:rPr>
            </w:pPr>
            <w:r>
              <w:rPr>
                <w:rFonts w:hint="eastAsia" w:ascii="宋体" w:hAnsi="宋体" w:cs="宋体"/>
                <w:szCs w:val="21"/>
              </w:rPr>
              <w:t>符合要求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6" w:hRule="atLeast"/>
          <w:jc w:val="center"/>
        </w:trPr>
        <w:tc>
          <w:tcPr>
            <w:tcW w:w="771" w:type="dxa"/>
            <w:vMerge w:val="continue"/>
          </w:tcPr>
          <w:p>
            <w:pPr>
              <w:spacing w:line="280" w:lineRule="exact"/>
              <w:rPr>
                <w:rFonts w:ascii="宋体" w:hAnsi="宋体" w:cs="宋体"/>
                <w:b/>
                <w:bCs/>
                <w:szCs w:val="21"/>
              </w:rPr>
            </w:pPr>
          </w:p>
        </w:tc>
        <w:tc>
          <w:tcPr>
            <w:tcW w:w="709" w:type="dxa"/>
            <w:vMerge w:val="continue"/>
          </w:tcPr>
          <w:p>
            <w:pPr>
              <w:spacing w:line="280" w:lineRule="exact"/>
              <w:rPr>
                <w:rFonts w:ascii="宋体" w:hAnsi="宋体" w:cs="宋体"/>
                <w:b/>
                <w:bCs/>
                <w:szCs w:val="21"/>
              </w:rPr>
            </w:pPr>
          </w:p>
        </w:tc>
        <w:tc>
          <w:tcPr>
            <w:tcW w:w="2409" w:type="dxa"/>
          </w:tcPr>
          <w:p>
            <w:pPr>
              <w:spacing w:line="280" w:lineRule="exact"/>
              <w:rPr>
                <w:rFonts w:ascii="宋体" w:hAnsi="宋体" w:cs="宋体"/>
                <w:szCs w:val="21"/>
              </w:rPr>
            </w:pPr>
            <w:r>
              <w:rPr>
                <w:rFonts w:hint="eastAsia" w:ascii="宋体" w:hAnsi="宋体" w:cs="宋体"/>
                <w:szCs w:val="21"/>
              </w:rPr>
              <w:t>7.企业应办理机动车辆进入生产装置区、罐区现场相关手续，机动车辆应佩戴标准阻火器、按指定线路行驶。</w:t>
            </w:r>
          </w:p>
        </w:tc>
        <w:tc>
          <w:tcPr>
            <w:tcW w:w="2268" w:type="dxa"/>
          </w:tcPr>
          <w:p>
            <w:pPr>
              <w:spacing w:line="280" w:lineRule="exact"/>
              <w:rPr>
                <w:rFonts w:ascii="宋体" w:hAnsi="宋体" w:cs="宋体"/>
                <w:szCs w:val="21"/>
              </w:rPr>
            </w:pPr>
            <w:r>
              <w:rPr>
                <w:rFonts w:hint="eastAsia" w:ascii="宋体" w:hAnsi="宋体" w:cs="宋体"/>
                <w:szCs w:val="21"/>
              </w:rPr>
              <w:t>机动车辆进入生产装置区、罐区现场应按规定办理相关手续，佩戴符合标准要求的阻火器，按指定路线、规定速度行驶。</w:t>
            </w:r>
          </w:p>
        </w:tc>
        <w:tc>
          <w:tcPr>
            <w:tcW w:w="2268" w:type="dxa"/>
          </w:tcPr>
          <w:p>
            <w:pPr>
              <w:spacing w:line="280" w:lineRule="exact"/>
              <w:rPr>
                <w:rFonts w:ascii="宋体" w:hAnsi="宋体" w:cs="宋体"/>
                <w:szCs w:val="21"/>
              </w:rPr>
            </w:pPr>
            <w:r>
              <w:rPr>
                <w:rFonts w:hint="eastAsia" w:ascii="宋体" w:hAnsi="宋体" w:cs="宋体"/>
                <w:szCs w:val="21"/>
              </w:rPr>
              <w:t>查文件：</w:t>
            </w:r>
          </w:p>
          <w:p>
            <w:pPr>
              <w:spacing w:line="280" w:lineRule="exact"/>
              <w:rPr>
                <w:rFonts w:ascii="宋体" w:hAnsi="宋体" w:cs="宋体"/>
                <w:szCs w:val="21"/>
              </w:rPr>
            </w:pPr>
            <w:r>
              <w:rPr>
                <w:rFonts w:hint="eastAsia" w:ascii="宋体" w:hAnsi="宋体" w:cs="宋体"/>
                <w:szCs w:val="21"/>
              </w:rPr>
              <w:t>1.有关机动车辆进入生产装置区、罐区现场的管理规定；</w:t>
            </w:r>
          </w:p>
          <w:p>
            <w:pPr>
              <w:spacing w:line="280" w:lineRule="exact"/>
              <w:rPr>
                <w:rFonts w:ascii="宋体" w:hAnsi="宋体" w:cs="宋体"/>
                <w:szCs w:val="21"/>
              </w:rPr>
            </w:pPr>
            <w:r>
              <w:rPr>
                <w:rFonts w:hint="eastAsia" w:ascii="宋体" w:hAnsi="宋体" w:cs="宋体"/>
                <w:szCs w:val="21"/>
              </w:rPr>
              <w:t>2.机动车辆进入生产装置区、罐区手续。</w:t>
            </w:r>
          </w:p>
          <w:p>
            <w:pPr>
              <w:spacing w:line="280" w:lineRule="exact"/>
              <w:rPr>
                <w:rFonts w:ascii="宋体" w:hAnsi="宋体" w:cs="宋体"/>
                <w:szCs w:val="21"/>
              </w:rPr>
            </w:pPr>
            <w:r>
              <w:rPr>
                <w:rFonts w:hint="eastAsia" w:ascii="宋体" w:hAnsi="宋体" w:cs="宋体"/>
                <w:szCs w:val="21"/>
              </w:rPr>
              <w:t>现场检查：</w:t>
            </w:r>
          </w:p>
          <w:p>
            <w:pPr>
              <w:spacing w:line="280" w:lineRule="exact"/>
              <w:rPr>
                <w:rFonts w:ascii="宋体" w:hAnsi="宋体" w:cs="宋体"/>
                <w:szCs w:val="21"/>
              </w:rPr>
            </w:pPr>
            <w:r>
              <w:rPr>
                <w:rFonts w:hint="eastAsia" w:ascii="宋体" w:hAnsi="宋体" w:cs="宋体"/>
                <w:szCs w:val="21"/>
              </w:rPr>
              <w:t>机动车辆进入生产装置区、罐区的安全管理。</w:t>
            </w:r>
          </w:p>
        </w:tc>
        <w:tc>
          <w:tcPr>
            <w:tcW w:w="1701" w:type="dxa"/>
          </w:tcPr>
          <w:p>
            <w:pPr>
              <w:spacing w:line="280" w:lineRule="exact"/>
              <w:rPr>
                <w:rFonts w:ascii="宋体" w:hAnsi="宋体" w:cs="宋体"/>
                <w:szCs w:val="21"/>
              </w:rPr>
            </w:pPr>
          </w:p>
        </w:tc>
        <w:tc>
          <w:tcPr>
            <w:tcW w:w="2268" w:type="dxa"/>
          </w:tcPr>
          <w:p>
            <w:pPr>
              <w:spacing w:line="280" w:lineRule="exact"/>
              <w:rPr>
                <w:rFonts w:ascii="宋体" w:hAnsi="宋体" w:cs="宋体"/>
                <w:szCs w:val="21"/>
              </w:rPr>
            </w:pPr>
            <w:r>
              <w:rPr>
                <w:rFonts w:hint="eastAsia" w:ascii="宋体" w:hAnsi="宋体" w:cs="宋体"/>
                <w:szCs w:val="21"/>
              </w:rPr>
              <w:t>1.机动车辆未办理手续进入生产装置区、罐区，1台扣2分；</w:t>
            </w:r>
          </w:p>
          <w:p>
            <w:pPr>
              <w:spacing w:line="280" w:lineRule="exact"/>
              <w:rPr>
                <w:rFonts w:ascii="宋体" w:hAnsi="宋体" w:cs="宋体"/>
                <w:szCs w:val="21"/>
              </w:rPr>
            </w:pPr>
            <w:r>
              <w:rPr>
                <w:rFonts w:hint="eastAsia" w:ascii="宋体" w:hAnsi="宋体" w:cs="宋体"/>
                <w:szCs w:val="21"/>
              </w:rPr>
              <w:t>2.未佩戴阻火器，或未按指定路线、规定速度行驶的，一项扣1分。</w:t>
            </w:r>
          </w:p>
        </w:tc>
        <w:tc>
          <w:tcPr>
            <w:tcW w:w="1165" w:type="dxa"/>
            <w:vAlign w:val="center"/>
          </w:tcPr>
          <w:p>
            <w:pPr>
              <w:spacing w:line="280" w:lineRule="exact"/>
              <w:jc w:val="center"/>
              <w:rPr>
                <w:rFonts w:ascii="宋体" w:hAnsi="宋体" w:cs="宋体"/>
                <w:szCs w:val="21"/>
              </w:rPr>
            </w:pPr>
            <w:r>
              <w:rPr>
                <w:rFonts w:hint="eastAsia" w:ascii="宋体" w:hAnsi="宋体" w:cs="宋体"/>
                <w:szCs w:val="21"/>
              </w:rPr>
              <w:t>符合要求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771" w:type="dxa"/>
            <w:vMerge w:val="continue"/>
          </w:tcPr>
          <w:p>
            <w:pPr>
              <w:spacing w:line="280" w:lineRule="exact"/>
              <w:rPr>
                <w:rFonts w:ascii="宋体" w:hAnsi="宋体" w:cs="宋体"/>
                <w:b/>
                <w:bCs/>
                <w:szCs w:val="21"/>
              </w:rPr>
            </w:pPr>
          </w:p>
        </w:tc>
        <w:tc>
          <w:tcPr>
            <w:tcW w:w="709" w:type="dxa"/>
            <w:vMerge w:val="continue"/>
          </w:tcPr>
          <w:p>
            <w:pPr>
              <w:spacing w:line="280" w:lineRule="exact"/>
              <w:rPr>
                <w:rFonts w:ascii="宋体" w:hAnsi="宋体" w:cs="宋体"/>
                <w:b/>
                <w:bCs/>
                <w:szCs w:val="21"/>
              </w:rPr>
            </w:pPr>
          </w:p>
        </w:tc>
        <w:tc>
          <w:tcPr>
            <w:tcW w:w="2409" w:type="dxa"/>
          </w:tcPr>
          <w:p>
            <w:pPr>
              <w:spacing w:line="280" w:lineRule="exact"/>
              <w:rPr>
                <w:rFonts w:ascii="宋体" w:hAnsi="宋体" w:cs="宋体"/>
                <w:szCs w:val="21"/>
              </w:rPr>
            </w:pPr>
          </w:p>
        </w:tc>
        <w:tc>
          <w:tcPr>
            <w:tcW w:w="2268" w:type="dxa"/>
          </w:tcPr>
          <w:p>
            <w:pPr>
              <w:spacing w:line="280" w:lineRule="exact"/>
              <w:rPr>
                <w:rFonts w:ascii="宋体" w:hAnsi="宋体" w:cs="宋体"/>
                <w:szCs w:val="21"/>
              </w:rPr>
            </w:pPr>
            <w:r>
              <w:rPr>
                <w:rFonts w:hint="eastAsia" w:ascii="宋体" w:hAnsi="宋体" w:cs="宋体"/>
                <w:szCs w:val="21"/>
              </w:rPr>
              <w:t>二级企业动火作业、进入受限空间作业及吊装作业管理制度、作业票证及作业现场评审不失分。</w:t>
            </w:r>
          </w:p>
        </w:tc>
        <w:tc>
          <w:tcPr>
            <w:tcW w:w="2268" w:type="dxa"/>
          </w:tcPr>
          <w:p>
            <w:pPr>
              <w:spacing w:line="280" w:lineRule="exact"/>
              <w:rPr>
                <w:rFonts w:ascii="宋体" w:hAnsi="宋体" w:cs="宋体"/>
                <w:szCs w:val="21"/>
              </w:rPr>
            </w:pPr>
            <w:r>
              <w:rPr>
                <w:rFonts w:hint="eastAsia" w:ascii="宋体" w:hAnsi="宋体" w:cs="宋体"/>
                <w:szCs w:val="21"/>
              </w:rPr>
              <w:t>查文件：</w:t>
            </w:r>
          </w:p>
          <w:p>
            <w:pPr>
              <w:spacing w:line="280" w:lineRule="exact"/>
              <w:rPr>
                <w:rFonts w:ascii="宋体" w:hAnsi="宋体" w:cs="宋体"/>
                <w:szCs w:val="21"/>
              </w:rPr>
            </w:pPr>
            <w:r>
              <w:rPr>
                <w:rFonts w:hint="eastAsia" w:ascii="宋体" w:hAnsi="宋体" w:cs="宋体"/>
                <w:szCs w:val="21"/>
              </w:rPr>
              <w:t>动火作业、进入受限空间作业及吊装作业管理制度、作业许可证。</w:t>
            </w:r>
          </w:p>
          <w:p>
            <w:pPr>
              <w:spacing w:line="280" w:lineRule="exact"/>
              <w:rPr>
                <w:rFonts w:ascii="宋体" w:hAnsi="宋体" w:cs="宋体"/>
                <w:szCs w:val="21"/>
              </w:rPr>
            </w:pPr>
            <w:r>
              <w:rPr>
                <w:rFonts w:hint="eastAsia" w:ascii="宋体" w:hAnsi="宋体" w:cs="宋体"/>
                <w:szCs w:val="21"/>
              </w:rPr>
              <w:t>现场检查：</w:t>
            </w:r>
          </w:p>
          <w:p>
            <w:pPr>
              <w:spacing w:line="280" w:lineRule="exact"/>
              <w:rPr>
                <w:rFonts w:ascii="宋体" w:hAnsi="宋体" w:cs="宋体"/>
                <w:szCs w:val="21"/>
              </w:rPr>
            </w:pPr>
            <w:r>
              <w:rPr>
                <w:rFonts w:hint="eastAsia" w:ascii="宋体" w:hAnsi="宋体" w:cs="宋体"/>
                <w:szCs w:val="21"/>
              </w:rPr>
              <w:t>检查动火作业、进入受限空间作业及吊装作业现场。</w:t>
            </w:r>
          </w:p>
        </w:tc>
        <w:tc>
          <w:tcPr>
            <w:tcW w:w="1701" w:type="dxa"/>
          </w:tcPr>
          <w:p>
            <w:pPr>
              <w:spacing w:line="280" w:lineRule="exact"/>
              <w:rPr>
                <w:rFonts w:ascii="宋体" w:hAnsi="宋体" w:cs="宋体"/>
                <w:szCs w:val="21"/>
              </w:rPr>
            </w:pPr>
            <w:r>
              <w:rPr>
                <w:rFonts w:hint="eastAsia" w:ascii="宋体" w:hAnsi="宋体" w:cs="宋体"/>
                <w:szCs w:val="21"/>
              </w:rPr>
              <w:t>若失分，扣100分（A级要素否决项）。</w:t>
            </w:r>
          </w:p>
        </w:tc>
        <w:tc>
          <w:tcPr>
            <w:tcW w:w="2268" w:type="dxa"/>
          </w:tcPr>
          <w:p>
            <w:pPr>
              <w:spacing w:line="280" w:lineRule="exact"/>
              <w:rPr>
                <w:rFonts w:ascii="宋体" w:hAnsi="宋体" w:cs="宋体"/>
                <w:szCs w:val="21"/>
              </w:rPr>
            </w:pPr>
          </w:p>
        </w:tc>
        <w:tc>
          <w:tcPr>
            <w:tcW w:w="1165" w:type="dxa"/>
            <w:vAlign w:val="center"/>
          </w:tcPr>
          <w:p>
            <w:pPr>
              <w:spacing w:line="280" w:lineRule="exact"/>
              <w:jc w:val="center"/>
              <w:rPr>
                <w:rFonts w:ascii="宋体" w:hAnsi="宋体" w:cs="宋体"/>
                <w:szCs w:val="21"/>
              </w:rPr>
            </w:pPr>
            <w:r>
              <w:rPr>
                <w:rFonts w:hint="eastAsia" w:ascii="宋体" w:hAnsi="宋体" w:cs="宋体"/>
                <w:szCs w:val="21"/>
              </w:rPr>
              <w:t>不涉及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771" w:type="dxa"/>
            <w:vMerge w:val="continue"/>
          </w:tcPr>
          <w:p>
            <w:pPr>
              <w:spacing w:line="280" w:lineRule="exact"/>
              <w:rPr>
                <w:rFonts w:ascii="宋体" w:hAnsi="宋体" w:cs="宋体"/>
                <w:b/>
                <w:bCs/>
                <w:szCs w:val="21"/>
              </w:rPr>
            </w:pPr>
          </w:p>
        </w:tc>
        <w:tc>
          <w:tcPr>
            <w:tcW w:w="709" w:type="dxa"/>
            <w:vMerge w:val="restart"/>
          </w:tcPr>
          <w:p>
            <w:pPr>
              <w:spacing w:line="280" w:lineRule="exact"/>
              <w:rPr>
                <w:rFonts w:ascii="宋体" w:hAnsi="宋体" w:cs="宋体"/>
                <w:b/>
                <w:bCs/>
                <w:szCs w:val="21"/>
              </w:rPr>
            </w:pPr>
            <w:r>
              <w:rPr>
                <w:rFonts w:hint="eastAsia" w:ascii="宋体" w:hAnsi="宋体" w:cs="宋体"/>
                <w:b/>
                <w:bCs/>
                <w:szCs w:val="21"/>
              </w:rPr>
              <w:t>7.4</w:t>
            </w:r>
          </w:p>
          <w:p>
            <w:pPr>
              <w:spacing w:line="280" w:lineRule="exact"/>
              <w:rPr>
                <w:rFonts w:ascii="宋体" w:hAnsi="宋体" w:cs="宋体"/>
                <w:b/>
                <w:bCs/>
                <w:szCs w:val="21"/>
              </w:rPr>
            </w:pPr>
            <w:r>
              <w:rPr>
                <w:rFonts w:hint="eastAsia" w:ascii="宋体" w:hAnsi="宋体" w:cs="宋体"/>
                <w:b/>
                <w:bCs/>
                <w:szCs w:val="21"/>
              </w:rPr>
              <w:t>承包商</w:t>
            </w:r>
          </w:p>
          <w:p>
            <w:pPr>
              <w:spacing w:line="280" w:lineRule="exact"/>
              <w:rPr>
                <w:rFonts w:ascii="宋体" w:hAnsi="宋体" w:cs="宋体"/>
                <w:b/>
                <w:bCs/>
                <w:szCs w:val="21"/>
              </w:rPr>
            </w:pPr>
            <w:r>
              <w:rPr>
                <w:rFonts w:hint="eastAsia" w:ascii="宋体" w:hAnsi="宋体" w:cs="宋体"/>
                <w:b/>
                <w:bCs/>
                <w:szCs w:val="21"/>
              </w:rPr>
              <w:t>（25分）</w:t>
            </w:r>
          </w:p>
          <w:p>
            <w:pPr>
              <w:spacing w:line="280" w:lineRule="exact"/>
              <w:rPr>
                <w:rFonts w:ascii="宋体" w:hAnsi="宋体" w:cs="宋体"/>
                <w:b/>
                <w:bCs/>
                <w:szCs w:val="21"/>
              </w:rPr>
            </w:pPr>
          </w:p>
        </w:tc>
        <w:tc>
          <w:tcPr>
            <w:tcW w:w="2409" w:type="dxa"/>
            <w:vMerge w:val="restart"/>
          </w:tcPr>
          <w:p>
            <w:pPr>
              <w:spacing w:line="280" w:lineRule="exact"/>
              <w:rPr>
                <w:rFonts w:ascii="宋体" w:hAnsi="宋体" w:cs="宋体"/>
                <w:szCs w:val="21"/>
              </w:rPr>
            </w:pPr>
            <w:r>
              <w:rPr>
                <w:rFonts w:hint="eastAsia" w:ascii="宋体" w:hAnsi="宋体" w:cs="宋体"/>
                <w:szCs w:val="21"/>
              </w:rPr>
              <w:t>企业应严格执行承包商管理制度，对承包商资格预审、选择、开工前准备、作业过程监督、表现评价、续用等过程进行管理，建立合格承包商名录和档案。企业应与选用的承包商签订安全协议书。</w:t>
            </w:r>
          </w:p>
        </w:tc>
        <w:tc>
          <w:tcPr>
            <w:tcW w:w="2268" w:type="dxa"/>
          </w:tcPr>
          <w:p>
            <w:pPr>
              <w:spacing w:line="280" w:lineRule="exact"/>
              <w:rPr>
                <w:rFonts w:ascii="宋体" w:hAnsi="宋体" w:cs="宋体"/>
                <w:szCs w:val="21"/>
              </w:rPr>
            </w:pPr>
            <w:r>
              <w:rPr>
                <w:rFonts w:hint="eastAsia" w:ascii="宋体" w:hAnsi="宋体" w:cs="宋体"/>
                <w:szCs w:val="21"/>
              </w:rPr>
              <w:t>1.建立合格承包商名录、档案（包括承包商资质资料、表现评价、合同等资料）；</w:t>
            </w:r>
          </w:p>
          <w:p>
            <w:pPr>
              <w:spacing w:line="280" w:lineRule="exact"/>
              <w:rPr>
                <w:rFonts w:ascii="宋体" w:hAnsi="宋体" w:cs="宋体"/>
                <w:szCs w:val="21"/>
              </w:rPr>
            </w:pPr>
            <w:r>
              <w:rPr>
                <w:rFonts w:hint="eastAsia" w:ascii="宋体" w:hAnsi="宋体" w:cs="宋体"/>
                <w:szCs w:val="21"/>
              </w:rPr>
              <w:t>2.对承包商进行资格预审；</w:t>
            </w:r>
          </w:p>
          <w:p>
            <w:pPr>
              <w:spacing w:line="280" w:lineRule="exact"/>
              <w:rPr>
                <w:rFonts w:ascii="宋体" w:hAnsi="宋体" w:cs="宋体"/>
                <w:szCs w:val="21"/>
              </w:rPr>
            </w:pPr>
            <w:r>
              <w:rPr>
                <w:rFonts w:hint="eastAsia" w:ascii="宋体" w:hAnsi="宋体" w:cs="宋体"/>
                <w:szCs w:val="21"/>
              </w:rPr>
              <w:t>3.选择、使用合格的承包商；</w:t>
            </w:r>
          </w:p>
          <w:p>
            <w:pPr>
              <w:spacing w:line="280" w:lineRule="exact"/>
              <w:rPr>
                <w:rFonts w:ascii="宋体" w:hAnsi="宋体" w:cs="宋体"/>
                <w:szCs w:val="21"/>
              </w:rPr>
            </w:pPr>
            <w:r>
              <w:rPr>
                <w:rFonts w:hint="eastAsia" w:ascii="宋体" w:hAnsi="宋体" w:cs="宋体"/>
                <w:szCs w:val="21"/>
              </w:rPr>
              <w:t>4.与选用的承包商签订安全协议；</w:t>
            </w:r>
          </w:p>
          <w:p>
            <w:pPr>
              <w:spacing w:line="280" w:lineRule="exact"/>
              <w:rPr>
                <w:rFonts w:ascii="宋体" w:hAnsi="宋体" w:cs="宋体"/>
                <w:szCs w:val="21"/>
              </w:rPr>
            </w:pPr>
            <w:r>
              <w:rPr>
                <w:rFonts w:hint="eastAsia" w:ascii="宋体" w:hAnsi="宋体" w:cs="宋体"/>
                <w:szCs w:val="21"/>
              </w:rPr>
              <w:t>5.对作业过程进行监督检查。</w:t>
            </w:r>
          </w:p>
          <w:p>
            <w:pPr>
              <w:spacing w:line="280" w:lineRule="exact"/>
              <w:rPr>
                <w:rFonts w:ascii="宋体" w:hAnsi="宋体" w:cs="宋体"/>
                <w:szCs w:val="21"/>
              </w:rPr>
            </w:pPr>
          </w:p>
        </w:tc>
        <w:tc>
          <w:tcPr>
            <w:tcW w:w="2268" w:type="dxa"/>
          </w:tcPr>
          <w:p>
            <w:pPr>
              <w:spacing w:line="280" w:lineRule="exact"/>
              <w:rPr>
                <w:rFonts w:ascii="宋体" w:hAnsi="宋体" w:cs="宋体"/>
                <w:szCs w:val="21"/>
              </w:rPr>
            </w:pPr>
            <w:r>
              <w:rPr>
                <w:rFonts w:hint="eastAsia" w:ascii="宋体" w:hAnsi="宋体" w:cs="宋体"/>
                <w:szCs w:val="21"/>
              </w:rPr>
              <w:t>查文件：</w:t>
            </w:r>
          </w:p>
          <w:p>
            <w:pPr>
              <w:spacing w:line="280" w:lineRule="exact"/>
              <w:rPr>
                <w:rFonts w:ascii="宋体" w:hAnsi="宋体" w:cs="宋体"/>
                <w:szCs w:val="21"/>
              </w:rPr>
            </w:pPr>
            <w:r>
              <w:rPr>
                <w:rFonts w:hint="eastAsia" w:ascii="宋体" w:hAnsi="宋体" w:cs="宋体"/>
                <w:szCs w:val="21"/>
              </w:rPr>
              <w:t>1.承包商管理制度；</w:t>
            </w:r>
          </w:p>
          <w:p>
            <w:pPr>
              <w:spacing w:line="280" w:lineRule="exact"/>
              <w:rPr>
                <w:rFonts w:ascii="宋体" w:hAnsi="宋体" w:cs="宋体"/>
                <w:szCs w:val="21"/>
              </w:rPr>
            </w:pPr>
            <w:r>
              <w:rPr>
                <w:rFonts w:hint="eastAsia" w:ascii="宋体" w:hAnsi="宋体" w:cs="宋体"/>
                <w:szCs w:val="21"/>
              </w:rPr>
              <w:t>2.承包商管理档案、监督检查记录；</w:t>
            </w:r>
          </w:p>
          <w:p>
            <w:pPr>
              <w:spacing w:line="280" w:lineRule="exact"/>
              <w:rPr>
                <w:rFonts w:ascii="宋体" w:hAnsi="宋体" w:cs="宋体"/>
                <w:szCs w:val="21"/>
              </w:rPr>
            </w:pPr>
            <w:r>
              <w:rPr>
                <w:rFonts w:hint="eastAsia" w:ascii="宋体" w:hAnsi="宋体" w:cs="宋体"/>
                <w:szCs w:val="21"/>
              </w:rPr>
              <w:t>3.安全协议书。</w:t>
            </w:r>
          </w:p>
          <w:p>
            <w:pPr>
              <w:spacing w:line="280" w:lineRule="exact"/>
              <w:rPr>
                <w:rFonts w:ascii="宋体" w:hAnsi="宋体" w:cs="宋体"/>
                <w:szCs w:val="21"/>
              </w:rPr>
            </w:pPr>
            <w:r>
              <w:rPr>
                <w:rFonts w:hint="eastAsia" w:ascii="宋体" w:hAnsi="宋体" w:cs="宋体"/>
                <w:szCs w:val="21"/>
              </w:rPr>
              <w:t>现场检查：</w:t>
            </w:r>
          </w:p>
          <w:p>
            <w:pPr>
              <w:spacing w:line="280" w:lineRule="exact"/>
              <w:rPr>
                <w:rFonts w:ascii="宋体" w:hAnsi="宋体" w:cs="宋体"/>
                <w:szCs w:val="21"/>
              </w:rPr>
            </w:pPr>
            <w:r>
              <w:rPr>
                <w:rFonts w:hint="eastAsia" w:ascii="宋体" w:hAnsi="宋体" w:cs="宋体"/>
                <w:szCs w:val="21"/>
              </w:rPr>
              <w:t>作业现场管理。</w:t>
            </w:r>
          </w:p>
        </w:tc>
        <w:tc>
          <w:tcPr>
            <w:tcW w:w="1701" w:type="dxa"/>
          </w:tcPr>
          <w:p>
            <w:pPr>
              <w:spacing w:line="280" w:lineRule="exact"/>
              <w:rPr>
                <w:rFonts w:ascii="宋体" w:hAnsi="宋体" w:cs="宋体"/>
                <w:szCs w:val="21"/>
              </w:rPr>
            </w:pPr>
          </w:p>
        </w:tc>
        <w:tc>
          <w:tcPr>
            <w:tcW w:w="2268" w:type="dxa"/>
          </w:tcPr>
          <w:p>
            <w:pPr>
              <w:spacing w:line="280" w:lineRule="exact"/>
              <w:rPr>
                <w:rFonts w:ascii="宋体" w:hAnsi="宋体" w:cs="宋体"/>
                <w:szCs w:val="21"/>
              </w:rPr>
            </w:pPr>
            <w:r>
              <w:rPr>
                <w:rFonts w:hint="eastAsia" w:ascii="宋体" w:hAnsi="宋体" w:cs="宋体"/>
                <w:szCs w:val="21"/>
              </w:rPr>
              <w:t>1.未建立合格承包商档案，一项扣2分；</w:t>
            </w:r>
          </w:p>
          <w:p>
            <w:pPr>
              <w:spacing w:line="280" w:lineRule="exact"/>
              <w:rPr>
                <w:rFonts w:ascii="宋体" w:hAnsi="宋体" w:cs="宋体"/>
                <w:szCs w:val="21"/>
              </w:rPr>
            </w:pPr>
            <w:r>
              <w:rPr>
                <w:rFonts w:hint="eastAsia" w:ascii="宋体" w:hAnsi="宋体" w:cs="宋体"/>
                <w:szCs w:val="21"/>
              </w:rPr>
              <w:t>2.未与承包商签订安全协议，扣3分；</w:t>
            </w:r>
          </w:p>
          <w:p>
            <w:pPr>
              <w:spacing w:line="280" w:lineRule="exact"/>
              <w:rPr>
                <w:rFonts w:ascii="宋体" w:hAnsi="宋体" w:cs="宋体"/>
                <w:szCs w:val="21"/>
              </w:rPr>
            </w:pPr>
            <w:r>
              <w:rPr>
                <w:rFonts w:hint="eastAsia" w:ascii="宋体" w:hAnsi="宋体" w:cs="宋体"/>
                <w:szCs w:val="21"/>
              </w:rPr>
              <w:t>3.未对承包商进行规范管理，一项不符合扣1分；</w:t>
            </w:r>
          </w:p>
          <w:p>
            <w:pPr>
              <w:spacing w:line="280" w:lineRule="exact"/>
              <w:rPr>
                <w:rFonts w:ascii="宋体" w:hAnsi="宋体" w:cs="宋体"/>
                <w:szCs w:val="21"/>
              </w:rPr>
            </w:pPr>
            <w:r>
              <w:rPr>
                <w:rFonts w:hint="eastAsia" w:ascii="宋体" w:hAnsi="宋体" w:cs="宋体"/>
                <w:szCs w:val="21"/>
              </w:rPr>
              <w:t>4.未进行现场安全检查，一次扣1分。</w:t>
            </w:r>
          </w:p>
        </w:tc>
        <w:tc>
          <w:tcPr>
            <w:tcW w:w="1165" w:type="dxa"/>
            <w:vAlign w:val="center"/>
          </w:tcPr>
          <w:p>
            <w:pPr>
              <w:spacing w:line="280" w:lineRule="exact"/>
              <w:jc w:val="center"/>
              <w:rPr>
                <w:rFonts w:ascii="宋体" w:hAnsi="宋体" w:cs="宋体"/>
                <w:szCs w:val="21"/>
              </w:rPr>
            </w:pPr>
            <w:r>
              <w:rPr>
                <w:rFonts w:hint="eastAsia" w:ascii="宋体" w:hAnsi="宋体" w:cs="宋体"/>
                <w:szCs w:val="21"/>
              </w:rPr>
              <w:t>符合要求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771" w:type="dxa"/>
            <w:vMerge w:val="continue"/>
          </w:tcPr>
          <w:p>
            <w:pPr>
              <w:spacing w:line="280" w:lineRule="exact"/>
              <w:rPr>
                <w:rFonts w:ascii="宋体" w:hAnsi="宋体" w:cs="宋体"/>
                <w:b/>
                <w:bCs/>
                <w:szCs w:val="21"/>
              </w:rPr>
            </w:pPr>
          </w:p>
        </w:tc>
        <w:tc>
          <w:tcPr>
            <w:tcW w:w="709" w:type="dxa"/>
            <w:vMerge w:val="continue"/>
          </w:tcPr>
          <w:p>
            <w:pPr>
              <w:spacing w:line="280" w:lineRule="exact"/>
              <w:rPr>
                <w:rFonts w:ascii="宋体" w:hAnsi="宋体" w:cs="宋体"/>
                <w:b/>
                <w:bCs/>
                <w:szCs w:val="21"/>
              </w:rPr>
            </w:pPr>
          </w:p>
        </w:tc>
        <w:tc>
          <w:tcPr>
            <w:tcW w:w="2409" w:type="dxa"/>
            <w:vMerge w:val="continue"/>
          </w:tcPr>
          <w:p>
            <w:pPr>
              <w:spacing w:line="280" w:lineRule="exact"/>
              <w:rPr>
                <w:rFonts w:ascii="宋体" w:hAnsi="宋体" w:cs="宋体"/>
                <w:szCs w:val="21"/>
              </w:rPr>
            </w:pPr>
          </w:p>
        </w:tc>
        <w:tc>
          <w:tcPr>
            <w:tcW w:w="2268" w:type="dxa"/>
          </w:tcPr>
          <w:p>
            <w:pPr>
              <w:spacing w:line="280" w:lineRule="exact"/>
              <w:rPr>
                <w:rFonts w:ascii="宋体" w:hAnsi="宋体" w:cs="宋体"/>
                <w:szCs w:val="21"/>
              </w:rPr>
            </w:pPr>
            <w:r>
              <w:rPr>
                <w:rFonts w:hint="eastAsia" w:ascii="宋体" w:hAnsi="宋体" w:cs="宋体"/>
                <w:szCs w:val="21"/>
              </w:rPr>
              <w:t>要向承包商进行作业现场安全交底，对承包商的安全作业规程、施工方案和应急预案进行审查。</w:t>
            </w:r>
          </w:p>
          <w:p>
            <w:pPr>
              <w:spacing w:line="280" w:lineRule="exact"/>
              <w:rPr>
                <w:rFonts w:ascii="宋体" w:hAnsi="宋体" w:cs="宋体"/>
                <w:szCs w:val="21"/>
              </w:rPr>
            </w:pPr>
          </w:p>
        </w:tc>
        <w:tc>
          <w:tcPr>
            <w:tcW w:w="2268" w:type="dxa"/>
          </w:tcPr>
          <w:p>
            <w:pPr>
              <w:spacing w:line="280" w:lineRule="exact"/>
              <w:rPr>
                <w:rFonts w:ascii="宋体" w:hAnsi="宋体" w:cs="宋体"/>
                <w:szCs w:val="21"/>
              </w:rPr>
            </w:pPr>
            <w:r>
              <w:rPr>
                <w:rFonts w:hint="eastAsia" w:ascii="宋体" w:hAnsi="宋体" w:cs="宋体"/>
                <w:szCs w:val="21"/>
              </w:rPr>
              <w:t>查文件：</w:t>
            </w:r>
          </w:p>
          <w:p>
            <w:pPr>
              <w:spacing w:line="280" w:lineRule="exact"/>
              <w:rPr>
                <w:rFonts w:ascii="宋体" w:hAnsi="宋体" w:cs="宋体"/>
                <w:szCs w:val="21"/>
              </w:rPr>
            </w:pPr>
            <w:r>
              <w:rPr>
                <w:rFonts w:hint="eastAsia" w:ascii="宋体" w:hAnsi="宋体" w:cs="宋体"/>
                <w:szCs w:val="21"/>
              </w:rPr>
              <w:t>现场安全交底、施工方案和应急预案等资料。</w:t>
            </w:r>
          </w:p>
          <w:p>
            <w:pPr>
              <w:spacing w:line="280" w:lineRule="exact"/>
              <w:rPr>
                <w:rFonts w:ascii="宋体" w:hAnsi="宋体" w:cs="宋体"/>
                <w:szCs w:val="21"/>
              </w:rPr>
            </w:pPr>
            <w:r>
              <w:rPr>
                <w:rFonts w:hint="eastAsia" w:ascii="宋体" w:hAnsi="宋体" w:cs="宋体"/>
                <w:szCs w:val="21"/>
              </w:rPr>
              <w:t>现场检查：</w:t>
            </w:r>
          </w:p>
          <w:p>
            <w:pPr>
              <w:spacing w:line="280" w:lineRule="exact"/>
              <w:rPr>
                <w:rFonts w:ascii="宋体" w:hAnsi="宋体" w:cs="宋体"/>
                <w:szCs w:val="21"/>
              </w:rPr>
            </w:pPr>
            <w:r>
              <w:rPr>
                <w:rFonts w:hint="eastAsia" w:ascii="宋体" w:hAnsi="宋体" w:cs="宋体"/>
                <w:szCs w:val="21"/>
              </w:rPr>
              <w:t>现场抽查承包商施工人员的安全教育情况。</w:t>
            </w:r>
          </w:p>
        </w:tc>
        <w:tc>
          <w:tcPr>
            <w:tcW w:w="1701" w:type="dxa"/>
          </w:tcPr>
          <w:p>
            <w:pPr>
              <w:spacing w:line="280" w:lineRule="exact"/>
              <w:rPr>
                <w:rFonts w:ascii="宋体" w:hAnsi="宋体" w:cs="宋体"/>
                <w:szCs w:val="21"/>
              </w:rPr>
            </w:pPr>
          </w:p>
        </w:tc>
        <w:tc>
          <w:tcPr>
            <w:tcW w:w="2268" w:type="dxa"/>
          </w:tcPr>
          <w:p>
            <w:pPr>
              <w:spacing w:line="280" w:lineRule="exact"/>
              <w:rPr>
                <w:rFonts w:ascii="宋体" w:hAnsi="宋体" w:cs="宋体"/>
                <w:szCs w:val="21"/>
              </w:rPr>
            </w:pPr>
            <w:r>
              <w:rPr>
                <w:rFonts w:hint="eastAsia" w:ascii="宋体" w:hAnsi="宋体" w:cs="宋体"/>
                <w:szCs w:val="21"/>
              </w:rPr>
              <w:t>作业现场未进行安全交底，施工方案和应急预案未进行审查，一项不符合扣2分。</w:t>
            </w:r>
          </w:p>
        </w:tc>
        <w:tc>
          <w:tcPr>
            <w:tcW w:w="1165" w:type="dxa"/>
            <w:vAlign w:val="center"/>
          </w:tcPr>
          <w:p>
            <w:pPr>
              <w:spacing w:line="280" w:lineRule="exact"/>
              <w:jc w:val="center"/>
              <w:rPr>
                <w:rFonts w:hint="eastAsia" w:ascii="宋体" w:hAnsi="宋体" w:eastAsia="宋体" w:cs="宋体"/>
                <w:szCs w:val="21"/>
                <w:lang w:eastAsia="zh-CN"/>
              </w:rPr>
            </w:pPr>
            <w:r>
              <w:rPr>
                <w:rFonts w:hint="eastAsia" w:ascii="宋体" w:hAnsi="宋体" w:cs="宋体"/>
                <w:szCs w:val="21"/>
                <w:lang w:eastAsia="zh-CN"/>
              </w:rPr>
              <w:t>安全交底风险辨识不规范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771" w:type="dxa"/>
            <w:vMerge w:val="restart"/>
          </w:tcPr>
          <w:p>
            <w:pPr>
              <w:spacing w:line="280" w:lineRule="exact"/>
              <w:rPr>
                <w:rFonts w:ascii="宋体" w:hAnsi="宋体" w:cs="宋体"/>
                <w:b/>
                <w:bCs/>
                <w:szCs w:val="21"/>
              </w:rPr>
            </w:pPr>
            <w:r>
              <w:rPr>
                <w:rFonts w:hint="eastAsia" w:ascii="宋体" w:hAnsi="宋体" w:cs="宋体"/>
                <w:b/>
                <w:bCs/>
                <w:szCs w:val="21"/>
              </w:rPr>
              <w:t>8职业健康</w:t>
            </w:r>
          </w:p>
          <w:p>
            <w:pPr>
              <w:spacing w:line="280" w:lineRule="exact"/>
              <w:rPr>
                <w:rFonts w:ascii="宋体" w:hAnsi="宋体" w:cs="宋体"/>
                <w:b/>
                <w:bCs/>
                <w:szCs w:val="21"/>
              </w:rPr>
            </w:pPr>
            <w:r>
              <w:rPr>
                <w:rFonts w:hint="eastAsia" w:ascii="宋体" w:hAnsi="宋体" w:cs="宋体"/>
                <w:b/>
                <w:bCs/>
                <w:szCs w:val="21"/>
              </w:rPr>
              <w:t>（100分）</w:t>
            </w:r>
          </w:p>
          <w:p>
            <w:pPr>
              <w:spacing w:line="280" w:lineRule="exact"/>
              <w:rPr>
                <w:rFonts w:ascii="宋体" w:hAnsi="宋体" w:cs="宋体"/>
                <w:b/>
                <w:bCs/>
                <w:szCs w:val="21"/>
              </w:rPr>
            </w:pPr>
          </w:p>
        </w:tc>
        <w:tc>
          <w:tcPr>
            <w:tcW w:w="709" w:type="dxa"/>
          </w:tcPr>
          <w:p>
            <w:pPr>
              <w:spacing w:line="280" w:lineRule="exact"/>
              <w:rPr>
                <w:rFonts w:ascii="宋体" w:hAnsi="宋体" w:cs="宋体"/>
                <w:b/>
                <w:bCs/>
                <w:szCs w:val="21"/>
              </w:rPr>
            </w:pPr>
            <w:r>
              <w:rPr>
                <w:rFonts w:hint="eastAsia" w:ascii="宋体" w:hAnsi="宋体" w:cs="宋体"/>
                <w:b/>
                <w:bCs/>
                <w:szCs w:val="21"/>
              </w:rPr>
              <w:t>8.1</w:t>
            </w:r>
          </w:p>
          <w:p>
            <w:pPr>
              <w:spacing w:line="280" w:lineRule="exact"/>
              <w:rPr>
                <w:rFonts w:ascii="宋体" w:hAnsi="宋体" w:cs="宋体"/>
                <w:b/>
                <w:bCs/>
                <w:szCs w:val="21"/>
              </w:rPr>
            </w:pPr>
            <w:r>
              <w:rPr>
                <w:rFonts w:hint="eastAsia" w:ascii="宋体" w:hAnsi="宋体" w:cs="宋体"/>
                <w:b/>
                <w:bCs/>
                <w:szCs w:val="21"/>
              </w:rPr>
              <w:t>职业危害项目申报</w:t>
            </w:r>
          </w:p>
          <w:p>
            <w:pPr>
              <w:spacing w:line="280" w:lineRule="exact"/>
              <w:rPr>
                <w:rFonts w:ascii="宋体" w:hAnsi="宋体" w:cs="宋体"/>
                <w:b/>
                <w:bCs/>
                <w:szCs w:val="21"/>
              </w:rPr>
            </w:pPr>
            <w:r>
              <w:rPr>
                <w:rFonts w:hint="eastAsia" w:ascii="宋体" w:hAnsi="宋体" w:cs="宋体"/>
                <w:b/>
                <w:bCs/>
                <w:szCs w:val="21"/>
              </w:rPr>
              <w:t>（25分）</w:t>
            </w:r>
          </w:p>
          <w:p>
            <w:pPr>
              <w:spacing w:line="280" w:lineRule="exact"/>
              <w:rPr>
                <w:rFonts w:ascii="宋体" w:hAnsi="宋体" w:cs="宋体"/>
                <w:b/>
                <w:bCs/>
                <w:szCs w:val="21"/>
              </w:rPr>
            </w:pPr>
          </w:p>
          <w:p>
            <w:pPr>
              <w:spacing w:line="280" w:lineRule="exact"/>
              <w:rPr>
                <w:rFonts w:ascii="宋体" w:hAnsi="宋体" w:cs="宋体"/>
                <w:b/>
                <w:bCs/>
                <w:szCs w:val="21"/>
              </w:rPr>
            </w:pPr>
          </w:p>
          <w:p>
            <w:pPr>
              <w:spacing w:line="280" w:lineRule="exact"/>
              <w:rPr>
                <w:rFonts w:ascii="宋体" w:hAnsi="宋体" w:cs="宋体"/>
                <w:b/>
                <w:bCs/>
                <w:szCs w:val="21"/>
              </w:rPr>
            </w:pPr>
          </w:p>
        </w:tc>
        <w:tc>
          <w:tcPr>
            <w:tcW w:w="2409" w:type="dxa"/>
          </w:tcPr>
          <w:p>
            <w:pPr>
              <w:spacing w:line="280" w:lineRule="exact"/>
              <w:rPr>
                <w:rFonts w:ascii="宋体" w:hAnsi="宋体" w:cs="宋体"/>
                <w:szCs w:val="21"/>
              </w:rPr>
            </w:pPr>
            <w:r>
              <w:rPr>
                <w:rFonts w:hint="eastAsia" w:ascii="宋体" w:hAnsi="宋体" w:cs="宋体"/>
                <w:szCs w:val="21"/>
              </w:rPr>
              <w:t>企业如存在法定职业病目录所列的职业危害因素，应按照国家有关规定，及时、如实向当地安全生产监督管理部门申报，接受其监督。</w:t>
            </w:r>
          </w:p>
        </w:tc>
        <w:tc>
          <w:tcPr>
            <w:tcW w:w="2268" w:type="dxa"/>
          </w:tcPr>
          <w:p>
            <w:pPr>
              <w:spacing w:line="280" w:lineRule="exact"/>
              <w:rPr>
                <w:rFonts w:ascii="宋体" w:hAnsi="宋体" w:cs="宋体"/>
                <w:szCs w:val="21"/>
              </w:rPr>
            </w:pPr>
            <w:r>
              <w:rPr>
                <w:rFonts w:hint="eastAsia" w:ascii="宋体" w:hAnsi="宋体" w:cs="宋体"/>
                <w:szCs w:val="21"/>
              </w:rPr>
              <w:t>1.识别职业危害因素；</w:t>
            </w:r>
          </w:p>
          <w:p>
            <w:pPr>
              <w:spacing w:line="280" w:lineRule="exact"/>
              <w:rPr>
                <w:rFonts w:ascii="宋体" w:hAnsi="宋体" w:cs="宋体"/>
                <w:szCs w:val="21"/>
              </w:rPr>
            </w:pPr>
            <w:r>
              <w:rPr>
                <w:rFonts w:hint="eastAsia" w:ascii="宋体" w:hAnsi="宋体" w:cs="宋体"/>
                <w:szCs w:val="21"/>
              </w:rPr>
              <w:t>2.及时、如实向当地安全监督管理部门申报法定职业病目录所列的职业危害因素，接受其监督。</w:t>
            </w:r>
          </w:p>
        </w:tc>
        <w:tc>
          <w:tcPr>
            <w:tcW w:w="2268" w:type="dxa"/>
          </w:tcPr>
          <w:p>
            <w:pPr>
              <w:spacing w:line="280" w:lineRule="exact"/>
              <w:rPr>
                <w:rFonts w:ascii="宋体" w:hAnsi="宋体" w:cs="宋体"/>
                <w:szCs w:val="21"/>
              </w:rPr>
            </w:pPr>
            <w:r>
              <w:rPr>
                <w:rFonts w:hint="eastAsia" w:ascii="宋体" w:hAnsi="宋体" w:cs="宋体"/>
                <w:szCs w:val="21"/>
              </w:rPr>
              <w:t>查文件：</w:t>
            </w:r>
          </w:p>
          <w:p>
            <w:pPr>
              <w:spacing w:line="280" w:lineRule="exact"/>
              <w:rPr>
                <w:rFonts w:ascii="宋体" w:hAnsi="宋体" w:cs="宋体"/>
                <w:szCs w:val="21"/>
              </w:rPr>
            </w:pPr>
            <w:r>
              <w:rPr>
                <w:rFonts w:hint="eastAsia" w:ascii="宋体" w:hAnsi="宋体" w:cs="宋体"/>
                <w:szCs w:val="21"/>
              </w:rPr>
              <w:t>1.职业病危害因素识别记录；</w:t>
            </w:r>
          </w:p>
          <w:p>
            <w:pPr>
              <w:spacing w:line="280" w:lineRule="exact"/>
              <w:rPr>
                <w:rFonts w:ascii="宋体" w:hAnsi="宋体" w:cs="宋体"/>
                <w:szCs w:val="21"/>
              </w:rPr>
            </w:pPr>
            <w:r>
              <w:rPr>
                <w:rFonts w:hint="eastAsia" w:ascii="宋体" w:hAnsi="宋体" w:cs="宋体"/>
                <w:szCs w:val="21"/>
              </w:rPr>
              <w:t>2.职业病危害因素申报表及批复资料。</w:t>
            </w:r>
          </w:p>
          <w:p>
            <w:pPr>
              <w:spacing w:line="280" w:lineRule="exact"/>
              <w:rPr>
                <w:rFonts w:ascii="宋体" w:hAnsi="宋体" w:cs="宋体"/>
                <w:szCs w:val="21"/>
              </w:rPr>
            </w:pPr>
            <w:r>
              <w:rPr>
                <w:rFonts w:hint="eastAsia" w:ascii="宋体" w:hAnsi="宋体" w:cs="宋体"/>
                <w:szCs w:val="21"/>
              </w:rPr>
              <w:t>现场检查：</w:t>
            </w:r>
          </w:p>
          <w:p>
            <w:pPr>
              <w:spacing w:line="280" w:lineRule="exact"/>
              <w:rPr>
                <w:rFonts w:ascii="宋体" w:hAnsi="宋体" w:cs="宋体"/>
                <w:szCs w:val="21"/>
              </w:rPr>
            </w:pPr>
            <w:r>
              <w:rPr>
                <w:rFonts w:hint="eastAsia" w:ascii="宋体" w:hAnsi="宋体" w:cs="宋体"/>
                <w:szCs w:val="21"/>
              </w:rPr>
              <w:t>现场存在的职业危害因素与申报内容符合情况。</w:t>
            </w:r>
          </w:p>
        </w:tc>
        <w:tc>
          <w:tcPr>
            <w:tcW w:w="1701" w:type="dxa"/>
          </w:tcPr>
          <w:p>
            <w:pPr>
              <w:spacing w:line="280" w:lineRule="exact"/>
              <w:rPr>
                <w:rFonts w:ascii="宋体" w:hAnsi="宋体" w:cs="宋体"/>
                <w:szCs w:val="21"/>
              </w:rPr>
            </w:pPr>
            <w:r>
              <w:rPr>
                <w:rFonts w:hint="eastAsia" w:ascii="宋体" w:hAnsi="宋体" w:cs="宋体"/>
                <w:szCs w:val="21"/>
              </w:rPr>
              <w:t>1.未识别职业危害因素，扣25分（B级要素否决项）；</w:t>
            </w:r>
          </w:p>
          <w:p>
            <w:pPr>
              <w:spacing w:line="280" w:lineRule="exact"/>
              <w:rPr>
                <w:rFonts w:ascii="宋体" w:hAnsi="宋体" w:cs="宋体"/>
                <w:szCs w:val="21"/>
              </w:rPr>
            </w:pPr>
            <w:r>
              <w:rPr>
                <w:rFonts w:hint="eastAsia" w:ascii="宋体" w:hAnsi="宋体" w:cs="宋体"/>
                <w:szCs w:val="21"/>
              </w:rPr>
              <w:t>2.未申报职业病危害因素，扣25分（B级要素否决项）。</w:t>
            </w:r>
          </w:p>
        </w:tc>
        <w:tc>
          <w:tcPr>
            <w:tcW w:w="2268" w:type="dxa"/>
          </w:tcPr>
          <w:p>
            <w:pPr>
              <w:spacing w:line="280" w:lineRule="exact"/>
              <w:rPr>
                <w:rFonts w:ascii="宋体" w:hAnsi="宋体" w:cs="宋体"/>
                <w:szCs w:val="21"/>
              </w:rPr>
            </w:pPr>
            <w:r>
              <w:rPr>
                <w:rFonts w:hint="eastAsia" w:ascii="宋体" w:hAnsi="宋体" w:cs="宋体"/>
                <w:szCs w:val="21"/>
              </w:rPr>
              <w:t>1.申报职业病危害因素，每漏一种，扣2分；</w:t>
            </w:r>
          </w:p>
          <w:p>
            <w:pPr>
              <w:spacing w:line="280" w:lineRule="exact"/>
              <w:rPr>
                <w:rFonts w:ascii="宋体" w:hAnsi="宋体" w:cs="宋体"/>
                <w:szCs w:val="21"/>
              </w:rPr>
            </w:pPr>
            <w:r>
              <w:rPr>
                <w:rFonts w:hint="eastAsia" w:ascii="宋体" w:hAnsi="宋体" w:cs="宋体"/>
                <w:szCs w:val="21"/>
              </w:rPr>
              <w:t>2.申报内容，一项不符合扣1分。</w:t>
            </w:r>
          </w:p>
        </w:tc>
        <w:tc>
          <w:tcPr>
            <w:tcW w:w="1165" w:type="dxa"/>
            <w:vAlign w:val="center"/>
          </w:tcPr>
          <w:p>
            <w:pPr>
              <w:spacing w:line="280" w:lineRule="exact"/>
              <w:jc w:val="center"/>
              <w:rPr>
                <w:rFonts w:ascii="宋体" w:hAnsi="宋体" w:cs="宋体"/>
                <w:szCs w:val="21"/>
              </w:rPr>
            </w:pPr>
            <w:r>
              <w:rPr>
                <w:rFonts w:hint="eastAsia" w:ascii="宋体" w:hAnsi="宋体" w:cs="宋体"/>
                <w:szCs w:val="21"/>
              </w:rPr>
              <w:t>符合要求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771" w:type="dxa"/>
            <w:vMerge w:val="continue"/>
          </w:tcPr>
          <w:p>
            <w:pPr>
              <w:spacing w:line="280" w:lineRule="exact"/>
              <w:rPr>
                <w:rFonts w:ascii="宋体" w:hAnsi="宋体" w:cs="宋体"/>
                <w:b/>
                <w:bCs/>
                <w:szCs w:val="21"/>
              </w:rPr>
            </w:pPr>
          </w:p>
        </w:tc>
        <w:tc>
          <w:tcPr>
            <w:tcW w:w="709" w:type="dxa"/>
            <w:vMerge w:val="restart"/>
          </w:tcPr>
          <w:p>
            <w:pPr>
              <w:spacing w:line="280" w:lineRule="exact"/>
              <w:rPr>
                <w:rFonts w:ascii="宋体" w:hAnsi="宋体" w:cs="宋体"/>
                <w:b/>
                <w:bCs/>
                <w:szCs w:val="21"/>
              </w:rPr>
            </w:pPr>
            <w:r>
              <w:rPr>
                <w:rFonts w:hint="eastAsia" w:ascii="宋体" w:hAnsi="宋体" w:cs="宋体"/>
                <w:b/>
                <w:bCs/>
                <w:szCs w:val="21"/>
              </w:rPr>
              <w:t>8.2</w:t>
            </w:r>
          </w:p>
          <w:p>
            <w:pPr>
              <w:spacing w:line="280" w:lineRule="exact"/>
              <w:rPr>
                <w:rFonts w:ascii="宋体" w:hAnsi="宋体" w:cs="宋体"/>
                <w:b/>
                <w:bCs/>
                <w:szCs w:val="21"/>
              </w:rPr>
            </w:pPr>
            <w:r>
              <w:rPr>
                <w:rFonts w:hint="eastAsia" w:ascii="宋体" w:hAnsi="宋体" w:cs="宋体"/>
                <w:b/>
                <w:bCs/>
                <w:szCs w:val="21"/>
              </w:rPr>
              <w:t>作业场所职业危害管理</w:t>
            </w:r>
          </w:p>
          <w:p>
            <w:pPr>
              <w:spacing w:line="280" w:lineRule="exact"/>
              <w:rPr>
                <w:rFonts w:ascii="宋体" w:hAnsi="宋体" w:cs="宋体"/>
                <w:b/>
                <w:bCs/>
                <w:szCs w:val="21"/>
              </w:rPr>
            </w:pPr>
            <w:r>
              <w:rPr>
                <w:rFonts w:hint="eastAsia" w:ascii="宋体" w:hAnsi="宋体" w:cs="宋体"/>
                <w:b/>
                <w:bCs/>
                <w:szCs w:val="21"/>
              </w:rPr>
              <w:t>（50分）</w:t>
            </w:r>
          </w:p>
          <w:p>
            <w:pPr>
              <w:spacing w:line="280" w:lineRule="exact"/>
              <w:rPr>
                <w:rFonts w:ascii="宋体" w:hAnsi="宋体" w:cs="宋体"/>
                <w:b/>
                <w:bCs/>
                <w:szCs w:val="21"/>
              </w:rPr>
            </w:pPr>
          </w:p>
        </w:tc>
        <w:tc>
          <w:tcPr>
            <w:tcW w:w="2409" w:type="dxa"/>
          </w:tcPr>
          <w:p>
            <w:pPr>
              <w:spacing w:line="280" w:lineRule="exact"/>
              <w:rPr>
                <w:rFonts w:ascii="宋体" w:hAnsi="宋体" w:cs="宋体"/>
                <w:szCs w:val="21"/>
              </w:rPr>
            </w:pPr>
            <w:r>
              <w:rPr>
                <w:rFonts w:hint="eastAsia" w:ascii="宋体" w:hAnsi="宋体" w:cs="宋体"/>
                <w:szCs w:val="21"/>
              </w:rPr>
              <w:t>1.企业应制定职业危害防治计划和实施方案，建立健全职业卫生档案和从业人员健康监护档案。</w:t>
            </w:r>
          </w:p>
        </w:tc>
        <w:tc>
          <w:tcPr>
            <w:tcW w:w="2268" w:type="dxa"/>
          </w:tcPr>
          <w:p>
            <w:pPr>
              <w:spacing w:line="280" w:lineRule="exact"/>
              <w:rPr>
                <w:rFonts w:ascii="宋体" w:hAnsi="宋体" w:cs="宋体"/>
                <w:szCs w:val="21"/>
              </w:rPr>
            </w:pPr>
            <w:r>
              <w:rPr>
                <w:rFonts w:hint="eastAsia" w:ascii="宋体" w:hAnsi="宋体" w:cs="宋体"/>
                <w:szCs w:val="21"/>
              </w:rPr>
              <w:t>1.制定职业危害防治计划和实施方案；</w:t>
            </w:r>
          </w:p>
          <w:p>
            <w:pPr>
              <w:spacing w:line="280" w:lineRule="exact"/>
              <w:rPr>
                <w:rFonts w:ascii="宋体" w:hAnsi="宋体" w:cs="宋体"/>
                <w:szCs w:val="21"/>
              </w:rPr>
            </w:pPr>
            <w:r>
              <w:rPr>
                <w:rFonts w:hint="eastAsia" w:ascii="宋体" w:hAnsi="宋体" w:cs="宋体"/>
                <w:szCs w:val="21"/>
              </w:rPr>
              <w:t>2.建立健全职业卫生档案，包括职业危害防护设施台账、职业危害监测结果、健康监护报告等；</w:t>
            </w:r>
          </w:p>
          <w:p>
            <w:pPr>
              <w:spacing w:line="280" w:lineRule="exact"/>
              <w:rPr>
                <w:rFonts w:ascii="宋体" w:hAnsi="宋体" w:cs="宋体"/>
                <w:szCs w:val="21"/>
              </w:rPr>
            </w:pPr>
            <w:r>
              <w:rPr>
                <w:rFonts w:hint="eastAsia" w:ascii="宋体" w:hAnsi="宋体" w:cs="宋体"/>
                <w:szCs w:val="21"/>
              </w:rPr>
              <w:t>3.建立从业人员健康监护档案。</w:t>
            </w:r>
          </w:p>
        </w:tc>
        <w:tc>
          <w:tcPr>
            <w:tcW w:w="2268" w:type="dxa"/>
          </w:tcPr>
          <w:p>
            <w:pPr>
              <w:spacing w:line="280" w:lineRule="exact"/>
              <w:rPr>
                <w:rFonts w:ascii="宋体" w:hAnsi="宋体" w:cs="宋体"/>
                <w:szCs w:val="21"/>
              </w:rPr>
            </w:pPr>
            <w:r>
              <w:rPr>
                <w:rFonts w:hint="eastAsia" w:ascii="宋体" w:hAnsi="宋体" w:cs="宋体"/>
                <w:szCs w:val="21"/>
              </w:rPr>
              <w:t>查文件：</w:t>
            </w:r>
          </w:p>
          <w:p>
            <w:pPr>
              <w:spacing w:line="280" w:lineRule="exact"/>
              <w:rPr>
                <w:rFonts w:ascii="宋体" w:hAnsi="宋体" w:cs="宋体"/>
                <w:szCs w:val="21"/>
              </w:rPr>
            </w:pPr>
            <w:r>
              <w:rPr>
                <w:rFonts w:hint="eastAsia" w:ascii="宋体" w:hAnsi="宋体" w:cs="宋体"/>
                <w:szCs w:val="21"/>
              </w:rPr>
              <w:t>1.职业危害防治计划和实施方案；</w:t>
            </w:r>
          </w:p>
          <w:p>
            <w:pPr>
              <w:spacing w:line="280" w:lineRule="exact"/>
              <w:rPr>
                <w:rFonts w:ascii="宋体" w:hAnsi="宋体" w:cs="宋体"/>
                <w:szCs w:val="21"/>
              </w:rPr>
            </w:pPr>
            <w:r>
              <w:rPr>
                <w:rFonts w:hint="eastAsia" w:ascii="宋体" w:hAnsi="宋体" w:cs="宋体"/>
                <w:szCs w:val="21"/>
              </w:rPr>
              <w:t>2.职业卫生档案；</w:t>
            </w:r>
          </w:p>
          <w:p>
            <w:pPr>
              <w:spacing w:line="280" w:lineRule="exact"/>
              <w:rPr>
                <w:rFonts w:ascii="宋体" w:hAnsi="宋体" w:cs="宋体"/>
                <w:szCs w:val="21"/>
              </w:rPr>
            </w:pPr>
            <w:r>
              <w:rPr>
                <w:rFonts w:hint="eastAsia" w:ascii="宋体" w:hAnsi="宋体" w:cs="宋体"/>
                <w:szCs w:val="21"/>
              </w:rPr>
              <w:t>3.从业人员健康监护档案。</w:t>
            </w:r>
          </w:p>
        </w:tc>
        <w:tc>
          <w:tcPr>
            <w:tcW w:w="1701" w:type="dxa"/>
          </w:tcPr>
          <w:p>
            <w:pPr>
              <w:spacing w:line="280" w:lineRule="exact"/>
              <w:rPr>
                <w:rFonts w:ascii="宋体" w:hAnsi="宋体" w:cs="宋体"/>
                <w:szCs w:val="21"/>
              </w:rPr>
            </w:pPr>
          </w:p>
        </w:tc>
        <w:tc>
          <w:tcPr>
            <w:tcW w:w="2268" w:type="dxa"/>
          </w:tcPr>
          <w:p>
            <w:pPr>
              <w:spacing w:line="280" w:lineRule="exact"/>
              <w:rPr>
                <w:rFonts w:ascii="宋体" w:hAnsi="宋体" w:cs="宋体"/>
                <w:szCs w:val="21"/>
              </w:rPr>
            </w:pPr>
            <w:r>
              <w:rPr>
                <w:rFonts w:hint="eastAsia" w:ascii="宋体" w:hAnsi="宋体" w:cs="宋体"/>
                <w:szCs w:val="21"/>
              </w:rPr>
              <w:t>1.未制定职业危害防治计划和实施方案，一项扣5分；内容一项不符合，扣2分；</w:t>
            </w:r>
          </w:p>
          <w:p>
            <w:pPr>
              <w:spacing w:line="280" w:lineRule="exact"/>
              <w:rPr>
                <w:rFonts w:ascii="宋体" w:hAnsi="宋体" w:cs="宋体"/>
                <w:szCs w:val="21"/>
              </w:rPr>
            </w:pPr>
            <w:r>
              <w:rPr>
                <w:rFonts w:hint="eastAsia" w:ascii="宋体" w:hAnsi="宋体" w:cs="宋体"/>
                <w:szCs w:val="21"/>
              </w:rPr>
              <w:t>2.未建立职业卫生档案，扣5分；档案内容不符合要求，一项扣1分；</w:t>
            </w:r>
          </w:p>
          <w:p>
            <w:pPr>
              <w:spacing w:line="280" w:lineRule="exact"/>
              <w:rPr>
                <w:rFonts w:ascii="宋体" w:hAnsi="宋体" w:cs="宋体"/>
                <w:szCs w:val="21"/>
              </w:rPr>
            </w:pPr>
            <w:r>
              <w:rPr>
                <w:rFonts w:hint="eastAsia" w:ascii="宋体" w:hAnsi="宋体" w:cs="宋体"/>
                <w:szCs w:val="21"/>
              </w:rPr>
              <w:t>3.未建立从业人员健康监护档案扣10分；每缺一人扣1分。</w:t>
            </w:r>
          </w:p>
        </w:tc>
        <w:tc>
          <w:tcPr>
            <w:tcW w:w="1165" w:type="dxa"/>
            <w:vAlign w:val="center"/>
          </w:tcPr>
          <w:p>
            <w:pPr>
              <w:spacing w:line="280" w:lineRule="exact"/>
              <w:jc w:val="center"/>
              <w:rPr>
                <w:rFonts w:ascii="宋体" w:hAnsi="宋体" w:cs="宋体"/>
                <w:szCs w:val="21"/>
              </w:rPr>
            </w:pPr>
            <w:r>
              <w:rPr>
                <w:rFonts w:hint="eastAsia" w:ascii="宋体" w:hAnsi="宋体" w:cs="宋体"/>
                <w:szCs w:val="21"/>
              </w:rPr>
              <w:t>从业人员健康监护档案不规范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771" w:type="dxa"/>
            <w:vMerge w:val="continue"/>
          </w:tcPr>
          <w:p>
            <w:pPr>
              <w:spacing w:line="280" w:lineRule="exact"/>
              <w:rPr>
                <w:rFonts w:ascii="宋体" w:hAnsi="宋体" w:cs="宋体"/>
                <w:b/>
                <w:bCs/>
                <w:szCs w:val="21"/>
              </w:rPr>
            </w:pPr>
          </w:p>
        </w:tc>
        <w:tc>
          <w:tcPr>
            <w:tcW w:w="709" w:type="dxa"/>
            <w:vMerge w:val="continue"/>
          </w:tcPr>
          <w:p>
            <w:pPr>
              <w:spacing w:line="280" w:lineRule="exact"/>
              <w:rPr>
                <w:rFonts w:ascii="宋体" w:hAnsi="宋体" w:cs="宋体"/>
                <w:b/>
                <w:bCs/>
                <w:szCs w:val="21"/>
              </w:rPr>
            </w:pPr>
          </w:p>
        </w:tc>
        <w:tc>
          <w:tcPr>
            <w:tcW w:w="2409" w:type="dxa"/>
          </w:tcPr>
          <w:p>
            <w:pPr>
              <w:spacing w:line="280" w:lineRule="exact"/>
              <w:rPr>
                <w:rFonts w:ascii="宋体" w:hAnsi="宋体" w:cs="宋体"/>
                <w:szCs w:val="21"/>
              </w:rPr>
            </w:pPr>
            <w:r>
              <w:rPr>
                <w:rFonts w:hint="eastAsia" w:ascii="宋体" w:hAnsi="宋体" w:cs="宋体"/>
                <w:szCs w:val="21"/>
              </w:rPr>
              <w:t>2.企业作业场所应符合GBZ1、GBZ2。</w:t>
            </w:r>
          </w:p>
        </w:tc>
        <w:tc>
          <w:tcPr>
            <w:tcW w:w="2268" w:type="dxa"/>
          </w:tcPr>
          <w:p>
            <w:pPr>
              <w:spacing w:line="280" w:lineRule="exact"/>
              <w:rPr>
                <w:rFonts w:ascii="宋体" w:hAnsi="宋体" w:cs="宋体"/>
                <w:szCs w:val="21"/>
              </w:rPr>
            </w:pPr>
            <w:r>
              <w:rPr>
                <w:rFonts w:hint="eastAsia" w:ascii="宋体" w:hAnsi="宋体" w:cs="宋体"/>
                <w:szCs w:val="21"/>
              </w:rPr>
              <w:t>企业作业场所职业危害因素应符合GBZ1、GBZ2.1、GBZ2.2规定。</w:t>
            </w:r>
          </w:p>
        </w:tc>
        <w:tc>
          <w:tcPr>
            <w:tcW w:w="2268" w:type="dxa"/>
          </w:tcPr>
          <w:p>
            <w:pPr>
              <w:spacing w:line="280" w:lineRule="exact"/>
              <w:rPr>
                <w:rFonts w:ascii="宋体" w:hAnsi="宋体" w:cs="宋体"/>
                <w:szCs w:val="21"/>
              </w:rPr>
            </w:pPr>
            <w:r>
              <w:rPr>
                <w:rFonts w:hint="eastAsia" w:ascii="宋体" w:hAnsi="宋体" w:cs="宋体"/>
                <w:szCs w:val="21"/>
              </w:rPr>
              <w:t>查文件：</w:t>
            </w:r>
          </w:p>
          <w:p>
            <w:pPr>
              <w:spacing w:line="280" w:lineRule="exact"/>
              <w:rPr>
                <w:rFonts w:ascii="宋体" w:hAnsi="宋体" w:cs="宋体"/>
                <w:szCs w:val="21"/>
              </w:rPr>
            </w:pPr>
            <w:r>
              <w:rPr>
                <w:rFonts w:hint="eastAsia" w:ascii="宋体" w:hAnsi="宋体" w:cs="宋体"/>
                <w:szCs w:val="21"/>
              </w:rPr>
              <w:t>职业卫生档案。</w:t>
            </w:r>
          </w:p>
          <w:p>
            <w:pPr>
              <w:spacing w:line="280" w:lineRule="exact"/>
              <w:rPr>
                <w:rFonts w:ascii="宋体" w:hAnsi="宋体" w:cs="宋体"/>
                <w:szCs w:val="21"/>
              </w:rPr>
            </w:pPr>
            <w:r>
              <w:rPr>
                <w:rFonts w:hint="eastAsia" w:ascii="宋体" w:hAnsi="宋体" w:cs="宋体"/>
                <w:szCs w:val="21"/>
              </w:rPr>
              <w:t>现场检查:</w:t>
            </w:r>
          </w:p>
          <w:p>
            <w:pPr>
              <w:spacing w:line="280" w:lineRule="exact"/>
              <w:rPr>
                <w:rFonts w:ascii="宋体" w:hAnsi="宋体" w:cs="宋体"/>
                <w:szCs w:val="21"/>
              </w:rPr>
            </w:pPr>
            <w:r>
              <w:rPr>
                <w:rFonts w:hint="eastAsia" w:ascii="宋体" w:hAnsi="宋体" w:cs="宋体"/>
                <w:szCs w:val="21"/>
              </w:rPr>
              <w:t>作业现场职业危害管理情况。</w:t>
            </w:r>
          </w:p>
        </w:tc>
        <w:tc>
          <w:tcPr>
            <w:tcW w:w="1701" w:type="dxa"/>
          </w:tcPr>
          <w:p>
            <w:pPr>
              <w:spacing w:line="280" w:lineRule="exact"/>
              <w:rPr>
                <w:rFonts w:ascii="宋体" w:hAnsi="宋体" w:cs="宋体"/>
                <w:szCs w:val="21"/>
              </w:rPr>
            </w:pPr>
          </w:p>
        </w:tc>
        <w:tc>
          <w:tcPr>
            <w:tcW w:w="2268" w:type="dxa"/>
          </w:tcPr>
          <w:p>
            <w:pPr>
              <w:spacing w:line="280" w:lineRule="exact"/>
              <w:rPr>
                <w:rFonts w:ascii="宋体" w:hAnsi="宋体" w:cs="宋体"/>
                <w:szCs w:val="21"/>
              </w:rPr>
            </w:pPr>
            <w:r>
              <w:rPr>
                <w:rFonts w:hint="eastAsia" w:ascii="宋体" w:hAnsi="宋体" w:cs="宋体"/>
                <w:szCs w:val="21"/>
              </w:rPr>
              <w:t>作业场所职业危害因素不符合规定，一处扣5分。</w:t>
            </w:r>
          </w:p>
        </w:tc>
        <w:tc>
          <w:tcPr>
            <w:tcW w:w="1165" w:type="dxa"/>
            <w:vAlign w:val="center"/>
          </w:tcPr>
          <w:p>
            <w:pPr>
              <w:spacing w:line="280" w:lineRule="exact"/>
              <w:jc w:val="center"/>
              <w:rPr>
                <w:rFonts w:ascii="宋体" w:hAnsi="宋体" w:cs="宋体"/>
                <w:szCs w:val="21"/>
              </w:rPr>
            </w:pPr>
            <w:r>
              <w:rPr>
                <w:rFonts w:hint="eastAsia" w:ascii="宋体" w:hAnsi="宋体" w:cs="宋体"/>
                <w:szCs w:val="21"/>
              </w:rPr>
              <w:t>符合要求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771" w:type="dxa"/>
            <w:vMerge w:val="continue"/>
          </w:tcPr>
          <w:p>
            <w:pPr>
              <w:spacing w:line="280" w:lineRule="exact"/>
              <w:rPr>
                <w:rFonts w:ascii="宋体" w:hAnsi="宋体" w:cs="宋体"/>
                <w:b/>
                <w:bCs/>
                <w:szCs w:val="21"/>
              </w:rPr>
            </w:pPr>
          </w:p>
        </w:tc>
        <w:tc>
          <w:tcPr>
            <w:tcW w:w="709" w:type="dxa"/>
            <w:vMerge w:val="continue"/>
          </w:tcPr>
          <w:p>
            <w:pPr>
              <w:spacing w:line="280" w:lineRule="exact"/>
              <w:rPr>
                <w:rFonts w:ascii="宋体" w:hAnsi="宋体" w:cs="宋体"/>
                <w:b/>
                <w:bCs/>
                <w:szCs w:val="21"/>
              </w:rPr>
            </w:pPr>
          </w:p>
        </w:tc>
        <w:tc>
          <w:tcPr>
            <w:tcW w:w="2409" w:type="dxa"/>
          </w:tcPr>
          <w:p>
            <w:pPr>
              <w:spacing w:line="280" w:lineRule="exact"/>
              <w:rPr>
                <w:rFonts w:ascii="宋体" w:hAnsi="宋体" w:cs="宋体"/>
                <w:szCs w:val="21"/>
              </w:rPr>
            </w:pPr>
            <w:r>
              <w:rPr>
                <w:rFonts w:hint="eastAsia" w:ascii="宋体" w:hAnsi="宋体" w:cs="宋体"/>
                <w:szCs w:val="21"/>
              </w:rPr>
              <w:t>3.企业应确保使用有毒物品作业场所与生活区分开，作业场所不得住人；应将有害作业与无害作业分开，高毒作业场所与其他作业场所隔离。</w:t>
            </w:r>
          </w:p>
        </w:tc>
        <w:tc>
          <w:tcPr>
            <w:tcW w:w="2268" w:type="dxa"/>
          </w:tcPr>
          <w:p>
            <w:pPr>
              <w:spacing w:line="280" w:lineRule="exact"/>
              <w:rPr>
                <w:rFonts w:ascii="宋体" w:hAnsi="宋体" w:cs="宋体"/>
                <w:szCs w:val="21"/>
              </w:rPr>
            </w:pPr>
            <w:r>
              <w:rPr>
                <w:rFonts w:hint="eastAsia" w:ascii="宋体" w:hAnsi="宋体" w:cs="宋体"/>
                <w:szCs w:val="21"/>
              </w:rPr>
              <w:t>1.使用有毒物品作业场所与生活区分开，作业场所不得住人；</w:t>
            </w:r>
          </w:p>
          <w:p>
            <w:pPr>
              <w:spacing w:line="280" w:lineRule="exact"/>
              <w:rPr>
                <w:rFonts w:ascii="宋体" w:hAnsi="宋体" w:cs="宋体"/>
                <w:szCs w:val="21"/>
              </w:rPr>
            </w:pPr>
            <w:r>
              <w:rPr>
                <w:rFonts w:hint="eastAsia" w:ascii="宋体" w:hAnsi="宋体" w:cs="宋体"/>
                <w:szCs w:val="21"/>
              </w:rPr>
              <w:t>2.将有害作业与无害作业分开；</w:t>
            </w:r>
          </w:p>
          <w:p>
            <w:pPr>
              <w:spacing w:line="280" w:lineRule="exact"/>
              <w:rPr>
                <w:rFonts w:ascii="宋体" w:hAnsi="宋体" w:cs="宋体"/>
                <w:szCs w:val="21"/>
              </w:rPr>
            </w:pPr>
            <w:r>
              <w:rPr>
                <w:rFonts w:hint="eastAsia" w:ascii="宋体" w:hAnsi="宋体" w:cs="宋体"/>
                <w:szCs w:val="21"/>
              </w:rPr>
              <w:t>3.将高毒作业场所与其他作业场所隔离。</w:t>
            </w:r>
          </w:p>
        </w:tc>
        <w:tc>
          <w:tcPr>
            <w:tcW w:w="2268" w:type="dxa"/>
          </w:tcPr>
          <w:p>
            <w:pPr>
              <w:spacing w:line="280" w:lineRule="exact"/>
              <w:rPr>
                <w:rFonts w:ascii="宋体" w:hAnsi="宋体" w:cs="宋体"/>
                <w:szCs w:val="21"/>
              </w:rPr>
            </w:pPr>
            <w:r>
              <w:rPr>
                <w:rFonts w:hint="eastAsia" w:ascii="宋体" w:hAnsi="宋体" w:cs="宋体"/>
                <w:szCs w:val="21"/>
              </w:rPr>
              <w:t>现场检查:</w:t>
            </w:r>
          </w:p>
          <w:p>
            <w:pPr>
              <w:spacing w:line="280" w:lineRule="exact"/>
              <w:rPr>
                <w:rFonts w:ascii="宋体" w:hAnsi="宋体" w:cs="宋体"/>
                <w:szCs w:val="21"/>
              </w:rPr>
            </w:pPr>
            <w:r>
              <w:rPr>
                <w:rFonts w:hint="eastAsia" w:ascii="宋体" w:hAnsi="宋体" w:cs="宋体"/>
                <w:szCs w:val="21"/>
              </w:rPr>
              <w:t>1.作业场所区域划分情况；</w:t>
            </w:r>
          </w:p>
          <w:p>
            <w:pPr>
              <w:spacing w:line="280" w:lineRule="exact"/>
              <w:rPr>
                <w:rFonts w:ascii="宋体" w:hAnsi="宋体" w:cs="宋体"/>
                <w:szCs w:val="21"/>
              </w:rPr>
            </w:pPr>
            <w:r>
              <w:rPr>
                <w:rFonts w:hint="eastAsia" w:ascii="宋体" w:hAnsi="宋体" w:cs="宋体"/>
                <w:szCs w:val="21"/>
              </w:rPr>
              <w:t>2.作业场所有无住人；</w:t>
            </w:r>
          </w:p>
          <w:p>
            <w:pPr>
              <w:spacing w:line="280" w:lineRule="exact"/>
              <w:rPr>
                <w:rFonts w:ascii="宋体" w:hAnsi="宋体" w:cs="宋体"/>
                <w:szCs w:val="21"/>
              </w:rPr>
            </w:pPr>
            <w:r>
              <w:rPr>
                <w:rFonts w:hint="eastAsia" w:ascii="宋体" w:hAnsi="宋体" w:cs="宋体"/>
                <w:szCs w:val="21"/>
              </w:rPr>
              <w:t>3.高毒作业场所与其他作业场所的隔离是否符合要求。</w:t>
            </w:r>
          </w:p>
        </w:tc>
        <w:tc>
          <w:tcPr>
            <w:tcW w:w="1701" w:type="dxa"/>
          </w:tcPr>
          <w:p>
            <w:pPr>
              <w:spacing w:line="280" w:lineRule="exact"/>
              <w:rPr>
                <w:rFonts w:ascii="宋体" w:hAnsi="宋体" w:cs="宋体"/>
                <w:szCs w:val="21"/>
              </w:rPr>
            </w:pPr>
            <w:r>
              <w:rPr>
                <w:rFonts w:hint="eastAsia" w:ascii="宋体" w:hAnsi="宋体" w:cs="宋体"/>
                <w:szCs w:val="21"/>
              </w:rPr>
              <w:t>作业场所设生活设施并住人，扣50分（B级要素否决项）。</w:t>
            </w:r>
          </w:p>
        </w:tc>
        <w:tc>
          <w:tcPr>
            <w:tcW w:w="2268" w:type="dxa"/>
          </w:tcPr>
          <w:p>
            <w:pPr>
              <w:spacing w:line="280" w:lineRule="exact"/>
              <w:rPr>
                <w:rFonts w:ascii="宋体" w:hAnsi="宋体" w:cs="宋体"/>
                <w:szCs w:val="21"/>
              </w:rPr>
            </w:pPr>
            <w:r>
              <w:rPr>
                <w:rFonts w:hint="eastAsia" w:ascii="宋体" w:hAnsi="宋体" w:cs="宋体"/>
                <w:szCs w:val="21"/>
              </w:rPr>
              <w:t>1.使用和产生有毒物品的作业场所与生活区的距离不符合卫生防护距离标准规定的，一处扣5分；</w:t>
            </w:r>
          </w:p>
          <w:p>
            <w:pPr>
              <w:spacing w:line="280" w:lineRule="exact"/>
              <w:rPr>
                <w:rFonts w:ascii="宋体" w:hAnsi="宋体" w:cs="宋体"/>
                <w:szCs w:val="21"/>
              </w:rPr>
            </w:pPr>
            <w:r>
              <w:rPr>
                <w:rFonts w:hint="eastAsia" w:ascii="宋体" w:hAnsi="宋体" w:cs="宋体"/>
                <w:szCs w:val="21"/>
              </w:rPr>
              <w:t>2.有害作业未与无害作业分开，一处扣5分；</w:t>
            </w:r>
          </w:p>
          <w:p>
            <w:pPr>
              <w:spacing w:line="280" w:lineRule="exact"/>
              <w:rPr>
                <w:rFonts w:ascii="宋体" w:hAnsi="宋体" w:cs="宋体"/>
                <w:szCs w:val="21"/>
              </w:rPr>
            </w:pPr>
            <w:r>
              <w:rPr>
                <w:rFonts w:hint="eastAsia" w:ascii="宋体" w:hAnsi="宋体" w:cs="宋体"/>
                <w:szCs w:val="21"/>
              </w:rPr>
              <w:t>3.未将高毒作业场所与其他作业场所隔离，一处扣10分。</w:t>
            </w:r>
          </w:p>
        </w:tc>
        <w:tc>
          <w:tcPr>
            <w:tcW w:w="1165" w:type="dxa"/>
            <w:vAlign w:val="center"/>
          </w:tcPr>
          <w:p>
            <w:pPr>
              <w:spacing w:line="280" w:lineRule="exact"/>
              <w:jc w:val="center"/>
              <w:rPr>
                <w:rFonts w:ascii="宋体" w:hAnsi="宋体" w:cs="宋体"/>
                <w:szCs w:val="21"/>
              </w:rPr>
            </w:pPr>
            <w:r>
              <w:rPr>
                <w:rFonts w:hint="eastAsia" w:ascii="宋体" w:hAnsi="宋体" w:cs="宋体"/>
                <w:szCs w:val="21"/>
              </w:rPr>
              <w:t>符合要求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771" w:type="dxa"/>
            <w:vMerge w:val="continue"/>
          </w:tcPr>
          <w:p>
            <w:pPr>
              <w:spacing w:line="280" w:lineRule="exact"/>
              <w:rPr>
                <w:rFonts w:ascii="宋体" w:hAnsi="宋体" w:cs="宋体"/>
                <w:b/>
                <w:bCs/>
                <w:szCs w:val="21"/>
              </w:rPr>
            </w:pPr>
          </w:p>
        </w:tc>
        <w:tc>
          <w:tcPr>
            <w:tcW w:w="709" w:type="dxa"/>
            <w:vMerge w:val="continue"/>
          </w:tcPr>
          <w:p>
            <w:pPr>
              <w:spacing w:line="280" w:lineRule="exact"/>
              <w:rPr>
                <w:rFonts w:ascii="宋体" w:hAnsi="宋体" w:cs="宋体"/>
                <w:b/>
                <w:bCs/>
                <w:szCs w:val="21"/>
              </w:rPr>
            </w:pPr>
          </w:p>
        </w:tc>
        <w:tc>
          <w:tcPr>
            <w:tcW w:w="2409" w:type="dxa"/>
          </w:tcPr>
          <w:p>
            <w:pPr>
              <w:spacing w:line="280" w:lineRule="exact"/>
              <w:rPr>
                <w:rFonts w:ascii="宋体" w:hAnsi="宋体" w:cs="宋体"/>
                <w:szCs w:val="21"/>
              </w:rPr>
            </w:pPr>
            <w:r>
              <w:rPr>
                <w:rFonts w:hint="eastAsia" w:ascii="宋体" w:hAnsi="宋体" w:cs="宋体"/>
                <w:szCs w:val="21"/>
              </w:rPr>
              <w:t>4.企业应在可能发生急性职业损伤的有毒有害作业场所按规定设置报警设施、冲洗设施、防护急救器具专柜，设置应急撤离通道和必要的泄险区，定期检查，并记录。</w:t>
            </w:r>
          </w:p>
        </w:tc>
        <w:tc>
          <w:tcPr>
            <w:tcW w:w="2268" w:type="dxa"/>
          </w:tcPr>
          <w:p>
            <w:pPr>
              <w:spacing w:line="280" w:lineRule="exact"/>
              <w:rPr>
                <w:rFonts w:ascii="宋体" w:hAnsi="宋体" w:cs="宋体"/>
                <w:szCs w:val="21"/>
              </w:rPr>
            </w:pPr>
            <w:r>
              <w:rPr>
                <w:rFonts w:hint="eastAsia" w:ascii="宋体" w:hAnsi="宋体" w:cs="宋体"/>
                <w:szCs w:val="21"/>
              </w:rPr>
              <w:t>在可能发生急性职业损伤的有毒有害作业场所按规定设置报警设施、冲洗设施、防护急救器具专柜，设置应急撤离通道和必要的泄险区，定期检查并记录。</w:t>
            </w:r>
          </w:p>
        </w:tc>
        <w:tc>
          <w:tcPr>
            <w:tcW w:w="2268" w:type="dxa"/>
          </w:tcPr>
          <w:p>
            <w:pPr>
              <w:spacing w:line="280" w:lineRule="exact"/>
              <w:rPr>
                <w:rFonts w:ascii="宋体" w:hAnsi="宋体" w:cs="宋体"/>
                <w:szCs w:val="21"/>
              </w:rPr>
            </w:pPr>
            <w:r>
              <w:rPr>
                <w:rFonts w:hint="eastAsia" w:ascii="宋体" w:hAnsi="宋体" w:cs="宋体"/>
                <w:szCs w:val="21"/>
              </w:rPr>
              <w:t>查文件：</w:t>
            </w:r>
          </w:p>
          <w:p>
            <w:pPr>
              <w:spacing w:line="280" w:lineRule="exact"/>
              <w:rPr>
                <w:rFonts w:ascii="宋体" w:hAnsi="宋体" w:cs="宋体"/>
                <w:szCs w:val="21"/>
              </w:rPr>
            </w:pPr>
            <w:r>
              <w:rPr>
                <w:rFonts w:hint="eastAsia" w:ascii="宋体" w:hAnsi="宋体" w:cs="宋体"/>
                <w:szCs w:val="21"/>
              </w:rPr>
              <w:t>检查记录。</w:t>
            </w:r>
          </w:p>
          <w:p>
            <w:pPr>
              <w:spacing w:line="280" w:lineRule="exact"/>
              <w:rPr>
                <w:rFonts w:ascii="宋体" w:hAnsi="宋体" w:cs="宋体"/>
                <w:szCs w:val="21"/>
              </w:rPr>
            </w:pPr>
            <w:r>
              <w:rPr>
                <w:rFonts w:hint="eastAsia" w:ascii="宋体" w:hAnsi="宋体" w:cs="宋体"/>
                <w:szCs w:val="21"/>
              </w:rPr>
              <w:t>现场检查：</w:t>
            </w:r>
          </w:p>
          <w:p>
            <w:pPr>
              <w:spacing w:line="280" w:lineRule="exact"/>
              <w:rPr>
                <w:rFonts w:ascii="宋体" w:hAnsi="宋体" w:cs="宋体"/>
                <w:szCs w:val="21"/>
              </w:rPr>
            </w:pPr>
            <w:r>
              <w:rPr>
                <w:rFonts w:hint="eastAsia" w:ascii="宋体" w:hAnsi="宋体" w:cs="宋体"/>
                <w:szCs w:val="21"/>
              </w:rPr>
              <w:t>报警设施、冲洗设施、防护急救器具专柜、应急撤离通道、泄险区的设置及完整性。</w:t>
            </w:r>
          </w:p>
        </w:tc>
        <w:tc>
          <w:tcPr>
            <w:tcW w:w="1701" w:type="dxa"/>
          </w:tcPr>
          <w:p>
            <w:pPr>
              <w:spacing w:line="280" w:lineRule="exact"/>
              <w:rPr>
                <w:rFonts w:ascii="宋体" w:hAnsi="宋体" w:cs="宋体"/>
                <w:szCs w:val="21"/>
              </w:rPr>
            </w:pPr>
          </w:p>
        </w:tc>
        <w:tc>
          <w:tcPr>
            <w:tcW w:w="2268" w:type="dxa"/>
          </w:tcPr>
          <w:p>
            <w:pPr>
              <w:spacing w:line="280" w:lineRule="exact"/>
              <w:rPr>
                <w:rFonts w:ascii="宋体" w:hAnsi="宋体" w:cs="宋体"/>
                <w:szCs w:val="21"/>
              </w:rPr>
            </w:pPr>
            <w:r>
              <w:rPr>
                <w:rFonts w:hint="eastAsia" w:ascii="宋体" w:hAnsi="宋体" w:cs="宋体"/>
                <w:szCs w:val="21"/>
              </w:rPr>
              <w:t>1.现场未按规定设置有关设施，一项扣2分；</w:t>
            </w:r>
          </w:p>
          <w:p>
            <w:pPr>
              <w:spacing w:line="280" w:lineRule="exact"/>
              <w:rPr>
                <w:rFonts w:ascii="宋体" w:hAnsi="宋体" w:cs="宋体"/>
                <w:szCs w:val="21"/>
              </w:rPr>
            </w:pPr>
            <w:r>
              <w:rPr>
                <w:rFonts w:hint="eastAsia" w:ascii="宋体" w:hAnsi="宋体" w:cs="宋体"/>
                <w:szCs w:val="21"/>
              </w:rPr>
              <w:t>2.应急撤离通道和泄险区，一处不符合扣2分；</w:t>
            </w:r>
          </w:p>
          <w:p>
            <w:pPr>
              <w:spacing w:line="280" w:lineRule="exact"/>
              <w:rPr>
                <w:rFonts w:ascii="宋体" w:hAnsi="宋体" w:cs="宋体"/>
                <w:szCs w:val="21"/>
              </w:rPr>
            </w:pPr>
            <w:r>
              <w:rPr>
                <w:rFonts w:hint="eastAsia" w:ascii="宋体" w:hAnsi="宋体" w:cs="宋体"/>
                <w:szCs w:val="21"/>
              </w:rPr>
              <w:t>3.现场有关设施完整性，一项不符合扣2分；</w:t>
            </w:r>
          </w:p>
          <w:p>
            <w:pPr>
              <w:spacing w:line="280" w:lineRule="exact"/>
              <w:rPr>
                <w:rFonts w:ascii="宋体" w:hAnsi="宋体" w:cs="宋体"/>
                <w:szCs w:val="21"/>
              </w:rPr>
            </w:pPr>
            <w:r>
              <w:rPr>
                <w:rFonts w:hint="eastAsia" w:ascii="宋体" w:hAnsi="宋体" w:cs="宋体"/>
                <w:szCs w:val="21"/>
              </w:rPr>
              <w:t>4.未定期进行检查、记录，一项扣1分。</w:t>
            </w:r>
          </w:p>
        </w:tc>
        <w:tc>
          <w:tcPr>
            <w:tcW w:w="1165" w:type="dxa"/>
            <w:vAlign w:val="center"/>
          </w:tcPr>
          <w:p>
            <w:pPr>
              <w:spacing w:line="280" w:lineRule="exact"/>
              <w:jc w:val="center"/>
              <w:rPr>
                <w:rFonts w:ascii="宋体" w:hAnsi="宋体" w:cs="宋体"/>
                <w:szCs w:val="21"/>
              </w:rPr>
            </w:pPr>
            <w:r>
              <w:rPr>
                <w:rFonts w:hint="eastAsia" w:ascii="宋体" w:hAnsi="宋体" w:cs="宋体"/>
                <w:bCs/>
                <w:color w:val="auto"/>
                <w:sz w:val="18"/>
                <w:szCs w:val="18"/>
                <w:lang w:eastAsia="zh-CN"/>
              </w:rPr>
              <w:t>洗眼器冲淋拉杆损坏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771" w:type="dxa"/>
            <w:vMerge w:val="continue"/>
          </w:tcPr>
          <w:p>
            <w:pPr>
              <w:spacing w:line="280" w:lineRule="exact"/>
              <w:rPr>
                <w:rFonts w:ascii="宋体" w:hAnsi="宋体" w:cs="宋体"/>
                <w:b/>
                <w:bCs/>
                <w:szCs w:val="21"/>
              </w:rPr>
            </w:pPr>
          </w:p>
        </w:tc>
        <w:tc>
          <w:tcPr>
            <w:tcW w:w="709" w:type="dxa"/>
            <w:vMerge w:val="continue"/>
          </w:tcPr>
          <w:p>
            <w:pPr>
              <w:spacing w:line="280" w:lineRule="exact"/>
              <w:rPr>
                <w:rFonts w:ascii="宋体" w:hAnsi="宋体" w:cs="宋体"/>
                <w:b/>
                <w:bCs/>
                <w:szCs w:val="21"/>
              </w:rPr>
            </w:pPr>
          </w:p>
        </w:tc>
        <w:tc>
          <w:tcPr>
            <w:tcW w:w="2409" w:type="dxa"/>
          </w:tcPr>
          <w:p>
            <w:pPr>
              <w:spacing w:line="280" w:lineRule="exact"/>
              <w:rPr>
                <w:rFonts w:ascii="宋体" w:hAnsi="宋体" w:cs="宋体"/>
                <w:szCs w:val="21"/>
              </w:rPr>
            </w:pPr>
            <w:r>
              <w:rPr>
                <w:rFonts w:hint="eastAsia" w:ascii="宋体" w:hAnsi="宋体" w:cs="宋体"/>
                <w:szCs w:val="21"/>
              </w:rPr>
              <w:t>5.企业应严格执行生产作业场所职业危害因素检测管理制度，定期对作业场所进行检测，在检测点设置告知牌，告知检测结果，并将结果存入职业卫生档案。</w:t>
            </w:r>
          </w:p>
        </w:tc>
        <w:tc>
          <w:tcPr>
            <w:tcW w:w="2268" w:type="dxa"/>
          </w:tcPr>
          <w:p>
            <w:pPr>
              <w:spacing w:line="280" w:lineRule="exact"/>
              <w:rPr>
                <w:rFonts w:ascii="宋体" w:hAnsi="宋体" w:cs="宋体"/>
                <w:szCs w:val="21"/>
              </w:rPr>
            </w:pPr>
            <w:r>
              <w:rPr>
                <w:rFonts w:hint="eastAsia" w:ascii="宋体" w:hAnsi="宋体" w:cs="宋体"/>
                <w:szCs w:val="21"/>
              </w:rPr>
              <w:t>1.定期对作业场所职业危害因素进行检测；</w:t>
            </w:r>
          </w:p>
          <w:p>
            <w:pPr>
              <w:spacing w:line="280" w:lineRule="exact"/>
              <w:rPr>
                <w:rFonts w:ascii="宋体" w:hAnsi="宋体" w:cs="宋体"/>
                <w:szCs w:val="21"/>
              </w:rPr>
            </w:pPr>
            <w:r>
              <w:rPr>
                <w:rFonts w:hint="eastAsia" w:ascii="宋体" w:hAnsi="宋体" w:cs="宋体"/>
                <w:szCs w:val="21"/>
              </w:rPr>
              <w:t>2.在检测点设置告知牌，告知检测结果；</w:t>
            </w:r>
          </w:p>
          <w:p>
            <w:pPr>
              <w:spacing w:line="280" w:lineRule="exact"/>
              <w:rPr>
                <w:rFonts w:ascii="宋体" w:hAnsi="宋体" w:cs="宋体"/>
                <w:szCs w:val="21"/>
              </w:rPr>
            </w:pPr>
            <w:r>
              <w:rPr>
                <w:rFonts w:hint="eastAsia" w:ascii="宋体" w:hAnsi="宋体" w:cs="宋体"/>
                <w:szCs w:val="21"/>
              </w:rPr>
              <w:t>3.将检测结果存入职业卫生档案；</w:t>
            </w:r>
          </w:p>
          <w:p>
            <w:pPr>
              <w:spacing w:line="280" w:lineRule="exact"/>
              <w:rPr>
                <w:rFonts w:ascii="宋体" w:hAnsi="宋体" w:cs="宋体"/>
                <w:szCs w:val="21"/>
              </w:rPr>
            </w:pPr>
            <w:r>
              <w:rPr>
                <w:rFonts w:hint="eastAsia" w:ascii="宋体" w:hAnsi="宋体" w:cs="宋体"/>
                <w:szCs w:val="21"/>
              </w:rPr>
              <w:t>4.工作场所职业危害因素的检测结果不符合标准规定，要进行整改。</w:t>
            </w:r>
          </w:p>
        </w:tc>
        <w:tc>
          <w:tcPr>
            <w:tcW w:w="2268" w:type="dxa"/>
          </w:tcPr>
          <w:p>
            <w:pPr>
              <w:spacing w:line="280" w:lineRule="exact"/>
              <w:rPr>
                <w:rFonts w:ascii="宋体" w:hAnsi="宋体" w:cs="宋体"/>
                <w:szCs w:val="21"/>
              </w:rPr>
            </w:pPr>
            <w:r>
              <w:rPr>
                <w:rFonts w:hint="eastAsia" w:ascii="宋体" w:hAnsi="宋体" w:cs="宋体"/>
                <w:szCs w:val="21"/>
              </w:rPr>
              <w:t>查文件：</w:t>
            </w:r>
          </w:p>
          <w:p>
            <w:pPr>
              <w:spacing w:line="280" w:lineRule="exact"/>
              <w:rPr>
                <w:rFonts w:ascii="宋体" w:hAnsi="宋体" w:cs="宋体"/>
                <w:szCs w:val="21"/>
              </w:rPr>
            </w:pPr>
            <w:r>
              <w:rPr>
                <w:rFonts w:hint="eastAsia" w:ascii="宋体" w:hAnsi="宋体" w:cs="宋体"/>
                <w:szCs w:val="21"/>
              </w:rPr>
              <w:t>1.职业危害监测制度；</w:t>
            </w:r>
          </w:p>
          <w:p>
            <w:pPr>
              <w:spacing w:line="280" w:lineRule="exact"/>
              <w:rPr>
                <w:rFonts w:ascii="宋体" w:hAnsi="宋体" w:cs="宋体"/>
                <w:szCs w:val="21"/>
              </w:rPr>
            </w:pPr>
            <w:r>
              <w:rPr>
                <w:rFonts w:hint="eastAsia" w:ascii="宋体" w:hAnsi="宋体" w:cs="宋体"/>
                <w:szCs w:val="21"/>
              </w:rPr>
              <w:t>2.职业危害监测报告及职业卫生档案、整改计划。</w:t>
            </w:r>
          </w:p>
          <w:p>
            <w:pPr>
              <w:spacing w:line="280" w:lineRule="exact"/>
              <w:rPr>
                <w:rFonts w:ascii="宋体" w:hAnsi="宋体" w:cs="宋体"/>
                <w:szCs w:val="21"/>
              </w:rPr>
            </w:pPr>
            <w:r>
              <w:rPr>
                <w:rFonts w:hint="eastAsia" w:ascii="宋体" w:hAnsi="宋体" w:cs="宋体"/>
                <w:szCs w:val="21"/>
              </w:rPr>
              <w:t>询问：</w:t>
            </w:r>
          </w:p>
          <w:p>
            <w:pPr>
              <w:spacing w:line="280" w:lineRule="exact"/>
              <w:rPr>
                <w:rFonts w:ascii="宋体" w:hAnsi="宋体" w:cs="宋体"/>
                <w:szCs w:val="21"/>
              </w:rPr>
            </w:pPr>
            <w:r>
              <w:rPr>
                <w:rFonts w:hint="eastAsia" w:ascii="宋体" w:hAnsi="宋体" w:cs="宋体"/>
                <w:szCs w:val="21"/>
              </w:rPr>
              <w:t>抽查从业人员对检测结果了解情况。</w:t>
            </w:r>
          </w:p>
          <w:p>
            <w:pPr>
              <w:spacing w:line="280" w:lineRule="exact"/>
              <w:rPr>
                <w:rFonts w:ascii="宋体" w:hAnsi="宋体" w:cs="宋体"/>
                <w:szCs w:val="21"/>
              </w:rPr>
            </w:pPr>
            <w:r>
              <w:rPr>
                <w:rFonts w:hint="eastAsia" w:ascii="宋体" w:hAnsi="宋体" w:cs="宋体"/>
                <w:szCs w:val="21"/>
              </w:rPr>
              <w:t>现场检查：</w:t>
            </w:r>
          </w:p>
          <w:p>
            <w:pPr>
              <w:spacing w:line="280" w:lineRule="exact"/>
              <w:rPr>
                <w:rFonts w:ascii="宋体" w:hAnsi="宋体" w:cs="宋体"/>
                <w:szCs w:val="21"/>
              </w:rPr>
            </w:pPr>
            <w:r>
              <w:rPr>
                <w:rFonts w:hint="eastAsia" w:ascii="宋体" w:hAnsi="宋体" w:cs="宋体"/>
                <w:szCs w:val="21"/>
              </w:rPr>
              <w:t>检测点设置及告知牌。</w:t>
            </w:r>
          </w:p>
        </w:tc>
        <w:tc>
          <w:tcPr>
            <w:tcW w:w="1701" w:type="dxa"/>
          </w:tcPr>
          <w:p>
            <w:pPr>
              <w:spacing w:line="280" w:lineRule="exact"/>
              <w:rPr>
                <w:rFonts w:ascii="宋体" w:hAnsi="宋体" w:cs="宋体"/>
                <w:szCs w:val="21"/>
              </w:rPr>
            </w:pPr>
          </w:p>
        </w:tc>
        <w:tc>
          <w:tcPr>
            <w:tcW w:w="2268" w:type="dxa"/>
          </w:tcPr>
          <w:p>
            <w:pPr>
              <w:spacing w:line="280" w:lineRule="exact"/>
              <w:rPr>
                <w:rFonts w:ascii="宋体" w:hAnsi="宋体" w:cs="宋体"/>
                <w:szCs w:val="21"/>
              </w:rPr>
            </w:pPr>
            <w:r>
              <w:rPr>
                <w:rFonts w:hint="eastAsia" w:ascii="宋体" w:hAnsi="宋体" w:cs="宋体"/>
                <w:szCs w:val="21"/>
              </w:rPr>
              <w:t>1.检测点设置不符合要求，一处扣2分；</w:t>
            </w:r>
          </w:p>
          <w:p>
            <w:pPr>
              <w:spacing w:line="280" w:lineRule="exact"/>
              <w:rPr>
                <w:rFonts w:ascii="宋体" w:hAnsi="宋体" w:cs="宋体"/>
                <w:szCs w:val="21"/>
              </w:rPr>
            </w:pPr>
            <w:r>
              <w:rPr>
                <w:rFonts w:hint="eastAsia" w:ascii="宋体" w:hAnsi="宋体" w:cs="宋体"/>
                <w:szCs w:val="21"/>
              </w:rPr>
              <w:t>2.检测点未设置职业危害因素告知牌，一处扣1分；告知内容不符合要求，一项扣1分；</w:t>
            </w:r>
          </w:p>
          <w:p>
            <w:pPr>
              <w:spacing w:line="280" w:lineRule="exact"/>
              <w:rPr>
                <w:rFonts w:ascii="宋体" w:hAnsi="宋体" w:cs="宋体"/>
                <w:szCs w:val="21"/>
              </w:rPr>
            </w:pPr>
            <w:r>
              <w:rPr>
                <w:rFonts w:hint="eastAsia" w:ascii="宋体" w:hAnsi="宋体" w:cs="宋体"/>
                <w:szCs w:val="21"/>
              </w:rPr>
              <w:t>3.未定期检测，缺一次扣2分，缺一点扣2分；</w:t>
            </w:r>
          </w:p>
          <w:p>
            <w:pPr>
              <w:spacing w:line="280" w:lineRule="exact"/>
              <w:rPr>
                <w:rFonts w:ascii="宋体" w:hAnsi="宋体" w:cs="宋体"/>
                <w:szCs w:val="21"/>
              </w:rPr>
            </w:pPr>
            <w:r>
              <w:rPr>
                <w:rFonts w:hint="eastAsia" w:ascii="宋体" w:hAnsi="宋体" w:cs="宋体"/>
                <w:szCs w:val="21"/>
              </w:rPr>
              <w:t>4.从业人员不清楚岗位职业危害情况，1人次扣1分；</w:t>
            </w:r>
          </w:p>
          <w:p>
            <w:pPr>
              <w:spacing w:line="280" w:lineRule="exact"/>
              <w:rPr>
                <w:rFonts w:ascii="宋体" w:hAnsi="宋体" w:cs="宋体"/>
                <w:szCs w:val="21"/>
              </w:rPr>
            </w:pPr>
            <w:r>
              <w:rPr>
                <w:rFonts w:hint="eastAsia" w:ascii="宋体" w:hAnsi="宋体" w:cs="宋体"/>
                <w:szCs w:val="21"/>
              </w:rPr>
              <w:t>5.未将检测结果存入职业卫生档案扣2分；</w:t>
            </w:r>
          </w:p>
          <w:p>
            <w:pPr>
              <w:spacing w:line="280" w:lineRule="exact"/>
              <w:rPr>
                <w:rFonts w:ascii="宋体" w:hAnsi="宋体" w:cs="宋体"/>
                <w:szCs w:val="21"/>
              </w:rPr>
            </w:pPr>
            <w:r>
              <w:rPr>
                <w:rFonts w:hint="eastAsia" w:ascii="宋体" w:hAnsi="宋体" w:cs="宋体"/>
                <w:szCs w:val="21"/>
              </w:rPr>
              <w:t>6.作业场所职业危害因素检测结果不符合符合标准规定，未进行整改，一处扣2分。</w:t>
            </w:r>
          </w:p>
        </w:tc>
        <w:tc>
          <w:tcPr>
            <w:tcW w:w="1165" w:type="dxa"/>
            <w:vAlign w:val="center"/>
          </w:tcPr>
          <w:p>
            <w:pPr>
              <w:spacing w:line="280" w:lineRule="exact"/>
              <w:jc w:val="center"/>
              <w:rPr>
                <w:rFonts w:ascii="宋体" w:hAnsi="宋体" w:cs="宋体"/>
                <w:szCs w:val="21"/>
              </w:rPr>
            </w:pPr>
            <w:r>
              <w:rPr>
                <w:rFonts w:hint="eastAsia" w:ascii="宋体" w:hAnsi="宋体" w:cs="宋体"/>
                <w:szCs w:val="21"/>
              </w:rPr>
              <w:t>符合要求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4" w:hRule="atLeast"/>
          <w:jc w:val="center"/>
        </w:trPr>
        <w:tc>
          <w:tcPr>
            <w:tcW w:w="771" w:type="dxa"/>
            <w:vMerge w:val="continue"/>
          </w:tcPr>
          <w:p>
            <w:pPr>
              <w:spacing w:line="280" w:lineRule="exact"/>
              <w:rPr>
                <w:rFonts w:ascii="宋体" w:hAnsi="宋体" w:cs="宋体"/>
                <w:b/>
                <w:bCs/>
                <w:szCs w:val="21"/>
              </w:rPr>
            </w:pPr>
          </w:p>
        </w:tc>
        <w:tc>
          <w:tcPr>
            <w:tcW w:w="709" w:type="dxa"/>
            <w:vMerge w:val="continue"/>
          </w:tcPr>
          <w:p>
            <w:pPr>
              <w:spacing w:line="280" w:lineRule="exact"/>
              <w:rPr>
                <w:rFonts w:ascii="宋体" w:hAnsi="宋体" w:cs="宋体"/>
                <w:b/>
                <w:bCs/>
                <w:szCs w:val="21"/>
              </w:rPr>
            </w:pPr>
          </w:p>
        </w:tc>
        <w:tc>
          <w:tcPr>
            <w:tcW w:w="2409" w:type="dxa"/>
          </w:tcPr>
          <w:p>
            <w:pPr>
              <w:spacing w:line="280" w:lineRule="exact"/>
              <w:rPr>
                <w:rFonts w:ascii="宋体" w:hAnsi="宋体" w:cs="宋体"/>
                <w:szCs w:val="21"/>
              </w:rPr>
            </w:pPr>
            <w:r>
              <w:rPr>
                <w:rFonts w:hint="eastAsia" w:ascii="宋体" w:hAnsi="宋体" w:cs="宋体"/>
                <w:szCs w:val="21"/>
              </w:rPr>
              <w:t>6.企业不得安排上岗前未经职业健康检查的从业人员从事接触职业病危害的作业；不得安排有职业禁忌的从业人员从事禁忌作业。</w:t>
            </w:r>
          </w:p>
        </w:tc>
        <w:tc>
          <w:tcPr>
            <w:tcW w:w="2268" w:type="dxa"/>
          </w:tcPr>
          <w:p>
            <w:pPr>
              <w:spacing w:line="280" w:lineRule="exact"/>
              <w:rPr>
                <w:rFonts w:ascii="宋体" w:hAnsi="宋体" w:cs="宋体"/>
                <w:szCs w:val="21"/>
              </w:rPr>
            </w:pPr>
            <w:r>
              <w:rPr>
                <w:rFonts w:hint="eastAsia" w:ascii="宋体" w:hAnsi="宋体" w:cs="宋体"/>
                <w:szCs w:val="21"/>
              </w:rPr>
              <w:t>1.不得安排上岗前未经职业健康检查的从业人员从事接触职业病危害的作业；</w:t>
            </w:r>
          </w:p>
          <w:p>
            <w:pPr>
              <w:spacing w:line="280" w:lineRule="exact"/>
              <w:rPr>
                <w:rFonts w:ascii="宋体" w:hAnsi="宋体" w:cs="宋体"/>
                <w:szCs w:val="21"/>
              </w:rPr>
            </w:pPr>
            <w:r>
              <w:rPr>
                <w:rFonts w:hint="eastAsia" w:ascii="宋体" w:hAnsi="宋体" w:cs="宋体"/>
                <w:szCs w:val="21"/>
              </w:rPr>
              <w:t>2.按规定对从事接触职业病危害作业的人员进行在岗期间、离岗时职业健康检查；</w:t>
            </w:r>
          </w:p>
          <w:p>
            <w:pPr>
              <w:spacing w:line="280" w:lineRule="exact"/>
              <w:rPr>
                <w:rFonts w:ascii="宋体" w:hAnsi="宋体" w:cs="宋体"/>
                <w:szCs w:val="21"/>
              </w:rPr>
            </w:pPr>
            <w:r>
              <w:rPr>
                <w:rFonts w:hint="eastAsia" w:ascii="宋体" w:hAnsi="宋体" w:cs="宋体"/>
                <w:szCs w:val="21"/>
              </w:rPr>
              <w:t>3.不得安排有职业禁忌的人员从事禁忌作业。</w:t>
            </w:r>
          </w:p>
        </w:tc>
        <w:tc>
          <w:tcPr>
            <w:tcW w:w="2268" w:type="dxa"/>
          </w:tcPr>
          <w:p>
            <w:pPr>
              <w:spacing w:line="280" w:lineRule="exact"/>
              <w:rPr>
                <w:rFonts w:ascii="宋体" w:hAnsi="宋体" w:cs="宋体"/>
                <w:szCs w:val="21"/>
              </w:rPr>
            </w:pPr>
            <w:r>
              <w:rPr>
                <w:rFonts w:hint="eastAsia" w:ascii="宋体" w:hAnsi="宋体" w:cs="宋体"/>
                <w:szCs w:val="21"/>
              </w:rPr>
              <w:t>查文件：</w:t>
            </w:r>
          </w:p>
          <w:p>
            <w:pPr>
              <w:spacing w:line="280" w:lineRule="exact"/>
              <w:rPr>
                <w:rFonts w:ascii="宋体" w:hAnsi="宋体" w:cs="宋体"/>
                <w:szCs w:val="21"/>
              </w:rPr>
            </w:pPr>
            <w:r>
              <w:rPr>
                <w:rFonts w:hint="eastAsia" w:ascii="宋体" w:hAnsi="宋体" w:cs="宋体"/>
                <w:szCs w:val="21"/>
              </w:rPr>
              <w:t>健康查体报告。</w:t>
            </w:r>
          </w:p>
          <w:p>
            <w:pPr>
              <w:spacing w:line="280" w:lineRule="exact"/>
              <w:rPr>
                <w:rFonts w:ascii="宋体" w:hAnsi="宋体" w:cs="宋体"/>
                <w:szCs w:val="21"/>
              </w:rPr>
            </w:pPr>
            <w:r>
              <w:rPr>
                <w:rFonts w:hint="eastAsia" w:ascii="宋体" w:hAnsi="宋体" w:cs="宋体"/>
                <w:szCs w:val="21"/>
              </w:rPr>
              <w:t>询问：</w:t>
            </w:r>
          </w:p>
          <w:p>
            <w:pPr>
              <w:spacing w:line="280" w:lineRule="exact"/>
              <w:rPr>
                <w:rFonts w:ascii="宋体" w:hAnsi="宋体" w:cs="宋体"/>
                <w:szCs w:val="21"/>
              </w:rPr>
            </w:pPr>
            <w:r>
              <w:rPr>
                <w:rFonts w:hint="eastAsia" w:ascii="宋体" w:hAnsi="宋体" w:cs="宋体"/>
                <w:szCs w:val="21"/>
              </w:rPr>
              <w:t>抽查从事接触职业危害及禁忌作业的有关人员健康检查情况及是否有职业禁忌人员。</w:t>
            </w:r>
          </w:p>
        </w:tc>
        <w:tc>
          <w:tcPr>
            <w:tcW w:w="1701" w:type="dxa"/>
          </w:tcPr>
          <w:p>
            <w:pPr>
              <w:spacing w:line="280" w:lineRule="exact"/>
              <w:rPr>
                <w:rFonts w:ascii="宋体" w:hAnsi="宋体" w:cs="宋体"/>
                <w:szCs w:val="21"/>
              </w:rPr>
            </w:pPr>
          </w:p>
        </w:tc>
        <w:tc>
          <w:tcPr>
            <w:tcW w:w="2268" w:type="dxa"/>
          </w:tcPr>
          <w:p>
            <w:pPr>
              <w:spacing w:line="280" w:lineRule="exact"/>
              <w:rPr>
                <w:rFonts w:ascii="宋体" w:hAnsi="宋体" w:cs="宋体"/>
                <w:szCs w:val="21"/>
              </w:rPr>
            </w:pPr>
            <w:r>
              <w:rPr>
                <w:rFonts w:hint="eastAsia" w:ascii="宋体" w:hAnsi="宋体" w:cs="宋体"/>
                <w:szCs w:val="21"/>
              </w:rPr>
              <w:t>1.未对从事接触职业病危害作业的人员进行上岗前、在岗期间及离岗时职业健康检查，1人次扣2分；</w:t>
            </w:r>
          </w:p>
          <w:p>
            <w:pPr>
              <w:spacing w:line="280" w:lineRule="exact"/>
              <w:rPr>
                <w:rFonts w:ascii="宋体" w:hAnsi="宋体" w:cs="宋体"/>
                <w:szCs w:val="21"/>
              </w:rPr>
            </w:pPr>
            <w:r>
              <w:rPr>
                <w:rFonts w:hint="eastAsia" w:ascii="宋体" w:hAnsi="宋体" w:cs="宋体"/>
                <w:szCs w:val="21"/>
              </w:rPr>
              <w:t>2.安排有职业禁忌人员从事禁忌作业，1人次扣5分。</w:t>
            </w:r>
          </w:p>
        </w:tc>
        <w:tc>
          <w:tcPr>
            <w:tcW w:w="1165" w:type="dxa"/>
            <w:vAlign w:val="center"/>
          </w:tcPr>
          <w:p>
            <w:pPr>
              <w:spacing w:line="280" w:lineRule="exact"/>
              <w:jc w:val="center"/>
              <w:rPr>
                <w:rFonts w:ascii="宋体" w:hAnsi="宋体" w:cs="宋体"/>
                <w:szCs w:val="21"/>
              </w:rPr>
            </w:pPr>
            <w:r>
              <w:rPr>
                <w:rFonts w:hint="eastAsia" w:ascii="宋体" w:hAnsi="宋体" w:cs="宋体"/>
                <w:szCs w:val="21"/>
              </w:rPr>
              <w:t>符合要求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771" w:type="dxa"/>
            <w:vMerge w:val="continue"/>
          </w:tcPr>
          <w:p>
            <w:pPr>
              <w:spacing w:line="280" w:lineRule="exact"/>
              <w:rPr>
                <w:rFonts w:ascii="宋体" w:hAnsi="宋体" w:cs="宋体"/>
                <w:b/>
                <w:bCs/>
                <w:szCs w:val="21"/>
              </w:rPr>
            </w:pPr>
          </w:p>
        </w:tc>
        <w:tc>
          <w:tcPr>
            <w:tcW w:w="709" w:type="dxa"/>
            <w:vMerge w:val="continue"/>
          </w:tcPr>
          <w:p>
            <w:pPr>
              <w:spacing w:line="280" w:lineRule="exact"/>
              <w:rPr>
                <w:rFonts w:ascii="宋体" w:hAnsi="宋体" w:cs="宋体"/>
                <w:b/>
                <w:bCs/>
                <w:szCs w:val="21"/>
              </w:rPr>
            </w:pPr>
          </w:p>
        </w:tc>
        <w:tc>
          <w:tcPr>
            <w:tcW w:w="2409" w:type="dxa"/>
          </w:tcPr>
          <w:p>
            <w:pPr>
              <w:spacing w:line="280" w:lineRule="exact"/>
              <w:rPr>
                <w:rFonts w:ascii="宋体" w:hAnsi="宋体" w:cs="宋体"/>
                <w:szCs w:val="21"/>
              </w:rPr>
            </w:pPr>
          </w:p>
        </w:tc>
        <w:tc>
          <w:tcPr>
            <w:tcW w:w="2268" w:type="dxa"/>
          </w:tcPr>
          <w:p>
            <w:pPr>
              <w:spacing w:line="280" w:lineRule="exact"/>
              <w:rPr>
                <w:rFonts w:ascii="宋体" w:hAnsi="宋体" w:cs="宋体"/>
                <w:szCs w:val="21"/>
              </w:rPr>
            </w:pPr>
            <w:r>
              <w:rPr>
                <w:rFonts w:hint="eastAsia" w:ascii="宋体" w:hAnsi="宋体" w:cs="宋体"/>
                <w:szCs w:val="21"/>
              </w:rPr>
              <w:t>二级企业已建立完善的作业场所职业危害控制管理制度与检测制度并有效实施，作业场所职业危害得到有效控制。</w:t>
            </w:r>
          </w:p>
        </w:tc>
        <w:tc>
          <w:tcPr>
            <w:tcW w:w="2268" w:type="dxa"/>
          </w:tcPr>
          <w:p>
            <w:pPr>
              <w:spacing w:line="280" w:lineRule="exact"/>
              <w:rPr>
                <w:rFonts w:ascii="宋体" w:hAnsi="宋体" w:cs="宋体"/>
                <w:szCs w:val="21"/>
              </w:rPr>
            </w:pPr>
            <w:r>
              <w:rPr>
                <w:rFonts w:hint="eastAsia" w:ascii="宋体" w:hAnsi="宋体" w:cs="宋体"/>
                <w:szCs w:val="21"/>
              </w:rPr>
              <w:t>查文件：</w:t>
            </w:r>
          </w:p>
          <w:p>
            <w:pPr>
              <w:spacing w:line="280" w:lineRule="exact"/>
              <w:rPr>
                <w:rFonts w:ascii="宋体" w:hAnsi="宋体" w:cs="宋体"/>
                <w:szCs w:val="21"/>
              </w:rPr>
            </w:pPr>
            <w:r>
              <w:rPr>
                <w:rFonts w:hint="eastAsia" w:ascii="宋体" w:hAnsi="宋体" w:cs="宋体"/>
                <w:szCs w:val="21"/>
              </w:rPr>
              <w:t>作业场所职业危害控制管理制度与检测制度、台账。</w:t>
            </w:r>
          </w:p>
          <w:p>
            <w:pPr>
              <w:spacing w:line="280" w:lineRule="exact"/>
              <w:rPr>
                <w:rFonts w:ascii="宋体" w:hAnsi="宋体" w:cs="宋体"/>
                <w:szCs w:val="21"/>
              </w:rPr>
            </w:pPr>
            <w:r>
              <w:rPr>
                <w:rFonts w:hint="eastAsia" w:ascii="宋体" w:hAnsi="宋体" w:cs="宋体"/>
                <w:szCs w:val="21"/>
              </w:rPr>
              <w:t>现场检查：</w:t>
            </w:r>
          </w:p>
          <w:p>
            <w:pPr>
              <w:spacing w:line="280" w:lineRule="exact"/>
              <w:rPr>
                <w:rFonts w:ascii="宋体" w:hAnsi="宋体" w:cs="宋体"/>
                <w:szCs w:val="21"/>
              </w:rPr>
            </w:pPr>
            <w:r>
              <w:rPr>
                <w:rFonts w:hint="eastAsia" w:ascii="宋体" w:hAnsi="宋体" w:cs="宋体"/>
                <w:szCs w:val="21"/>
              </w:rPr>
              <w:t>作业场所职业危害管理情况。</w:t>
            </w:r>
          </w:p>
        </w:tc>
        <w:tc>
          <w:tcPr>
            <w:tcW w:w="1701" w:type="dxa"/>
          </w:tcPr>
          <w:p>
            <w:pPr>
              <w:spacing w:line="280" w:lineRule="exact"/>
              <w:rPr>
                <w:rFonts w:ascii="宋体" w:hAnsi="宋体" w:cs="宋体"/>
                <w:szCs w:val="21"/>
              </w:rPr>
            </w:pPr>
            <w:r>
              <w:rPr>
                <w:rFonts w:hint="eastAsia" w:ascii="宋体" w:hAnsi="宋体" w:cs="宋体"/>
                <w:szCs w:val="21"/>
              </w:rPr>
              <w:t>未建立完善的作业场所职业危害控制管理制度与检测制度，或未有效实施，或作业场所职业危害未得到有效控制，扣100分（A级要素否决项）。</w:t>
            </w:r>
          </w:p>
        </w:tc>
        <w:tc>
          <w:tcPr>
            <w:tcW w:w="2268" w:type="dxa"/>
          </w:tcPr>
          <w:p>
            <w:pPr>
              <w:spacing w:line="280" w:lineRule="exact"/>
              <w:rPr>
                <w:rFonts w:ascii="宋体" w:hAnsi="宋体" w:cs="宋体"/>
                <w:szCs w:val="21"/>
              </w:rPr>
            </w:pPr>
          </w:p>
        </w:tc>
        <w:tc>
          <w:tcPr>
            <w:tcW w:w="1165" w:type="dxa"/>
            <w:vAlign w:val="center"/>
          </w:tcPr>
          <w:p>
            <w:pPr>
              <w:spacing w:line="280" w:lineRule="exact"/>
              <w:jc w:val="center"/>
              <w:rPr>
                <w:rFonts w:ascii="宋体" w:hAnsi="宋体" w:cs="宋体"/>
                <w:szCs w:val="21"/>
              </w:rPr>
            </w:pPr>
            <w:r>
              <w:rPr>
                <w:rFonts w:hint="eastAsia" w:ascii="宋体" w:hAnsi="宋体" w:cs="宋体"/>
                <w:szCs w:val="21"/>
              </w:rPr>
              <w:t>不涉及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771" w:type="dxa"/>
            <w:vMerge w:val="continue"/>
          </w:tcPr>
          <w:p>
            <w:pPr>
              <w:spacing w:line="280" w:lineRule="exact"/>
              <w:rPr>
                <w:rFonts w:ascii="宋体" w:hAnsi="宋体" w:cs="宋体"/>
                <w:b/>
                <w:bCs/>
                <w:szCs w:val="21"/>
              </w:rPr>
            </w:pPr>
          </w:p>
        </w:tc>
        <w:tc>
          <w:tcPr>
            <w:tcW w:w="709" w:type="dxa"/>
            <w:vMerge w:val="restart"/>
          </w:tcPr>
          <w:p>
            <w:pPr>
              <w:spacing w:line="280" w:lineRule="exact"/>
              <w:rPr>
                <w:rFonts w:ascii="宋体" w:hAnsi="宋体" w:cs="宋体"/>
                <w:b/>
                <w:bCs/>
                <w:szCs w:val="21"/>
              </w:rPr>
            </w:pPr>
            <w:r>
              <w:rPr>
                <w:rFonts w:hint="eastAsia" w:ascii="宋体" w:hAnsi="宋体" w:cs="宋体"/>
                <w:b/>
                <w:bCs/>
                <w:szCs w:val="21"/>
              </w:rPr>
              <w:t>8.3</w:t>
            </w:r>
          </w:p>
          <w:p>
            <w:pPr>
              <w:spacing w:line="280" w:lineRule="exact"/>
              <w:rPr>
                <w:rFonts w:ascii="宋体" w:hAnsi="宋体" w:cs="宋体"/>
                <w:b/>
                <w:bCs/>
                <w:szCs w:val="21"/>
              </w:rPr>
            </w:pPr>
            <w:r>
              <w:rPr>
                <w:rFonts w:hint="eastAsia" w:ascii="宋体" w:hAnsi="宋体" w:cs="宋体"/>
                <w:b/>
                <w:bCs/>
                <w:szCs w:val="21"/>
              </w:rPr>
              <w:t>劳动防护用品</w:t>
            </w:r>
          </w:p>
          <w:p>
            <w:pPr>
              <w:spacing w:line="280" w:lineRule="exact"/>
              <w:rPr>
                <w:rFonts w:ascii="宋体" w:hAnsi="宋体" w:cs="宋体"/>
                <w:b/>
                <w:bCs/>
                <w:szCs w:val="21"/>
              </w:rPr>
            </w:pPr>
            <w:r>
              <w:rPr>
                <w:rFonts w:hint="eastAsia" w:ascii="宋体" w:hAnsi="宋体" w:cs="宋体"/>
                <w:b/>
                <w:bCs/>
                <w:szCs w:val="21"/>
              </w:rPr>
              <w:t>（25分）</w:t>
            </w:r>
          </w:p>
          <w:p>
            <w:pPr>
              <w:spacing w:line="280" w:lineRule="exact"/>
              <w:rPr>
                <w:rFonts w:ascii="宋体" w:hAnsi="宋体" w:cs="宋体"/>
                <w:b/>
                <w:bCs/>
                <w:szCs w:val="21"/>
              </w:rPr>
            </w:pPr>
          </w:p>
        </w:tc>
        <w:tc>
          <w:tcPr>
            <w:tcW w:w="2409" w:type="dxa"/>
          </w:tcPr>
          <w:p>
            <w:pPr>
              <w:spacing w:line="280" w:lineRule="exact"/>
              <w:rPr>
                <w:rFonts w:ascii="宋体" w:hAnsi="宋体" w:cs="宋体"/>
                <w:szCs w:val="21"/>
              </w:rPr>
            </w:pPr>
            <w:r>
              <w:rPr>
                <w:rFonts w:hint="eastAsia" w:ascii="宋体" w:hAnsi="宋体" w:cs="宋体"/>
                <w:szCs w:val="21"/>
              </w:rPr>
              <w:t>1.企业应根据接触危害的种类、强度，为从业人员提供符合国家标准或行业标准的个体防护用品和器具，并监督、教育从业人员正确佩戴、使用。</w:t>
            </w:r>
          </w:p>
        </w:tc>
        <w:tc>
          <w:tcPr>
            <w:tcW w:w="2268" w:type="dxa"/>
          </w:tcPr>
          <w:p>
            <w:pPr>
              <w:spacing w:line="280" w:lineRule="exact"/>
              <w:rPr>
                <w:rFonts w:ascii="宋体" w:hAnsi="宋体" w:cs="宋体"/>
                <w:szCs w:val="21"/>
              </w:rPr>
            </w:pPr>
            <w:r>
              <w:rPr>
                <w:rFonts w:hint="eastAsia" w:ascii="宋体" w:hAnsi="宋体" w:cs="宋体"/>
                <w:szCs w:val="21"/>
              </w:rPr>
              <w:t>1.为从业人员提供符合国家标准或行业标准的个体防护用品和器具；</w:t>
            </w:r>
          </w:p>
          <w:p>
            <w:pPr>
              <w:spacing w:line="280" w:lineRule="exact"/>
              <w:rPr>
                <w:rFonts w:ascii="宋体" w:hAnsi="宋体" w:cs="宋体"/>
                <w:szCs w:val="21"/>
              </w:rPr>
            </w:pPr>
            <w:r>
              <w:rPr>
                <w:rFonts w:hint="eastAsia" w:ascii="宋体" w:hAnsi="宋体" w:cs="宋体"/>
                <w:szCs w:val="21"/>
              </w:rPr>
              <w:t>2.监督、教育从业人员正确佩戴、使用个体防护用品和器具。</w:t>
            </w:r>
          </w:p>
        </w:tc>
        <w:tc>
          <w:tcPr>
            <w:tcW w:w="2268" w:type="dxa"/>
          </w:tcPr>
          <w:p>
            <w:pPr>
              <w:spacing w:line="280" w:lineRule="exact"/>
              <w:rPr>
                <w:rFonts w:ascii="宋体" w:hAnsi="宋体" w:cs="宋体"/>
                <w:szCs w:val="21"/>
              </w:rPr>
            </w:pPr>
            <w:r>
              <w:rPr>
                <w:rFonts w:hint="eastAsia" w:ascii="宋体" w:hAnsi="宋体" w:cs="宋体"/>
                <w:szCs w:val="21"/>
              </w:rPr>
              <w:t>查文件：</w:t>
            </w:r>
          </w:p>
          <w:p>
            <w:pPr>
              <w:spacing w:line="280" w:lineRule="exact"/>
              <w:rPr>
                <w:rFonts w:ascii="宋体" w:hAnsi="宋体" w:cs="宋体"/>
                <w:szCs w:val="21"/>
              </w:rPr>
            </w:pPr>
            <w:r>
              <w:rPr>
                <w:rFonts w:hint="eastAsia" w:ascii="宋体" w:hAnsi="宋体" w:cs="宋体"/>
                <w:szCs w:val="21"/>
              </w:rPr>
              <w:t>个体防护用品台账。</w:t>
            </w:r>
          </w:p>
          <w:p>
            <w:pPr>
              <w:spacing w:line="280" w:lineRule="exact"/>
              <w:rPr>
                <w:rFonts w:ascii="宋体" w:hAnsi="宋体" w:cs="宋体"/>
                <w:szCs w:val="21"/>
              </w:rPr>
            </w:pPr>
            <w:r>
              <w:rPr>
                <w:rFonts w:hint="eastAsia" w:ascii="宋体" w:hAnsi="宋体" w:cs="宋体"/>
                <w:szCs w:val="21"/>
              </w:rPr>
              <w:t>现场检查：</w:t>
            </w:r>
          </w:p>
          <w:p>
            <w:pPr>
              <w:spacing w:line="280" w:lineRule="exact"/>
              <w:rPr>
                <w:rFonts w:ascii="宋体" w:hAnsi="宋体" w:cs="宋体"/>
                <w:szCs w:val="21"/>
              </w:rPr>
            </w:pPr>
            <w:r>
              <w:rPr>
                <w:rFonts w:hint="eastAsia" w:ascii="宋体" w:hAnsi="宋体" w:cs="宋体"/>
                <w:szCs w:val="21"/>
              </w:rPr>
              <w:t>1.从业人员配备和使用的个体防护用品是否符合规定；</w:t>
            </w:r>
          </w:p>
          <w:p>
            <w:pPr>
              <w:spacing w:line="280" w:lineRule="exact"/>
              <w:rPr>
                <w:rFonts w:ascii="宋体" w:hAnsi="宋体" w:cs="宋体"/>
                <w:szCs w:val="21"/>
              </w:rPr>
            </w:pPr>
            <w:r>
              <w:rPr>
                <w:rFonts w:hint="eastAsia" w:ascii="宋体" w:hAnsi="宋体" w:cs="宋体"/>
                <w:szCs w:val="21"/>
              </w:rPr>
              <w:t>2.从业人员是否能够正确佩戴、使用个体防护用品和器具。</w:t>
            </w:r>
          </w:p>
        </w:tc>
        <w:tc>
          <w:tcPr>
            <w:tcW w:w="1701" w:type="dxa"/>
          </w:tcPr>
          <w:p>
            <w:pPr>
              <w:spacing w:line="280" w:lineRule="exact"/>
              <w:rPr>
                <w:rFonts w:ascii="宋体" w:hAnsi="宋体" w:cs="宋体"/>
                <w:szCs w:val="21"/>
              </w:rPr>
            </w:pPr>
          </w:p>
        </w:tc>
        <w:tc>
          <w:tcPr>
            <w:tcW w:w="2268" w:type="dxa"/>
          </w:tcPr>
          <w:p>
            <w:pPr>
              <w:spacing w:line="280" w:lineRule="exact"/>
              <w:rPr>
                <w:rFonts w:ascii="宋体" w:hAnsi="宋体" w:cs="宋体"/>
                <w:szCs w:val="21"/>
              </w:rPr>
            </w:pPr>
            <w:r>
              <w:rPr>
                <w:rFonts w:hint="eastAsia" w:ascii="宋体" w:hAnsi="宋体" w:cs="宋体"/>
                <w:szCs w:val="21"/>
              </w:rPr>
              <w:t>1.未按规定为从业人员配备个体防护用品和器具，一项不符合扣2分；</w:t>
            </w:r>
          </w:p>
          <w:p>
            <w:pPr>
              <w:spacing w:line="280" w:lineRule="exact"/>
              <w:rPr>
                <w:rFonts w:ascii="宋体" w:hAnsi="宋体" w:cs="宋体"/>
                <w:szCs w:val="21"/>
              </w:rPr>
            </w:pPr>
            <w:r>
              <w:rPr>
                <w:rFonts w:hint="eastAsia" w:ascii="宋体" w:hAnsi="宋体" w:cs="宋体"/>
                <w:szCs w:val="21"/>
              </w:rPr>
              <w:t>2.从业人员在生产现场未佩戴、使用个体防护用品，1人次扣2分；佩戴、使用个体防护用品或器具不符合规定要求，1人次扣1分。</w:t>
            </w:r>
          </w:p>
        </w:tc>
        <w:tc>
          <w:tcPr>
            <w:tcW w:w="1165" w:type="dxa"/>
            <w:vAlign w:val="center"/>
          </w:tcPr>
          <w:p>
            <w:pPr>
              <w:spacing w:line="280" w:lineRule="exact"/>
              <w:jc w:val="center"/>
              <w:rPr>
                <w:rFonts w:ascii="宋体" w:hAnsi="宋体" w:cs="宋体"/>
                <w:szCs w:val="21"/>
              </w:rPr>
            </w:pPr>
            <w:r>
              <w:rPr>
                <w:rFonts w:hint="eastAsia" w:ascii="宋体" w:hAnsi="宋体" w:cs="宋体"/>
                <w:szCs w:val="21"/>
              </w:rPr>
              <w:t>符合要求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771" w:type="dxa"/>
            <w:vMerge w:val="continue"/>
          </w:tcPr>
          <w:p>
            <w:pPr>
              <w:spacing w:line="280" w:lineRule="exact"/>
              <w:rPr>
                <w:rFonts w:ascii="宋体" w:hAnsi="宋体" w:cs="宋体"/>
                <w:b/>
                <w:bCs/>
                <w:szCs w:val="21"/>
              </w:rPr>
            </w:pPr>
          </w:p>
        </w:tc>
        <w:tc>
          <w:tcPr>
            <w:tcW w:w="709" w:type="dxa"/>
            <w:vMerge w:val="continue"/>
          </w:tcPr>
          <w:p>
            <w:pPr>
              <w:spacing w:line="280" w:lineRule="exact"/>
              <w:rPr>
                <w:rFonts w:ascii="宋体" w:hAnsi="宋体" w:cs="宋体"/>
                <w:b/>
                <w:bCs/>
                <w:szCs w:val="21"/>
              </w:rPr>
            </w:pPr>
          </w:p>
        </w:tc>
        <w:tc>
          <w:tcPr>
            <w:tcW w:w="2409" w:type="dxa"/>
          </w:tcPr>
          <w:p>
            <w:pPr>
              <w:spacing w:line="280" w:lineRule="exact"/>
              <w:rPr>
                <w:rFonts w:ascii="宋体" w:hAnsi="宋体" w:cs="宋体"/>
                <w:szCs w:val="21"/>
              </w:rPr>
            </w:pPr>
            <w:r>
              <w:rPr>
                <w:rFonts w:hint="eastAsia" w:ascii="宋体" w:hAnsi="宋体" w:cs="宋体"/>
                <w:szCs w:val="21"/>
              </w:rPr>
              <w:t>2.企业各种防护器具都应定点存放在安全、方便的地方，并有专人负责保管，定期校验和维护，每次校验后应记录、铅封。</w:t>
            </w:r>
          </w:p>
        </w:tc>
        <w:tc>
          <w:tcPr>
            <w:tcW w:w="2268" w:type="dxa"/>
          </w:tcPr>
          <w:p>
            <w:pPr>
              <w:spacing w:line="280" w:lineRule="exact"/>
              <w:rPr>
                <w:rFonts w:ascii="宋体" w:hAnsi="宋体" w:cs="宋体"/>
                <w:szCs w:val="21"/>
              </w:rPr>
            </w:pPr>
            <w:r>
              <w:rPr>
                <w:rFonts w:hint="eastAsia" w:ascii="宋体" w:hAnsi="宋体" w:cs="宋体"/>
                <w:szCs w:val="21"/>
              </w:rPr>
              <w:t>1.各种防护器具都应设置专柜，并定点存放在安全、方便的地方；</w:t>
            </w:r>
          </w:p>
          <w:p>
            <w:pPr>
              <w:spacing w:line="280" w:lineRule="exact"/>
              <w:rPr>
                <w:rFonts w:ascii="宋体" w:hAnsi="宋体" w:cs="宋体"/>
                <w:szCs w:val="21"/>
              </w:rPr>
            </w:pPr>
            <w:r>
              <w:rPr>
                <w:rFonts w:hint="eastAsia" w:ascii="宋体" w:hAnsi="宋体" w:cs="宋体"/>
                <w:szCs w:val="21"/>
              </w:rPr>
              <w:t>2.专人负责保管防护器具专柜；</w:t>
            </w:r>
          </w:p>
          <w:p>
            <w:pPr>
              <w:spacing w:line="280" w:lineRule="exact"/>
              <w:rPr>
                <w:rFonts w:ascii="宋体" w:hAnsi="宋体" w:cs="宋体"/>
                <w:szCs w:val="21"/>
              </w:rPr>
            </w:pPr>
            <w:r>
              <w:rPr>
                <w:rFonts w:hint="eastAsia" w:ascii="宋体" w:hAnsi="宋体" w:cs="宋体"/>
                <w:szCs w:val="21"/>
              </w:rPr>
              <w:t>3.定期校验和维护防护器具；</w:t>
            </w:r>
          </w:p>
          <w:p>
            <w:pPr>
              <w:spacing w:line="280" w:lineRule="exact"/>
              <w:rPr>
                <w:rFonts w:ascii="宋体" w:hAnsi="宋体" w:cs="宋体"/>
                <w:szCs w:val="21"/>
              </w:rPr>
            </w:pPr>
            <w:r>
              <w:rPr>
                <w:rFonts w:hint="eastAsia" w:ascii="宋体" w:hAnsi="宋体" w:cs="宋体"/>
                <w:szCs w:val="21"/>
              </w:rPr>
              <w:t>4.防护器具校验后的记录、铅封。</w:t>
            </w:r>
          </w:p>
        </w:tc>
        <w:tc>
          <w:tcPr>
            <w:tcW w:w="2268" w:type="dxa"/>
          </w:tcPr>
          <w:p>
            <w:pPr>
              <w:spacing w:line="280" w:lineRule="exact"/>
              <w:rPr>
                <w:rFonts w:ascii="宋体" w:hAnsi="宋体" w:cs="宋体"/>
                <w:szCs w:val="21"/>
              </w:rPr>
            </w:pPr>
            <w:r>
              <w:rPr>
                <w:rFonts w:hint="eastAsia" w:ascii="宋体" w:hAnsi="宋体" w:cs="宋体"/>
                <w:szCs w:val="21"/>
              </w:rPr>
              <w:t>现场检查：</w:t>
            </w:r>
          </w:p>
          <w:p>
            <w:pPr>
              <w:spacing w:line="280" w:lineRule="exact"/>
              <w:rPr>
                <w:rFonts w:ascii="宋体" w:hAnsi="宋体" w:cs="宋体"/>
                <w:szCs w:val="21"/>
              </w:rPr>
            </w:pPr>
            <w:r>
              <w:rPr>
                <w:rFonts w:hint="eastAsia" w:ascii="宋体" w:hAnsi="宋体" w:cs="宋体"/>
                <w:szCs w:val="21"/>
              </w:rPr>
              <w:t>1.防护器具配备是否正确、齐全；</w:t>
            </w:r>
          </w:p>
          <w:p>
            <w:pPr>
              <w:spacing w:line="280" w:lineRule="exact"/>
              <w:rPr>
                <w:rFonts w:ascii="宋体" w:hAnsi="宋体" w:cs="宋体"/>
                <w:szCs w:val="21"/>
              </w:rPr>
            </w:pPr>
            <w:r>
              <w:rPr>
                <w:rFonts w:hint="eastAsia" w:ascii="宋体" w:hAnsi="宋体" w:cs="宋体"/>
                <w:szCs w:val="21"/>
              </w:rPr>
              <w:t>2.防护器具专柜存放地点是否安全、方便；</w:t>
            </w:r>
          </w:p>
          <w:p>
            <w:pPr>
              <w:spacing w:line="280" w:lineRule="exact"/>
              <w:rPr>
                <w:rFonts w:ascii="宋体" w:hAnsi="宋体" w:cs="宋体"/>
                <w:szCs w:val="21"/>
              </w:rPr>
            </w:pPr>
            <w:r>
              <w:rPr>
                <w:rFonts w:hint="eastAsia" w:ascii="宋体" w:hAnsi="宋体" w:cs="宋体"/>
                <w:szCs w:val="21"/>
              </w:rPr>
              <w:t>3.防护器具定期校验、维护，并记录和铅封。</w:t>
            </w:r>
          </w:p>
        </w:tc>
        <w:tc>
          <w:tcPr>
            <w:tcW w:w="1701" w:type="dxa"/>
          </w:tcPr>
          <w:p>
            <w:pPr>
              <w:spacing w:line="280" w:lineRule="exact"/>
              <w:rPr>
                <w:rFonts w:ascii="宋体" w:hAnsi="宋体" w:cs="宋体"/>
                <w:szCs w:val="21"/>
              </w:rPr>
            </w:pPr>
          </w:p>
        </w:tc>
        <w:tc>
          <w:tcPr>
            <w:tcW w:w="2268" w:type="dxa"/>
          </w:tcPr>
          <w:p>
            <w:pPr>
              <w:spacing w:line="280" w:lineRule="exact"/>
              <w:rPr>
                <w:rFonts w:ascii="宋体" w:hAnsi="宋体" w:cs="宋体"/>
                <w:szCs w:val="21"/>
              </w:rPr>
            </w:pPr>
            <w:r>
              <w:rPr>
                <w:rFonts w:hint="eastAsia" w:ascii="宋体" w:hAnsi="宋体" w:cs="宋体"/>
                <w:szCs w:val="21"/>
              </w:rPr>
              <w:t>1.未设置防护器具专柜或不符合要求，一处扣2分；</w:t>
            </w:r>
          </w:p>
          <w:p>
            <w:pPr>
              <w:spacing w:line="280" w:lineRule="exact"/>
              <w:rPr>
                <w:rFonts w:ascii="宋体" w:hAnsi="宋体" w:cs="宋体"/>
                <w:szCs w:val="21"/>
              </w:rPr>
            </w:pPr>
            <w:r>
              <w:rPr>
                <w:rFonts w:hint="eastAsia" w:ascii="宋体" w:hAnsi="宋体" w:cs="宋体"/>
                <w:szCs w:val="21"/>
              </w:rPr>
              <w:t>2.防护器具专柜存放地点不符合要求，一处扣2分；</w:t>
            </w:r>
          </w:p>
          <w:p>
            <w:pPr>
              <w:spacing w:line="280" w:lineRule="exact"/>
              <w:rPr>
                <w:rFonts w:ascii="宋体" w:hAnsi="宋体" w:cs="宋体"/>
                <w:szCs w:val="21"/>
              </w:rPr>
            </w:pPr>
            <w:r>
              <w:rPr>
                <w:rFonts w:hint="eastAsia" w:ascii="宋体" w:hAnsi="宋体" w:cs="宋体"/>
                <w:szCs w:val="21"/>
              </w:rPr>
              <w:t>3.无专人管理防护器具专柜，一处扣1分；</w:t>
            </w:r>
          </w:p>
          <w:p>
            <w:pPr>
              <w:spacing w:line="280" w:lineRule="exact"/>
              <w:rPr>
                <w:rFonts w:ascii="宋体" w:hAnsi="宋体" w:cs="宋体"/>
                <w:szCs w:val="21"/>
              </w:rPr>
            </w:pPr>
            <w:r>
              <w:rPr>
                <w:rFonts w:hint="eastAsia" w:ascii="宋体" w:hAnsi="宋体" w:cs="宋体"/>
                <w:szCs w:val="21"/>
              </w:rPr>
              <w:t>4.防护器具未定期校验和维护，一项扣1分；校验和维护记录、铅封不符合要求，一项扣1分。</w:t>
            </w:r>
          </w:p>
        </w:tc>
        <w:tc>
          <w:tcPr>
            <w:tcW w:w="1165" w:type="dxa"/>
            <w:vAlign w:val="center"/>
          </w:tcPr>
          <w:p>
            <w:pPr>
              <w:spacing w:line="280" w:lineRule="exact"/>
              <w:jc w:val="center"/>
              <w:rPr>
                <w:rFonts w:ascii="宋体" w:hAnsi="宋体" w:cs="宋体"/>
                <w:szCs w:val="21"/>
              </w:rPr>
            </w:pPr>
            <w:r>
              <w:rPr>
                <w:rFonts w:hint="eastAsia" w:ascii="宋体" w:hAnsi="宋体" w:cs="宋体"/>
                <w:szCs w:val="21"/>
              </w:rPr>
              <w:t>符合要求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771" w:type="dxa"/>
            <w:vMerge w:val="continue"/>
          </w:tcPr>
          <w:p>
            <w:pPr>
              <w:spacing w:line="280" w:lineRule="exact"/>
              <w:rPr>
                <w:rFonts w:ascii="宋体" w:hAnsi="宋体" w:cs="宋体"/>
                <w:b/>
                <w:bCs/>
                <w:szCs w:val="21"/>
              </w:rPr>
            </w:pPr>
          </w:p>
        </w:tc>
        <w:tc>
          <w:tcPr>
            <w:tcW w:w="709" w:type="dxa"/>
            <w:vMerge w:val="continue"/>
          </w:tcPr>
          <w:p>
            <w:pPr>
              <w:spacing w:line="280" w:lineRule="exact"/>
              <w:rPr>
                <w:rFonts w:ascii="宋体" w:hAnsi="宋体" w:cs="宋体"/>
                <w:b/>
                <w:bCs/>
                <w:szCs w:val="21"/>
              </w:rPr>
            </w:pPr>
          </w:p>
        </w:tc>
        <w:tc>
          <w:tcPr>
            <w:tcW w:w="2409" w:type="dxa"/>
          </w:tcPr>
          <w:p>
            <w:pPr>
              <w:spacing w:line="280" w:lineRule="exact"/>
              <w:rPr>
                <w:rFonts w:ascii="宋体" w:hAnsi="宋体" w:cs="宋体"/>
                <w:szCs w:val="21"/>
              </w:rPr>
            </w:pPr>
            <w:r>
              <w:rPr>
                <w:rFonts w:hint="eastAsia" w:ascii="宋体" w:hAnsi="宋体" w:cs="宋体"/>
                <w:szCs w:val="21"/>
              </w:rPr>
              <w:t>3.企业应建立职业卫生防护设施及个体防护用品管理台账，加强对劳动防护用品使用情况的检查监督，凡不按规定使用劳动防护用品者不得上岗作业。</w:t>
            </w:r>
          </w:p>
        </w:tc>
        <w:tc>
          <w:tcPr>
            <w:tcW w:w="2268" w:type="dxa"/>
          </w:tcPr>
          <w:p>
            <w:pPr>
              <w:spacing w:line="280" w:lineRule="exact"/>
              <w:rPr>
                <w:rFonts w:ascii="宋体" w:hAnsi="宋体" w:cs="宋体"/>
                <w:szCs w:val="21"/>
              </w:rPr>
            </w:pPr>
            <w:r>
              <w:rPr>
                <w:rFonts w:hint="eastAsia" w:ascii="宋体" w:hAnsi="宋体" w:cs="宋体"/>
                <w:szCs w:val="21"/>
              </w:rPr>
              <w:t>1.建立职业卫生防护设施及个体防护用品管理台账；</w:t>
            </w:r>
          </w:p>
          <w:p>
            <w:pPr>
              <w:spacing w:line="280" w:lineRule="exact"/>
              <w:rPr>
                <w:rFonts w:ascii="宋体" w:hAnsi="宋体" w:cs="宋体"/>
                <w:szCs w:val="21"/>
              </w:rPr>
            </w:pPr>
            <w:r>
              <w:rPr>
                <w:rFonts w:hint="eastAsia" w:ascii="宋体" w:hAnsi="宋体" w:cs="宋体"/>
                <w:szCs w:val="21"/>
              </w:rPr>
              <w:t>2.加强对劳动防护用品使用情况的检查监督，凡不按规定使用劳动防护用品者不得上岗作业。</w:t>
            </w:r>
          </w:p>
        </w:tc>
        <w:tc>
          <w:tcPr>
            <w:tcW w:w="2268" w:type="dxa"/>
          </w:tcPr>
          <w:p>
            <w:pPr>
              <w:spacing w:line="280" w:lineRule="exact"/>
              <w:rPr>
                <w:rFonts w:ascii="宋体" w:hAnsi="宋体" w:cs="宋体"/>
                <w:szCs w:val="21"/>
              </w:rPr>
            </w:pPr>
            <w:r>
              <w:rPr>
                <w:rFonts w:hint="eastAsia" w:ascii="宋体" w:hAnsi="宋体" w:cs="宋体"/>
                <w:szCs w:val="21"/>
              </w:rPr>
              <w:t>查文件：</w:t>
            </w:r>
          </w:p>
          <w:p>
            <w:pPr>
              <w:spacing w:line="280" w:lineRule="exact"/>
              <w:rPr>
                <w:rFonts w:ascii="宋体" w:hAnsi="宋体" w:cs="宋体"/>
                <w:szCs w:val="21"/>
              </w:rPr>
            </w:pPr>
            <w:r>
              <w:rPr>
                <w:rFonts w:hint="eastAsia" w:ascii="宋体" w:hAnsi="宋体" w:cs="宋体"/>
                <w:szCs w:val="21"/>
              </w:rPr>
              <w:t>1.职业卫生防护设施台账；</w:t>
            </w:r>
          </w:p>
          <w:p>
            <w:pPr>
              <w:spacing w:line="280" w:lineRule="exact"/>
              <w:rPr>
                <w:rFonts w:ascii="宋体" w:hAnsi="宋体" w:cs="宋体"/>
                <w:szCs w:val="21"/>
              </w:rPr>
            </w:pPr>
            <w:r>
              <w:rPr>
                <w:rFonts w:hint="eastAsia" w:ascii="宋体" w:hAnsi="宋体" w:cs="宋体"/>
                <w:szCs w:val="21"/>
              </w:rPr>
              <w:t>2.个体防护用品台账。</w:t>
            </w:r>
          </w:p>
          <w:p>
            <w:pPr>
              <w:spacing w:line="280" w:lineRule="exact"/>
              <w:rPr>
                <w:rFonts w:ascii="宋体" w:hAnsi="宋体" w:cs="宋体"/>
                <w:szCs w:val="21"/>
              </w:rPr>
            </w:pPr>
            <w:r>
              <w:rPr>
                <w:rFonts w:hint="eastAsia" w:ascii="宋体" w:hAnsi="宋体" w:cs="宋体"/>
                <w:szCs w:val="21"/>
              </w:rPr>
              <w:t>现场检查：</w:t>
            </w:r>
          </w:p>
          <w:p>
            <w:pPr>
              <w:spacing w:line="280" w:lineRule="exact"/>
              <w:rPr>
                <w:rFonts w:ascii="宋体" w:hAnsi="宋体" w:cs="宋体"/>
                <w:szCs w:val="21"/>
              </w:rPr>
            </w:pPr>
            <w:r>
              <w:rPr>
                <w:rFonts w:hint="eastAsia" w:ascii="宋体" w:hAnsi="宋体" w:cs="宋体"/>
                <w:szCs w:val="21"/>
              </w:rPr>
              <w:t>作业人员是否按规定使用个体防护用品。</w:t>
            </w:r>
          </w:p>
        </w:tc>
        <w:tc>
          <w:tcPr>
            <w:tcW w:w="1701" w:type="dxa"/>
          </w:tcPr>
          <w:p>
            <w:pPr>
              <w:spacing w:line="280" w:lineRule="exact"/>
              <w:rPr>
                <w:rFonts w:ascii="宋体" w:hAnsi="宋体" w:cs="宋体"/>
                <w:szCs w:val="21"/>
              </w:rPr>
            </w:pPr>
          </w:p>
        </w:tc>
        <w:tc>
          <w:tcPr>
            <w:tcW w:w="2268" w:type="dxa"/>
          </w:tcPr>
          <w:p>
            <w:pPr>
              <w:spacing w:line="280" w:lineRule="exact"/>
              <w:rPr>
                <w:rFonts w:ascii="宋体" w:hAnsi="宋体" w:cs="宋体"/>
                <w:szCs w:val="21"/>
              </w:rPr>
            </w:pPr>
            <w:r>
              <w:rPr>
                <w:rFonts w:hint="eastAsia" w:ascii="宋体" w:hAnsi="宋体" w:cs="宋体"/>
                <w:szCs w:val="21"/>
              </w:rPr>
              <w:t>1.未建立职业卫生防护设施管理台账，扣5分；</w:t>
            </w:r>
          </w:p>
          <w:p>
            <w:pPr>
              <w:spacing w:line="280" w:lineRule="exact"/>
              <w:rPr>
                <w:rFonts w:ascii="宋体" w:hAnsi="宋体" w:cs="宋体"/>
                <w:szCs w:val="21"/>
              </w:rPr>
            </w:pPr>
            <w:r>
              <w:rPr>
                <w:rFonts w:hint="eastAsia" w:ascii="宋体" w:hAnsi="宋体" w:cs="宋体"/>
                <w:szCs w:val="21"/>
              </w:rPr>
              <w:t>2.未建立个体防护用品管理台账，扣5分；</w:t>
            </w:r>
          </w:p>
          <w:p>
            <w:pPr>
              <w:spacing w:line="280" w:lineRule="exact"/>
              <w:rPr>
                <w:rFonts w:ascii="宋体" w:hAnsi="宋体" w:cs="宋体"/>
                <w:szCs w:val="21"/>
              </w:rPr>
            </w:pPr>
            <w:r>
              <w:rPr>
                <w:rFonts w:hint="eastAsia" w:ascii="宋体" w:hAnsi="宋体" w:cs="宋体"/>
                <w:szCs w:val="21"/>
              </w:rPr>
              <w:t>3.台账内容不符合要求，一项扣1；</w:t>
            </w:r>
          </w:p>
          <w:p>
            <w:pPr>
              <w:spacing w:line="280" w:lineRule="exact"/>
              <w:rPr>
                <w:rFonts w:ascii="宋体" w:hAnsi="宋体" w:cs="宋体"/>
                <w:szCs w:val="21"/>
              </w:rPr>
            </w:pPr>
            <w:r>
              <w:rPr>
                <w:rFonts w:hint="eastAsia" w:ascii="宋体" w:hAnsi="宋体" w:cs="宋体"/>
                <w:szCs w:val="21"/>
              </w:rPr>
              <w:t>4.未按规定使用个体防护用品上岗作业，1人次扣2分。</w:t>
            </w:r>
          </w:p>
        </w:tc>
        <w:tc>
          <w:tcPr>
            <w:tcW w:w="1165" w:type="dxa"/>
            <w:vAlign w:val="center"/>
          </w:tcPr>
          <w:p>
            <w:pPr>
              <w:spacing w:line="280" w:lineRule="exact"/>
              <w:jc w:val="center"/>
              <w:rPr>
                <w:rFonts w:ascii="宋体" w:hAnsi="宋体" w:cs="宋体"/>
                <w:szCs w:val="21"/>
              </w:rPr>
            </w:pPr>
            <w:r>
              <w:rPr>
                <w:rFonts w:hint="eastAsia" w:ascii="宋体" w:hAnsi="宋体" w:cs="宋体"/>
                <w:szCs w:val="21"/>
              </w:rPr>
              <w:t>符合要求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771" w:type="dxa"/>
            <w:vMerge w:val="restart"/>
          </w:tcPr>
          <w:p>
            <w:pPr>
              <w:spacing w:line="280" w:lineRule="exact"/>
              <w:rPr>
                <w:rFonts w:ascii="宋体" w:hAnsi="宋体" w:cs="宋体"/>
                <w:b/>
                <w:bCs/>
                <w:szCs w:val="21"/>
              </w:rPr>
            </w:pPr>
            <w:r>
              <w:rPr>
                <w:rFonts w:hint="eastAsia" w:ascii="宋体" w:hAnsi="宋体" w:cs="宋体"/>
                <w:b/>
                <w:bCs/>
                <w:szCs w:val="21"/>
              </w:rPr>
              <w:t>9 危险化学品管理</w:t>
            </w:r>
          </w:p>
          <w:p>
            <w:pPr>
              <w:spacing w:line="280" w:lineRule="exact"/>
              <w:rPr>
                <w:rFonts w:ascii="宋体" w:hAnsi="宋体" w:cs="宋体"/>
                <w:b/>
                <w:bCs/>
                <w:szCs w:val="21"/>
              </w:rPr>
            </w:pPr>
            <w:r>
              <w:rPr>
                <w:rFonts w:hint="eastAsia" w:ascii="宋体" w:hAnsi="宋体" w:cs="宋体"/>
                <w:b/>
                <w:bCs/>
                <w:szCs w:val="21"/>
              </w:rPr>
              <w:t>（100分）</w:t>
            </w:r>
          </w:p>
          <w:p>
            <w:pPr>
              <w:spacing w:line="280" w:lineRule="exact"/>
              <w:rPr>
                <w:rFonts w:ascii="宋体" w:hAnsi="宋体" w:cs="宋体"/>
                <w:b/>
                <w:bCs/>
                <w:szCs w:val="21"/>
              </w:rPr>
            </w:pPr>
          </w:p>
          <w:p>
            <w:pPr>
              <w:spacing w:line="280" w:lineRule="exact"/>
              <w:rPr>
                <w:rFonts w:ascii="宋体" w:hAnsi="宋体" w:cs="宋体"/>
                <w:b/>
                <w:bCs/>
                <w:szCs w:val="21"/>
              </w:rPr>
            </w:pPr>
          </w:p>
        </w:tc>
        <w:tc>
          <w:tcPr>
            <w:tcW w:w="709" w:type="dxa"/>
          </w:tcPr>
          <w:p>
            <w:pPr>
              <w:spacing w:line="280" w:lineRule="exact"/>
              <w:rPr>
                <w:rFonts w:ascii="宋体" w:hAnsi="宋体" w:cs="宋体"/>
                <w:b/>
                <w:bCs/>
                <w:szCs w:val="21"/>
              </w:rPr>
            </w:pPr>
            <w:r>
              <w:rPr>
                <w:rFonts w:hint="eastAsia" w:ascii="宋体" w:hAnsi="宋体" w:cs="宋体"/>
                <w:b/>
                <w:bCs/>
                <w:szCs w:val="21"/>
              </w:rPr>
              <w:t>9.1</w:t>
            </w:r>
          </w:p>
          <w:p>
            <w:pPr>
              <w:spacing w:line="280" w:lineRule="exact"/>
              <w:rPr>
                <w:rFonts w:ascii="宋体" w:hAnsi="宋体" w:cs="宋体"/>
                <w:b/>
                <w:bCs/>
                <w:szCs w:val="21"/>
              </w:rPr>
            </w:pPr>
            <w:r>
              <w:rPr>
                <w:rFonts w:hint="eastAsia" w:ascii="宋体" w:hAnsi="宋体" w:cs="宋体"/>
                <w:b/>
                <w:bCs/>
                <w:szCs w:val="21"/>
              </w:rPr>
              <w:t>危险化学品档案</w:t>
            </w:r>
          </w:p>
          <w:p>
            <w:pPr>
              <w:spacing w:line="280" w:lineRule="exact"/>
              <w:rPr>
                <w:rFonts w:ascii="宋体" w:hAnsi="宋体" w:cs="宋体"/>
                <w:b/>
                <w:bCs/>
                <w:szCs w:val="21"/>
              </w:rPr>
            </w:pPr>
            <w:r>
              <w:rPr>
                <w:rFonts w:hint="eastAsia" w:ascii="宋体" w:hAnsi="宋体" w:cs="宋体"/>
                <w:b/>
                <w:bCs/>
                <w:szCs w:val="21"/>
              </w:rPr>
              <w:t>（10分）</w:t>
            </w:r>
          </w:p>
        </w:tc>
        <w:tc>
          <w:tcPr>
            <w:tcW w:w="2409" w:type="dxa"/>
          </w:tcPr>
          <w:p>
            <w:pPr>
              <w:spacing w:line="280" w:lineRule="exact"/>
              <w:rPr>
                <w:rFonts w:ascii="宋体" w:hAnsi="宋体" w:cs="宋体"/>
                <w:szCs w:val="21"/>
              </w:rPr>
            </w:pPr>
            <w:r>
              <w:rPr>
                <w:rFonts w:hint="eastAsia" w:ascii="宋体" w:hAnsi="宋体" w:cs="宋体"/>
                <w:szCs w:val="21"/>
              </w:rPr>
              <w:t>企业应对所有危险化学品，包括产品、原料和中间产品进行普查，建立危险化学品档案。</w:t>
            </w:r>
          </w:p>
        </w:tc>
        <w:tc>
          <w:tcPr>
            <w:tcW w:w="2268" w:type="dxa"/>
          </w:tcPr>
          <w:p>
            <w:pPr>
              <w:spacing w:line="280" w:lineRule="exact"/>
              <w:rPr>
                <w:rFonts w:ascii="宋体" w:hAnsi="宋体" w:cs="宋体"/>
                <w:szCs w:val="21"/>
              </w:rPr>
            </w:pPr>
            <w:r>
              <w:rPr>
                <w:rFonts w:hint="eastAsia" w:ascii="宋体" w:hAnsi="宋体" w:cs="宋体"/>
                <w:szCs w:val="21"/>
              </w:rPr>
              <w:t>1.对所有危险化学品进行普查；</w:t>
            </w:r>
          </w:p>
          <w:p>
            <w:pPr>
              <w:spacing w:line="280" w:lineRule="exact"/>
              <w:rPr>
                <w:rFonts w:ascii="宋体" w:hAnsi="宋体" w:cs="宋体"/>
                <w:szCs w:val="21"/>
              </w:rPr>
            </w:pPr>
            <w:r>
              <w:rPr>
                <w:rFonts w:hint="eastAsia" w:ascii="宋体" w:hAnsi="宋体" w:cs="宋体"/>
                <w:szCs w:val="21"/>
              </w:rPr>
              <w:t>2.建立危险化学品档案，内容包括：名称及存放、生产、使用地点；数量、危险性分类、危规号、包装类别、登记号、危险化学品安全技术说明书和安全标签（以下简称“一书一签”）等。</w:t>
            </w:r>
          </w:p>
        </w:tc>
        <w:tc>
          <w:tcPr>
            <w:tcW w:w="2268" w:type="dxa"/>
          </w:tcPr>
          <w:p>
            <w:pPr>
              <w:spacing w:line="280" w:lineRule="exact"/>
              <w:rPr>
                <w:rFonts w:ascii="宋体" w:hAnsi="宋体" w:cs="宋体"/>
                <w:szCs w:val="21"/>
              </w:rPr>
            </w:pPr>
            <w:r>
              <w:rPr>
                <w:rFonts w:hint="eastAsia" w:ascii="宋体" w:hAnsi="宋体" w:cs="宋体"/>
                <w:szCs w:val="21"/>
              </w:rPr>
              <w:t>查文件：</w:t>
            </w:r>
          </w:p>
          <w:p>
            <w:pPr>
              <w:spacing w:line="280" w:lineRule="exact"/>
              <w:rPr>
                <w:rFonts w:ascii="宋体" w:hAnsi="宋体" w:cs="宋体"/>
                <w:szCs w:val="21"/>
              </w:rPr>
            </w:pPr>
            <w:r>
              <w:rPr>
                <w:rFonts w:hint="eastAsia" w:ascii="宋体" w:hAnsi="宋体" w:cs="宋体"/>
                <w:szCs w:val="21"/>
              </w:rPr>
              <w:t>1.化学品普查表；</w:t>
            </w:r>
          </w:p>
          <w:p>
            <w:pPr>
              <w:spacing w:line="280" w:lineRule="exact"/>
              <w:rPr>
                <w:rFonts w:ascii="宋体" w:hAnsi="宋体" w:cs="宋体"/>
                <w:szCs w:val="21"/>
              </w:rPr>
            </w:pPr>
            <w:r>
              <w:rPr>
                <w:rFonts w:hint="eastAsia" w:ascii="宋体" w:hAnsi="宋体" w:cs="宋体"/>
                <w:szCs w:val="21"/>
              </w:rPr>
              <w:t>2.危险化学品档案。</w:t>
            </w:r>
          </w:p>
          <w:p>
            <w:pPr>
              <w:spacing w:line="280" w:lineRule="exact"/>
              <w:rPr>
                <w:rFonts w:ascii="宋体" w:hAnsi="宋体" w:cs="宋体"/>
                <w:szCs w:val="21"/>
              </w:rPr>
            </w:pPr>
            <w:r>
              <w:rPr>
                <w:rFonts w:hint="eastAsia" w:ascii="宋体" w:hAnsi="宋体" w:cs="宋体"/>
                <w:szCs w:val="21"/>
              </w:rPr>
              <w:t>现场检查：</w:t>
            </w:r>
          </w:p>
          <w:p>
            <w:pPr>
              <w:spacing w:line="280" w:lineRule="exact"/>
              <w:rPr>
                <w:rFonts w:ascii="宋体" w:hAnsi="宋体" w:cs="宋体"/>
                <w:szCs w:val="21"/>
              </w:rPr>
            </w:pPr>
            <w:r>
              <w:rPr>
                <w:rFonts w:hint="eastAsia" w:ascii="宋体" w:hAnsi="宋体" w:cs="宋体"/>
                <w:szCs w:val="21"/>
              </w:rPr>
              <w:t>危险化学品储存情况。</w:t>
            </w:r>
          </w:p>
        </w:tc>
        <w:tc>
          <w:tcPr>
            <w:tcW w:w="1701" w:type="dxa"/>
          </w:tcPr>
          <w:p>
            <w:pPr>
              <w:spacing w:line="280" w:lineRule="exact"/>
              <w:rPr>
                <w:rFonts w:ascii="宋体" w:hAnsi="宋体" w:cs="宋体"/>
                <w:szCs w:val="21"/>
              </w:rPr>
            </w:pPr>
            <w:r>
              <w:rPr>
                <w:rFonts w:hint="eastAsia" w:ascii="宋体" w:hAnsi="宋体" w:cs="宋体"/>
                <w:szCs w:val="21"/>
              </w:rPr>
              <w:t>未进行危险化学品普查，扣10分（B级要素否决项）。</w:t>
            </w:r>
          </w:p>
        </w:tc>
        <w:tc>
          <w:tcPr>
            <w:tcW w:w="2268" w:type="dxa"/>
          </w:tcPr>
          <w:p>
            <w:pPr>
              <w:spacing w:line="280" w:lineRule="exact"/>
              <w:rPr>
                <w:rFonts w:ascii="宋体" w:hAnsi="宋体" w:cs="宋体"/>
                <w:szCs w:val="21"/>
              </w:rPr>
            </w:pPr>
            <w:r>
              <w:rPr>
                <w:rFonts w:hint="eastAsia" w:ascii="宋体" w:hAnsi="宋体" w:cs="宋体"/>
                <w:szCs w:val="21"/>
              </w:rPr>
              <w:t>1.每漏查1种扣1分；</w:t>
            </w:r>
          </w:p>
          <w:p>
            <w:pPr>
              <w:spacing w:line="280" w:lineRule="exact"/>
              <w:rPr>
                <w:rFonts w:ascii="宋体" w:hAnsi="宋体" w:cs="宋体"/>
                <w:szCs w:val="21"/>
              </w:rPr>
            </w:pPr>
            <w:r>
              <w:rPr>
                <w:rFonts w:hint="eastAsia" w:ascii="宋体" w:hAnsi="宋体" w:cs="宋体"/>
                <w:szCs w:val="21"/>
              </w:rPr>
              <w:t>2.未建立危险化学品档案扣5分；档案内容，一项不符合扣1分。</w:t>
            </w:r>
          </w:p>
        </w:tc>
        <w:tc>
          <w:tcPr>
            <w:tcW w:w="1165" w:type="dxa"/>
            <w:vAlign w:val="center"/>
          </w:tcPr>
          <w:p>
            <w:pPr>
              <w:spacing w:line="280" w:lineRule="exact"/>
              <w:jc w:val="center"/>
              <w:rPr>
                <w:rFonts w:ascii="宋体" w:hAnsi="宋体" w:cs="宋体"/>
                <w:szCs w:val="21"/>
              </w:rPr>
            </w:pPr>
            <w:r>
              <w:rPr>
                <w:rFonts w:hint="eastAsia" w:ascii="宋体" w:hAnsi="宋体" w:cs="宋体"/>
                <w:szCs w:val="21"/>
              </w:rPr>
              <w:t>符合要求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771" w:type="dxa"/>
            <w:vMerge w:val="continue"/>
          </w:tcPr>
          <w:p>
            <w:pPr>
              <w:spacing w:line="280" w:lineRule="exact"/>
              <w:rPr>
                <w:rFonts w:ascii="宋体" w:hAnsi="宋体" w:cs="宋体"/>
                <w:b/>
                <w:bCs/>
                <w:szCs w:val="21"/>
              </w:rPr>
            </w:pPr>
          </w:p>
        </w:tc>
        <w:tc>
          <w:tcPr>
            <w:tcW w:w="709" w:type="dxa"/>
          </w:tcPr>
          <w:p>
            <w:pPr>
              <w:spacing w:line="280" w:lineRule="exact"/>
              <w:rPr>
                <w:rFonts w:ascii="宋体" w:hAnsi="宋体" w:cs="宋体"/>
                <w:b/>
                <w:bCs/>
                <w:szCs w:val="21"/>
              </w:rPr>
            </w:pPr>
            <w:r>
              <w:rPr>
                <w:rFonts w:hint="eastAsia" w:ascii="宋体" w:hAnsi="宋体" w:cs="宋体"/>
                <w:b/>
                <w:bCs/>
                <w:szCs w:val="21"/>
              </w:rPr>
              <w:t>9.2</w:t>
            </w:r>
          </w:p>
          <w:p>
            <w:pPr>
              <w:spacing w:line="280" w:lineRule="exact"/>
              <w:rPr>
                <w:rFonts w:ascii="宋体" w:hAnsi="宋体" w:cs="宋体"/>
                <w:b/>
                <w:bCs/>
                <w:szCs w:val="21"/>
              </w:rPr>
            </w:pPr>
            <w:r>
              <w:rPr>
                <w:rFonts w:hint="eastAsia" w:ascii="宋体" w:hAnsi="宋体" w:cs="宋体"/>
                <w:b/>
                <w:bCs/>
                <w:szCs w:val="21"/>
              </w:rPr>
              <w:t>化学品分类</w:t>
            </w:r>
          </w:p>
          <w:p>
            <w:pPr>
              <w:spacing w:line="280" w:lineRule="exact"/>
              <w:rPr>
                <w:rFonts w:ascii="宋体" w:hAnsi="宋体" w:cs="宋体"/>
                <w:b/>
                <w:bCs/>
                <w:szCs w:val="21"/>
              </w:rPr>
            </w:pPr>
            <w:r>
              <w:rPr>
                <w:rFonts w:hint="eastAsia" w:ascii="宋体" w:hAnsi="宋体" w:cs="宋体"/>
                <w:b/>
                <w:bCs/>
                <w:szCs w:val="21"/>
              </w:rPr>
              <w:t>（10分）</w:t>
            </w:r>
          </w:p>
        </w:tc>
        <w:tc>
          <w:tcPr>
            <w:tcW w:w="2409" w:type="dxa"/>
          </w:tcPr>
          <w:p>
            <w:pPr>
              <w:spacing w:line="280" w:lineRule="exact"/>
              <w:rPr>
                <w:rFonts w:ascii="宋体" w:hAnsi="宋体" w:cs="宋体"/>
                <w:szCs w:val="21"/>
              </w:rPr>
            </w:pPr>
            <w:r>
              <w:rPr>
                <w:rFonts w:hint="eastAsia" w:ascii="宋体" w:hAnsi="宋体" w:cs="宋体"/>
                <w:szCs w:val="21"/>
              </w:rPr>
              <w:t>企业应按照国家有关规定对其产品、所有中间产品进行分类，并将分类结果汇入危险化学品档案。</w:t>
            </w:r>
          </w:p>
        </w:tc>
        <w:tc>
          <w:tcPr>
            <w:tcW w:w="2268" w:type="dxa"/>
          </w:tcPr>
          <w:p>
            <w:pPr>
              <w:spacing w:line="280" w:lineRule="exact"/>
              <w:rPr>
                <w:rFonts w:ascii="宋体" w:hAnsi="宋体" w:cs="宋体"/>
                <w:szCs w:val="21"/>
              </w:rPr>
            </w:pPr>
            <w:r>
              <w:rPr>
                <w:rFonts w:hint="eastAsia" w:ascii="宋体" w:hAnsi="宋体" w:cs="宋体"/>
                <w:szCs w:val="21"/>
              </w:rPr>
              <w:t>1.对产品、所有中间产品进行危险性鉴别与分类，并将分类结果汇入危险化学品档案；</w:t>
            </w:r>
          </w:p>
          <w:p>
            <w:pPr>
              <w:spacing w:line="280" w:lineRule="exact"/>
              <w:rPr>
                <w:rFonts w:ascii="宋体" w:hAnsi="宋体" w:cs="宋体"/>
                <w:szCs w:val="21"/>
              </w:rPr>
            </w:pPr>
            <w:r>
              <w:rPr>
                <w:rFonts w:hint="eastAsia" w:ascii="宋体" w:hAnsi="宋体" w:cs="宋体"/>
                <w:szCs w:val="21"/>
              </w:rPr>
              <w:t>2.化验室使用化学试剂应分类并建立清单。</w:t>
            </w:r>
          </w:p>
        </w:tc>
        <w:tc>
          <w:tcPr>
            <w:tcW w:w="2268" w:type="dxa"/>
          </w:tcPr>
          <w:p>
            <w:pPr>
              <w:spacing w:line="280" w:lineRule="exact"/>
              <w:rPr>
                <w:rFonts w:ascii="宋体" w:hAnsi="宋体" w:cs="宋体"/>
                <w:szCs w:val="21"/>
              </w:rPr>
            </w:pPr>
            <w:r>
              <w:rPr>
                <w:rFonts w:hint="eastAsia" w:ascii="宋体" w:hAnsi="宋体" w:cs="宋体"/>
                <w:szCs w:val="21"/>
              </w:rPr>
              <w:t>查文件：</w:t>
            </w:r>
          </w:p>
          <w:p>
            <w:pPr>
              <w:spacing w:line="280" w:lineRule="exact"/>
              <w:rPr>
                <w:rFonts w:ascii="宋体" w:hAnsi="宋体" w:cs="宋体"/>
                <w:szCs w:val="21"/>
              </w:rPr>
            </w:pPr>
            <w:r>
              <w:rPr>
                <w:rFonts w:hint="eastAsia" w:ascii="宋体" w:hAnsi="宋体" w:cs="宋体"/>
                <w:szCs w:val="21"/>
              </w:rPr>
              <w:t>1.化学品普查表；</w:t>
            </w:r>
          </w:p>
          <w:p>
            <w:pPr>
              <w:spacing w:line="280" w:lineRule="exact"/>
              <w:rPr>
                <w:rFonts w:ascii="宋体" w:hAnsi="宋体" w:cs="宋体"/>
                <w:szCs w:val="21"/>
              </w:rPr>
            </w:pPr>
            <w:r>
              <w:rPr>
                <w:rFonts w:hint="eastAsia" w:ascii="宋体" w:hAnsi="宋体" w:cs="宋体"/>
                <w:szCs w:val="21"/>
              </w:rPr>
              <w:t>2.化学品鉴别分类报告；</w:t>
            </w:r>
          </w:p>
          <w:p>
            <w:pPr>
              <w:spacing w:line="280" w:lineRule="exact"/>
              <w:rPr>
                <w:rFonts w:ascii="宋体" w:hAnsi="宋体" w:cs="宋体"/>
                <w:szCs w:val="21"/>
              </w:rPr>
            </w:pPr>
            <w:r>
              <w:rPr>
                <w:rFonts w:hint="eastAsia" w:ascii="宋体" w:hAnsi="宋体" w:cs="宋体"/>
                <w:szCs w:val="21"/>
              </w:rPr>
              <w:t>3.化验室化学试剂分类清单。</w:t>
            </w:r>
          </w:p>
        </w:tc>
        <w:tc>
          <w:tcPr>
            <w:tcW w:w="1701" w:type="dxa"/>
          </w:tcPr>
          <w:p>
            <w:pPr>
              <w:spacing w:line="280" w:lineRule="exact"/>
              <w:rPr>
                <w:rFonts w:ascii="宋体" w:hAnsi="宋体" w:cs="宋体"/>
                <w:szCs w:val="21"/>
              </w:rPr>
            </w:pPr>
          </w:p>
        </w:tc>
        <w:tc>
          <w:tcPr>
            <w:tcW w:w="2268" w:type="dxa"/>
          </w:tcPr>
          <w:p>
            <w:pPr>
              <w:spacing w:line="280" w:lineRule="exact"/>
              <w:rPr>
                <w:rFonts w:ascii="宋体" w:hAnsi="宋体" w:cs="宋体"/>
                <w:szCs w:val="21"/>
              </w:rPr>
            </w:pPr>
            <w:r>
              <w:rPr>
                <w:rFonts w:hint="eastAsia" w:ascii="宋体" w:hAnsi="宋体" w:cs="宋体"/>
                <w:szCs w:val="21"/>
              </w:rPr>
              <w:t>1.未按照国家规定进行分类，扣5分；每漏1种扣2分；</w:t>
            </w:r>
          </w:p>
          <w:p>
            <w:pPr>
              <w:spacing w:line="280" w:lineRule="exact"/>
              <w:rPr>
                <w:rFonts w:ascii="宋体" w:hAnsi="宋体" w:cs="宋体"/>
                <w:szCs w:val="21"/>
              </w:rPr>
            </w:pPr>
            <w:r>
              <w:rPr>
                <w:rFonts w:hint="eastAsia" w:ascii="宋体" w:hAnsi="宋体" w:cs="宋体"/>
                <w:szCs w:val="21"/>
              </w:rPr>
              <w:t>2．化验室无化学试剂分类清单，扣2分。</w:t>
            </w:r>
          </w:p>
        </w:tc>
        <w:tc>
          <w:tcPr>
            <w:tcW w:w="1165" w:type="dxa"/>
            <w:vAlign w:val="center"/>
          </w:tcPr>
          <w:p>
            <w:pPr>
              <w:spacing w:line="280" w:lineRule="exact"/>
              <w:jc w:val="center"/>
              <w:rPr>
                <w:rFonts w:ascii="宋体" w:hAnsi="宋体" w:cs="宋体"/>
                <w:szCs w:val="21"/>
              </w:rPr>
            </w:pPr>
            <w:r>
              <w:rPr>
                <w:rFonts w:hint="eastAsia" w:ascii="宋体" w:hAnsi="宋体" w:cs="宋体"/>
                <w:szCs w:val="21"/>
              </w:rPr>
              <w:t>化验室化学试剂分类清单不规范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771" w:type="dxa"/>
            <w:vMerge w:val="continue"/>
          </w:tcPr>
          <w:p>
            <w:pPr>
              <w:spacing w:line="280" w:lineRule="exact"/>
              <w:rPr>
                <w:rFonts w:ascii="宋体" w:hAnsi="宋体" w:cs="宋体"/>
                <w:b/>
                <w:bCs/>
                <w:szCs w:val="21"/>
              </w:rPr>
            </w:pPr>
          </w:p>
        </w:tc>
        <w:tc>
          <w:tcPr>
            <w:tcW w:w="709" w:type="dxa"/>
            <w:vMerge w:val="restart"/>
          </w:tcPr>
          <w:p>
            <w:pPr>
              <w:spacing w:line="280" w:lineRule="exact"/>
              <w:rPr>
                <w:rFonts w:ascii="宋体" w:hAnsi="宋体" w:cs="宋体"/>
                <w:b/>
                <w:bCs/>
                <w:szCs w:val="21"/>
              </w:rPr>
            </w:pPr>
            <w:r>
              <w:rPr>
                <w:rFonts w:hint="eastAsia" w:ascii="宋体" w:hAnsi="宋体" w:cs="宋体"/>
                <w:b/>
                <w:bCs/>
                <w:szCs w:val="21"/>
              </w:rPr>
              <w:t>9.3</w:t>
            </w:r>
          </w:p>
          <w:p>
            <w:pPr>
              <w:spacing w:line="280" w:lineRule="exact"/>
              <w:rPr>
                <w:rFonts w:ascii="宋体" w:hAnsi="宋体" w:cs="宋体"/>
                <w:b/>
                <w:bCs/>
                <w:szCs w:val="21"/>
              </w:rPr>
            </w:pPr>
            <w:r>
              <w:rPr>
                <w:rFonts w:hint="eastAsia" w:ascii="宋体" w:hAnsi="宋体" w:cs="宋体"/>
                <w:b/>
                <w:bCs/>
                <w:szCs w:val="21"/>
              </w:rPr>
              <w:t>化学品安全技术说明书和安全标签</w:t>
            </w:r>
          </w:p>
          <w:p>
            <w:pPr>
              <w:spacing w:line="280" w:lineRule="exact"/>
              <w:rPr>
                <w:rFonts w:ascii="宋体" w:hAnsi="宋体" w:cs="宋体"/>
                <w:b/>
                <w:bCs/>
                <w:szCs w:val="21"/>
              </w:rPr>
            </w:pPr>
            <w:r>
              <w:rPr>
                <w:rFonts w:hint="eastAsia" w:ascii="宋体" w:hAnsi="宋体" w:cs="宋体"/>
                <w:b/>
                <w:bCs/>
                <w:szCs w:val="21"/>
              </w:rPr>
              <w:t>（10分）</w:t>
            </w:r>
          </w:p>
          <w:p>
            <w:pPr>
              <w:spacing w:line="280" w:lineRule="exact"/>
              <w:rPr>
                <w:rFonts w:ascii="宋体" w:hAnsi="宋体" w:cs="宋体"/>
                <w:b/>
                <w:bCs/>
                <w:szCs w:val="21"/>
              </w:rPr>
            </w:pPr>
          </w:p>
          <w:p>
            <w:pPr>
              <w:spacing w:line="280" w:lineRule="exact"/>
              <w:rPr>
                <w:rFonts w:ascii="宋体" w:hAnsi="宋体" w:cs="宋体"/>
                <w:b/>
                <w:bCs/>
                <w:szCs w:val="21"/>
              </w:rPr>
            </w:pPr>
          </w:p>
          <w:p>
            <w:pPr>
              <w:spacing w:line="280" w:lineRule="exact"/>
              <w:rPr>
                <w:rFonts w:ascii="宋体" w:hAnsi="宋体" w:cs="宋体"/>
                <w:b/>
                <w:bCs/>
                <w:szCs w:val="21"/>
              </w:rPr>
            </w:pPr>
          </w:p>
          <w:p>
            <w:pPr>
              <w:spacing w:line="280" w:lineRule="exact"/>
              <w:rPr>
                <w:rFonts w:ascii="宋体" w:hAnsi="宋体" w:cs="宋体"/>
                <w:b/>
                <w:bCs/>
                <w:szCs w:val="21"/>
              </w:rPr>
            </w:pPr>
          </w:p>
        </w:tc>
        <w:tc>
          <w:tcPr>
            <w:tcW w:w="2409" w:type="dxa"/>
          </w:tcPr>
          <w:p>
            <w:pPr>
              <w:spacing w:line="280" w:lineRule="exact"/>
              <w:rPr>
                <w:rFonts w:ascii="宋体" w:hAnsi="宋体" w:cs="宋体"/>
                <w:szCs w:val="21"/>
              </w:rPr>
            </w:pPr>
            <w:r>
              <w:rPr>
                <w:rFonts w:hint="eastAsia" w:ascii="宋体" w:hAnsi="宋体" w:cs="宋体"/>
                <w:szCs w:val="21"/>
              </w:rPr>
              <w:t>1.生产企业的产品属危险化学品时，应按GB 16483和GB 15258编制产品安全技术说明书和安全标签，并提供给用户。</w:t>
            </w:r>
          </w:p>
        </w:tc>
        <w:tc>
          <w:tcPr>
            <w:tcW w:w="2268" w:type="dxa"/>
          </w:tcPr>
          <w:p>
            <w:pPr>
              <w:spacing w:line="280" w:lineRule="exact"/>
              <w:rPr>
                <w:rFonts w:ascii="宋体" w:hAnsi="宋体" w:cs="宋体"/>
                <w:szCs w:val="21"/>
              </w:rPr>
            </w:pPr>
            <w:r>
              <w:rPr>
                <w:rFonts w:hint="eastAsia" w:ascii="宋体" w:hAnsi="宋体" w:cs="宋体"/>
                <w:szCs w:val="21"/>
              </w:rPr>
              <w:t xml:space="preserve">1.生产企业要给本企业生产的危险化学品编制符合国家标准要求的“一书一签”； </w:t>
            </w:r>
          </w:p>
          <w:p>
            <w:pPr>
              <w:spacing w:line="280" w:lineRule="exact"/>
              <w:rPr>
                <w:rFonts w:ascii="宋体" w:hAnsi="宋体" w:cs="宋体"/>
                <w:szCs w:val="21"/>
              </w:rPr>
            </w:pPr>
            <w:r>
              <w:rPr>
                <w:rFonts w:hint="eastAsia" w:ascii="宋体" w:hAnsi="宋体" w:cs="宋体"/>
                <w:szCs w:val="21"/>
              </w:rPr>
              <w:t>2.生产企业生产的危险化学品发现新的危险特性时，要及时更新“一书一签”，并公告；</w:t>
            </w:r>
          </w:p>
          <w:p>
            <w:pPr>
              <w:spacing w:line="280" w:lineRule="exact"/>
              <w:rPr>
                <w:rFonts w:ascii="宋体" w:hAnsi="宋体" w:cs="宋体"/>
                <w:szCs w:val="21"/>
              </w:rPr>
            </w:pPr>
            <w:r>
              <w:rPr>
                <w:rFonts w:hint="eastAsia" w:ascii="宋体" w:hAnsi="宋体" w:cs="宋体"/>
                <w:szCs w:val="21"/>
              </w:rPr>
              <w:t>3.主动向本企业生产的危险化学品购买者或用户提供“一书一签”。</w:t>
            </w:r>
          </w:p>
        </w:tc>
        <w:tc>
          <w:tcPr>
            <w:tcW w:w="2268" w:type="dxa"/>
          </w:tcPr>
          <w:p>
            <w:pPr>
              <w:spacing w:line="280" w:lineRule="exact"/>
              <w:rPr>
                <w:rFonts w:ascii="宋体" w:hAnsi="宋体" w:cs="宋体"/>
                <w:szCs w:val="21"/>
              </w:rPr>
            </w:pPr>
            <w:r>
              <w:rPr>
                <w:rFonts w:hint="eastAsia" w:ascii="宋体" w:hAnsi="宋体" w:cs="宋体"/>
                <w:szCs w:val="21"/>
              </w:rPr>
              <w:t>查文件：</w:t>
            </w:r>
          </w:p>
          <w:p>
            <w:pPr>
              <w:spacing w:line="280" w:lineRule="exact"/>
              <w:rPr>
                <w:rFonts w:ascii="宋体" w:hAnsi="宋体" w:cs="宋体"/>
                <w:szCs w:val="21"/>
              </w:rPr>
            </w:pPr>
            <w:r>
              <w:rPr>
                <w:rFonts w:hint="eastAsia" w:ascii="宋体" w:hAnsi="宋体" w:cs="宋体"/>
                <w:szCs w:val="21"/>
              </w:rPr>
              <w:t>“一书一签”。</w:t>
            </w:r>
          </w:p>
          <w:p>
            <w:pPr>
              <w:spacing w:line="280" w:lineRule="exact"/>
              <w:rPr>
                <w:rFonts w:ascii="宋体" w:hAnsi="宋体" w:cs="宋体"/>
                <w:szCs w:val="21"/>
              </w:rPr>
            </w:pPr>
            <w:r>
              <w:rPr>
                <w:rFonts w:hint="eastAsia" w:ascii="宋体" w:hAnsi="宋体" w:cs="宋体"/>
                <w:szCs w:val="21"/>
              </w:rPr>
              <w:t>现场检查：</w:t>
            </w:r>
          </w:p>
          <w:p>
            <w:pPr>
              <w:spacing w:line="280" w:lineRule="exact"/>
              <w:rPr>
                <w:rFonts w:ascii="宋体" w:hAnsi="宋体" w:cs="宋体"/>
                <w:szCs w:val="21"/>
              </w:rPr>
            </w:pPr>
            <w:r>
              <w:rPr>
                <w:rFonts w:hint="eastAsia" w:ascii="宋体" w:hAnsi="宋体" w:cs="宋体"/>
                <w:szCs w:val="21"/>
              </w:rPr>
              <w:t>化学品包装上是否有中文化学品安全标签。</w:t>
            </w:r>
          </w:p>
        </w:tc>
        <w:tc>
          <w:tcPr>
            <w:tcW w:w="1701" w:type="dxa"/>
          </w:tcPr>
          <w:p>
            <w:pPr>
              <w:spacing w:line="280" w:lineRule="exact"/>
              <w:rPr>
                <w:rFonts w:ascii="宋体" w:hAnsi="宋体" w:cs="宋体"/>
                <w:szCs w:val="21"/>
              </w:rPr>
            </w:pPr>
            <w:r>
              <w:rPr>
                <w:rFonts w:hint="eastAsia" w:ascii="宋体" w:hAnsi="宋体" w:cs="宋体"/>
                <w:szCs w:val="21"/>
              </w:rPr>
              <w:t xml:space="preserve">生产的危险化学品未编制“一书一签”，扣10分（B级要素否决项）。 </w:t>
            </w:r>
          </w:p>
        </w:tc>
        <w:tc>
          <w:tcPr>
            <w:tcW w:w="2268" w:type="dxa"/>
          </w:tcPr>
          <w:p>
            <w:pPr>
              <w:spacing w:line="280" w:lineRule="exact"/>
              <w:rPr>
                <w:rFonts w:ascii="宋体" w:hAnsi="宋体" w:cs="宋体"/>
                <w:szCs w:val="21"/>
              </w:rPr>
            </w:pPr>
            <w:r>
              <w:rPr>
                <w:rFonts w:hint="eastAsia" w:ascii="宋体" w:hAnsi="宋体" w:cs="宋体"/>
                <w:szCs w:val="21"/>
              </w:rPr>
              <w:t>1.缺少一种产品“一书一签”，扣2分；</w:t>
            </w:r>
          </w:p>
          <w:p>
            <w:pPr>
              <w:spacing w:line="280" w:lineRule="exact"/>
              <w:rPr>
                <w:rFonts w:ascii="宋体" w:hAnsi="宋体" w:cs="宋体"/>
                <w:szCs w:val="21"/>
              </w:rPr>
            </w:pPr>
            <w:r>
              <w:rPr>
                <w:rFonts w:hint="eastAsia" w:ascii="宋体" w:hAnsi="宋体" w:cs="宋体"/>
                <w:szCs w:val="21"/>
              </w:rPr>
              <w:t>2.编写的“一书一签”不符合标准要求，一项扣1分；未按规定及时更新扣2分；</w:t>
            </w:r>
          </w:p>
          <w:p>
            <w:pPr>
              <w:spacing w:line="280" w:lineRule="exact"/>
              <w:rPr>
                <w:rFonts w:ascii="宋体" w:hAnsi="宋体" w:cs="宋体"/>
                <w:szCs w:val="21"/>
              </w:rPr>
            </w:pPr>
            <w:r>
              <w:rPr>
                <w:rFonts w:hint="eastAsia" w:ascii="宋体" w:hAnsi="宋体" w:cs="宋体"/>
                <w:szCs w:val="21"/>
              </w:rPr>
              <w:t>3.未向购买者或用户提供“一书一签”，扣2分。</w:t>
            </w:r>
          </w:p>
        </w:tc>
        <w:tc>
          <w:tcPr>
            <w:tcW w:w="1165" w:type="dxa"/>
            <w:vAlign w:val="center"/>
          </w:tcPr>
          <w:p>
            <w:pPr>
              <w:spacing w:line="280" w:lineRule="exact"/>
              <w:jc w:val="center"/>
              <w:rPr>
                <w:rFonts w:ascii="宋体" w:hAnsi="宋体" w:cs="宋体"/>
                <w:szCs w:val="21"/>
              </w:rPr>
            </w:pPr>
            <w:r>
              <w:rPr>
                <w:rFonts w:hint="eastAsia" w:ascii="宋体" w:hAnsi="宋体" w:cs="宋体"/>
                <w:szCs w:val="21"/>
              </w:rPr>
              <w:t>符合要求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771" w:type="dxa"/>
            <w:vMerge w:val="continue"/>
          </w:tcPr>
          <w:p>
            <w:pPr>
              <w:spacing w:line="280" w:lineRule="exact"/>
              <w:rPr>
                <w:rFonts w:ascii="宋体" w:hAnsi="宋体" w:cs="宋体"/>
                <w:b/>
                <w:bCs/>
                <w:szCs w:val="21"/>
              </w:rPr>
            </w:pPr>
          </w:p>
        </w:tc>
        <w:tc>
          <w:tcPr>
            <w:tcW w:w="709" w:type="dxa"/>
            <w:vMerge w:val="continue"/>
          </w:tcPr>
          <w:p>
            <w:pPr>
              <w:spacing w:line="280" w:lineRule="exact"/>
              <w:rPr>
                <w:rFonts w:ascii="宋体" w:hAnsi="宋体" w:cs="宋体"/>
                <w:b/>
                <w:bCs/>
                <w:szCs w:val="21"/>
              </w:rPr>
            </w:pPr>
          </w:p>
        </w:tc>
        <w:tc>
          <w:tcPr>
            <w:tcW w:w="2409" w:type="dxa"/>
          </w:tcPr>
          <w:p>
            <w:pPr>
              <w:spacing w:line="280" w:lineRule="exact"/>
              <w:rPr>
                <w:rFonts w:ascii="宋体" w:hAnsi="宋体" w:cs="宋体"/>
                <w:szCs w:val="21"/>
              </w:rPr>
            </w:pPr>
            <w:r>
              <w:rPr>
                <w:rFonts w:hint="eastAsia" w:ascii="宋体" w:hAnsi="宋体" w:cs="宋体"/>
                <w:szCs w:val="21"/>
              </w:rPr>
              <w:t>2.采购危险化学品时，应索取安全技术说明书和安全标签，不得采购无安全技术说明书和安全标签的危险化学品。</w:t>
            </w:r>
          </w:p>
        </w:tc>
        <w:tc>
          <w:tcPr>
            <w:tcW w:w="2268" w:type="dxa"/>
          </w:tcPr>
          <w:p>
            <w:pPr>
              <w:spacing w:line="280" w:lineRule="exact"/>
              <w:rPr>
                <w:rFonts w:ascii="宋体" w:hAnsi="宋体" w:cs="宋体"/>
                <w:szCs w:val="21"/>
              </w:rPr>
            </w:pPr>
            <w:r>
              <w:rPr>
                <w:rFonts w:hint="eastAsia" w:ascii="宋体" w:hAnsi="宋体" w:cs="宋体"/>
                <w:szCs w:val="21"/>
              </w:rPr>
              <w:t>采购危险化学品时，应主动向销售单位索取“一书一签”。</w:t>
            </w:r>
          </w:p>
        </w:tc>
        <w:tc>
          <w:tcPr>
            <w:tcW w:w="2268" w:type="dxa"/>
          </w:tcPr>
          <w:p>
            <w:pPr>
              <w:spacing w:line="280" w:lineRule="exact"/>
              <w:rPr>
                <w:rFonts w:ascii="宋体" w:hAnsi="宋体" w:cs="宋体"/>
                <w:szCs w:val="21"/>
              </w:rPr>
            </w:pPr>
            <w:r>
              <w:rPr>
                <w:rFonts w:hint="eastAsia" w:ascii="宋体" w:hAnsi="宋体" w:cs="宋体"/>
                <w:szCs w:val="21"/>
              </w:rPr>
              <w:t>查文件：</w:t>
            </w:r>
          </w:p>
          <w:p>
            <w:pPr>
              <w:spacing w:line="280" w:lineRule="exact"/>
              <w:rPr>
                <w:rFonts w:ascii="宋体" w:hAnsi="宋体" w:cs="宋体"/>
                <w:szCs w:val="21"/>
              </w:rPr>
            </w:pPr>
            <w:r>
              <w:rPr>
                <w:rFonts w:hint="eastAsia" w:ascii="宋体" w:hAnsi="宋体" w:cs="宋体"/>
                <w:szCs w:val="21"/>
              </w:rPr>
              <w:t>1.采购的危险化学品名录；</w:t>
            </w:r>
          </w:p>
          <w:p>
            <w:pPr>
              <w:spacing w:line="280" w:lineRule="exact"/>
              <w:rPr>
                <w:rFonts w:ascii="宋体" w:hAnsi="宋体" w:cs="宋体"/>
                <w:szCs w:val="21"/>
              </w:rPr>
            </w:pPr>
            <w:r>
              <w:rPr>
                <w:rFonts w:hint="eastAsia" w:ascii="宋体" w:hAnsi="宋体" w:cs="宋体"/>
                <w:szCs w:val="21"/>
              </w:rPr>
              <w:t>2.采购的危险化学品中文“一书一签”。</w:t>
            </w:r>
          </w:p>
        </w:tc>
        <w:tc>
          <w:tcPr>
            <w:tcW w:w="1701" w:type="dxa"/>
          </w:tcPr>
          <w:p>
            <w:pPr>
              <w:spacing w:line="280" w:lineRule="exact"/>
              <w:rPr>
                <w:rFonts w:ascii="宋体" w:hAnsi="宋体" w:cs="宋体"/>
                <w:szCs w:val="21"/>
              </w:rPr>
            </w:pPr>
          </w:p>
        </w:tc>
        <w:tc>
          <w:tcPr>
            <w:tcW w:w="2268" w:type="dxa"/>
          </w:tcPr>
          <w:p>
            <w:pPr>
              <w:spacing w:line="280" w:lineRule="exact"/>
              <w:rPr>
                <w:rFonts w:ascii="宋体" w:hAnsi="宋体" w:cs="宋体"/>
                <w:szCs w:val="21"/>
              </w:rPr>
            </w:pPr>
            <w:r>
              <w:rPr>
                <w:rFonts w:hint="eastAsia" w:ascii="宋体" w:hAnsi="宋体" w:cs="宋体"/>
                <w:szCs w:val="21"/>
              </w:rPr>
              <w:t>采购的危险化学品无“一书一签”，1种物质扣2分。</w:t>
            </w:r>
          </w:p>
        </w:tc>
        <w:tc>
          <w:tcPr>
            <w:tcW w:w="1165" w:type="dxa"/>
            <w:vAlign w:val="center"/>
          </w:tcPr>
          <w:p>
            <w:pPr>
              <w:spacing w:line="280" w:lineRule="exact"/>
              <w:jc w:val="center"/>
              <w:rPr>
                <w:rFonts w:ascii="宋体" w:hAnsi="宋体" w:cs="宋体"/>
                <w:szCs w:val="21"/>
              </w:rPr>
            </w:pPr>
            <w:r>
              <w:rPr>
                <w:rFonts w:hint="eastAsia" w:ascii="宋体" w:hAnsi="宋体" w:cs="宋体"/>
                <w:szCs w:val="21"/>
              </w:rPr>
              <w:t>符合要求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771" w:type="dxa"/>
            <w:vMerge w:val="continue"/>
          </w:tcPr>
          <w:p>
            <w:pPr>
              <w:spacing w:line="280" w:lineRule="exact"/>
              <w:rPr>
                <w:rFonts w:ascii="宋体" w:hAnsi="宋体" w:cs="宋体"/>
                <w:b/>
                <w:bCs/>
                <w:szCs w:val="21"/>
              </w:rPr>
            </w:pPr>
          </w:p>
        </w:tc>
        <w:tc>
          <w:tcPr>
            <w:tcW w:w="709" w:type="dxa"/>
          </w:tcPr>
          <w:p>
            <w:pPr>
              <w:spacing w:line="280" w:lineRule="exact"/>
              <w:rPr>
                <w:rFonts w:ascii="宋体" w:hAnsi="宋体" w:cs="宋体"/>
                <w:b/>
                <w:bCs/>
                <w:szCs w:val="21"/>
              </w:rPr>
            </w:pPr>
            <w:r>
              <w:rPr>
                <w:rFonts w:hint="eastAsia" w:ascii="宋体" w:hAnsi="宋体" w:cs="宋体"/>
                <w:b/>
                <w:bCs/>
                <w:szCs w:val="21"/>
              </w:rPr>
              <w:t>9.4</w:t>
            </w:r>
          </w:p>
          <w:p>
            <w:pPr>
              <w:spacing w:line="280" w:lineRule="exact"/>
              <w:rPr>
                <w:rFonts w:ascii="宋体" w:hAnsi="宋体" w:cs="宋体"/>
                <w:b/>
                <w:bCs/>
                <w:szCs w:val="21"/>
              </w:rPr>
            </w:pPr>
            <w:r>
              <w:rPr>
                <w:rFonts w:hint="eastAsia" w:ascii="宋体" w:hAnsi="宋体" w:cs="宋体"/>
                <w:b/>
                <w:bCs/>
                <w:szCs w:val="21"/>
              </w:rPr>
              <w:t>化学事故应急咨询服务电话</w:t>
            </w:r>
          </w:p>
          <w:p>
            <w:pPr>
              <w:spacing w:line="280" w:lineRule="exact"/>
              <w:rPr>
                <w:rFonts w:ascii="宋体" w:hAnsi="宋体" w:cs="宋体"/>
                <w:b/>
                <w:bCs/>
                <w:szCs w:val="21"/>
              </w:rPr>
            </w:pPr>
            <w:r>
              <w:rPr>
                <w:rFonts w:hint="eastAsia" w:ascii="宋体" w:hAnsi="宋体" w:cs="宋体"/>
                <w:b/>
                <w:bCs/>
                <w:szCs w:val="21"/>
              </w:rPr>
              <w:t>（10分）</w:t>
            </w:r>
          </w:p>
        </w:tc>
        <w:tc>
          <w:tcPr>
            <w:tcW w:w="2409" w:type="dxa"/>
          </w:tcPr>
          <w:p>
            <w:pPr>
              <w:spacing w:line="280" w:lineRule="exact"/>
              <w:rPr>
                <w:rFonts w:ascii="宋体" w:hAnsi="宋体" w:cs="宋体"/>
                <w:szCs w:val="21"/>
              </w:rPr>
            </w:pPr>
            <w:r>
              <w:rPr>
                <w:rFonts w:hint="eastAsia" w:ascii="宋体" w:hAnsi="宋体" w:cs="宋体"/>
                <w:szCs w:val="21"/>
              </w:rPr>
              <w:t>生产企业应设立24小时应急咨询服务固定电话，有专业人员值班并负责相关应急咨询。没有条件设立应急咨询服务电话的，应委托危险化学品专业应急机构作为应急咨询服务代理。</w:t>
            </w:r>
          </w:p>
        </w:tc>
        <w:tc>
          <w:tcPr>
            <w:tcW w:w="2268" w:type="dxa"/>
          </w:tcPr>
          <w:p>
            <w:pPr>
              <w:spacing w:line="280" w:lineRule="exact"/>
              <w:rPr>
                <w:rFonts w:ascii="宋体" w:hAnsi="宋体" w:cs="宋体"/>
                <w:szCs w:val="21"/>
              </w:rPr>
            </w:pPr>
            <w:r>
              <w:rPr>
                <w:rFonts w:hint="eastAsia" w:ascii="宋体" w:hAnsi="宋体" w:cs="宋体"/>
                <w:szCs w:val="21"/>
              </w:rPr>
              <w:t>生产企业设立应急咨询服务固定电话或委托危险化学品专业应急机构，为用户提供24小时应急咨询服务。</w:t>
            </w:r>
          </w:p>
        </w:tc>
        <w:tc>
          <w:tcPr>
            <w:tcW w:w="2268" w:type="dxa"/>
          </w:tcPr>
          <w:p>
            <w:pPr>
              <w:spacing w:line="280" w:lineRule="exact"/>
              <w:rPr>
                <w:rFonts w:ascii="宋体" w:hAnsi="宋体" w:cs="宋体"/>
                <w:szCs w:val="21"/>
              </w:rPr>
            </w:pPr>
            <w:r>
              <w:rPr>
                <w:rFonts w:hint="eastAsia" w:ascii="宋体" w:hAnsi="宋体" w:cs="宋体"/>
                <w:szCs w:val="21"/>
              </w:rPr>
              <w:t>查文件：</w:t>
            </w:r>
          </w:p>
          <w:p>
            <w:pPr>
              <w:spacing w:line="280" w:lineRule="exact"/>
              <w:rPr>
                <w:rFonts w:ascii="宋体" w:hAnsi="宋体" w:cs="宋体"/>
                <w:szCs w:val="21"/>
              </w:rPr>
            </w:pPr>
            <w:r>
              <w:rPr>
                <w:rFonts w:hint="eastAsia" w:ascii="宋体" w:hAnsi="宋体" w:cs="宋体"/>
                <w:szCs w:val="21"/>
              </w:rPr>
              <w:t>“一书一签”上是否有应急咨询服务电话。</w:t>
            </w:r>
          </w:p>
          <w:p>
            <w:pPr>
              <w:spacing w:line="280" w:lineRule="exact"/>
              <w:rPr>
                <w:rFonts w:ascii="宋体" w:hAnsi="宋体" w:cs="宋体"/>
                <w:szCs w:val="21"/>
              </w:rPr>
            </w:pPr>
            <w:r>
              <w:rPr>
                <w:rFonts w:hint="eastAsia" w:ascii="宋体" w:hAnsi="宋体" w:cs="宋体"/>
                <w:szCs w:val="21"/>
              </w:rPr>
              <w:t>询问：</w:t>
            </w:r>
          </w:p>
          <w:p>
            <w:pPr>
              <w:spacing w:line="280" w:lineRule="exact"/>
              <w:rPr>
                <w:rFonts w:ascii="宋体" w:hAnsi="宋体" w:cs="宋体"/>
                <w:szCs w:val="21"/>
              </w:rPr>
            </w:pPr>
            <w:r>
              <w:rPr>
                <w:rFonts w:hint="eastAsia" w:ascii="宋体" w:hAnsi="宋体" w:cs="宋体"/>
                <w:szCs w:val="21"/>
              </w:rPr>
              <w:t xml:space="preserve">应急咨询服务电话设立情况及应急咨询服务情况。 </w:t>
            </w:r>
          </w:p>
          <w:p>
            <w:pPr>
              <w:spacing w:line="280" w:lineRule="exact"/>
              <w:rPr>
                <w:rFonts w:ascii="宋体" w:hAnsi="宋体" w:cs="宋体"/>
                <w:szCs w:val="21"/>
              </w:rPr>
            </w:pPr>
            <w:r>
              <w:rPr>
                <w:rFonts w:hint="eastAsia" w:ascii="宋体" w:hAnsi="宋体" w:cs="宋体"/>
                <w:szCs w:val="21"/>
              </w:rPr>
              <w:t>现场检查：</w:t>
            </w:r>
          </w:p>
          <w:p>
            <w:pPr>
              <w:spacing w:line="280" w:lineRule="exact"/>
              <w:rPr>
                <w:rFonts w:ascii="宋体" w:hAnsi="宋体" w:cs="宋体"/>
                <w:szCs w:val="21"/>
              </w:rPr>
            </w:pPr>
            <w:r>
              <w:rPr>
                <w:rFonts w:hint="eastAsia" w:ascii="宋体" w:hAnsi="宋体" w:cs="宋体"/>
                <w:szCs w:val="21"/>
              </w:rPr>
              <w:t>现场测试应急咨询服务电话及咨询服务情况。</w:t>
            </w:r>
          </w:p>
        </w:tc>
        <w:tc>
          <w:tcPr>
            <w:tcW w:w="1701" w:type="dxa"/>
          </w:tcPr>
          <w:p>
            <w:pPr>
              <w:spacing w:line="280" w:lineRule="exact"/>
              <w:rPr>
                <w:rFonts w:ascii="宋体" w:hAnsi="宋体" w:cs="宋体"/>
                <w:szCs w:val="21"/>
              </w:rPr>
            </w:pPr>
            <w:r>
              <w:rPr>
                <w:rFonts w:hint="eastAsia" w:ascii="宋体" w:hAnsi="宋体" w:cs="宋体"/>
                <w:szCs w:val="21"/>
              </w:rPr>
              <w:t>未设立应急电话，也未委托应急机构代理，扣10分（B级要素否决项）。</w:t>
            </w:r>
          </w:p>
        </w:tc>
        <w:tc>
          <w:tcPr>
            <w:tcW w:w="2268" w:type="dxa"/>
          </w:tcPr>
          <w:p>
            <w:pPr>
              <w:spacing w:line="280" w:lineRule="exact"/>
              <w:rPr>
                <w:rFonts w:ascii="宋体" w:hAnsi="宋体" w:cs="宋体"/>
                <w:szCs w:val="21"/>
              </w:rPr>
            </w:pPr>
            <w:r>
              <w:rPr>
                <w:rFonts w:hint="eastAsia" w:ascii="宋体" w:hAnsi="宋体" w:cs="宋体"/>
                <w:szCs w:val="21"/>
              </w:rPr>
              <w:t>1.设立的应急电话不能满足要求，一项扣1分；</w:t>
            </w:r>
          </w:p>
          <w:p>
            <w:pPr>
              <w:spacing w:line="280" w:lineRule="exact"/>
              <w:rPr>
                <w:rFonts w:ascii="宋体" w:hAnsi="宋体" w:cs="宋体"/>
                <w:szCs w:val="21"/>
              </w:rPr>
            </w:pPr>
            <w:r>
              <w:rPr>
                <w:rFonts w:hint="eastAsia" w:ascii="宋体" w:hAnsi="宋体" w:cs="宋体"/>
                <w:szCs w:val="21"/>
              </w:rPr>
              <w:t>2.安全标签上的应急咨询电话与设立的化学事故应急咨询电话不一致的，扣1分；</w:t>
            </w:r>
          </w:p>
          <w:p>
            <w:pPr>
              <w:spacing w:line="280" w:lineRule="exact"/>
              <w:rPr>
                <w:rFonts w:ascii="宋体" w:hAnsi="宋体" w:cs="宋体"/>
                <w:szCs w:val="21"/>
              </w:rPr>
            </w:pPr>
            <w:r>
              <w:rPr>
                <w:rFonts w:hint="eastAsia" w:ascii="宋体" w:hAnsi="宋体" w:cs="宋体"/>
                <w:szCs w:val="21"/>
              </w:rPr>
              <w:t>3.已委托应急代理，但职责不清或代理机构未尽职责的，一项不符合扣2分。</w:t>
            </w:r>
          </w:p>
        </w:tc>
        <w:tc>
          <w:tcPr>
            <w:tcW w:w="1165" w:type="dxa"/>
            <w:vAlign w:val="center"/>
          </w:tcPr>
          <w:p>
            <w:pPr>
              <w:spacing w:line="280" w:lineRule="exact"/>
              <w:jc w:val="center"/>
              <w:rPr>
                <w:rFonts w:ascii="宋体" w:hAnsi="宋体" w:cs="宋体"/>
                <w:szCs w:val="21"/>
              </w:rPr>
            </w:pPr>
            <w:r>
              <w:rPr>
                <w:rFonts w:hint="eastAsia" w:ascii="宋体" w:hAnsi="宋体" w:cs="宋体"/>
                <w:szCs w:val="21"/>
              </w:rPr>
              <w:t>未设立应急咨询服务固定电话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771" w:type="dxa"/>
            <w:vMerge w:val="continue"/>
          </w:tcPr>
          <w:p>
            <w:pPr>
              <w:spacing w:line="280" w:lineRule="exact"/>
              <w:rPr>
                <w:rFonts w:ascii="宋体" w:hAnsi="宋体" w:cs="宋体"/>
                <w:b/>
                <w:bCs/>
                <w:szCs w:val="21"/>
              </w:rPr>
            </w:pPr>
          </w:p>
        </w:tc>
        <w:tc>
          <w:tcPr>
            <w:tcW w:w="709" w:type="dxa"/>
          </w:tcPr>
          <w:p>
            <w:pPr>
              <w:spacing w:line="280" w:lineRule="exact"/>
              <w:rPr>
                <w:rFonts w:ascii="宋体" w:hAnsi="宋体" w:cs="宋体"/>
                <w:b/>
                <w:bCs/>
                <w:szCs w:val="21"/>
              </w:rPr>
            </w:pPr>
            <w:r>
              <w:rPr>
                <w:rFonts w:hint="eastAsia" w:ascii="宋体" w:hAnsi="宋体" w:cs="宋体"/>
                <w:b/>
                <w:bCs/>
                <w:szCs w:val="21"/>
              </w:rPr>
              <w:t>9.5</w:t>
            </w:r>
          </w:p>
          <w:p>
            <w:pPr>
              <w:spacing w:line="280" w:lineRule="exact"/>
              <w:rPr>
                <w:rFonts w:ascii="宋体" w:hAnsi="宋体" w:cs="宋体"/>
                <w:b/>
                <w:bCs/>
                <w:szCs w:val="21"/>
              </w:rPr>
            </w:pPr>
            <w:r>
              <w:rPr>
                <w:rFonts w:hint="eastAsia" w:ascii="宋体" w:hAnsi="宋体" w:cs="宋体"/>
                <w:b/>
                <w:bCs/>
                <w:szCs w:val="21"/>
              </w:rPr>
              <w:t>危险化学品登记</w:t>
            </w:r>
          </w:p>
          <w:p>
            <w:pPr>
              <w:spacing w:line="280" w:lineRule="exact"/>
              <w:rPr>
                <w:rFonts w:ascii="宋体" w:hAnsi="宋体" w:cs="宋体"/>
                <w:b/>
                <w:bCs/>
                <w:szCs w:val="21"/>
              </w:rPr>
            </w:pPr>
            <w:r>
              <w:rPr>
                <w:rFonts w:hint="eastAsia" w:ascii="宋体" w:hAnsi="宋体" w:cs="宋体"/>
                <w:b/>
                <w:bCs/>
                <w:szCs w:val="21"/>
              </w:rPr>
              <w:t>（20分）</w:t>
            </w:r>
          </w:p>
        </w:tc>
        <w:tc>
          <w:tcPr>
            <w:tcW w:w="2409" w:type="dxa"/>
          </w:tcPr>
          <w:p>
            <w:pPr>
              <w:spacing w:line="280" w:lineRule="exact"/>
              <w:rPr>
                <w:rFonts w:ascii="宋体" w:hAnsi="宋体" w:cs="宋体"/>
                <w:szCs w:val="21"/>
              </w:rPr>
            </w:pPr>
            <w:r>
              <w:rPr>
                <w:rFonts w:hint="eastAsia" w:ascii="宋体" w:hAnsi="宋体" w:cs="宋体"/>
                <w:szCs w:val="21"/>
              </w:rPr>
              <w:t>企业应按照有关规定对危险化学品进行登记。</w:t>
            </w:r>
          </w:p>
        </w:tc>
        <w:tc>
          <w:tcPr>
            <w:tcW w:w="2268" w:type="dxa"/>
          </w:tcPr>
          <w:p>
            <w:pPr>
              <w:spacing w:line="280" w:lineRule="exact"/>
              <w:rPr>
                <w:rFonts w:ascii="宋体" w:hAnsi="宋体" w:cs="宋体"/>
                <w:szCs w:val="21"/>
              </w:rPr>
            </w:pPr>
            <w:r>
              <w:rPr>
                <w:rFonts w:hint="eastAsia" w:ascii="宋体" w:hAnsi="宋体" w:cs="宋体"/>
                <w:szCs w:val="21"/>
              </w:rPr>
              <w:t>按照有关规定对危险化学品进行登记。</w:t>
            </w:r>
          </w:p>
        </w:tc>
        <w:tc>
          <w:tcPr>
            <w:tcW w:w="2268" w:type="dxa"/>
          </w:tcPr>
          <w:p>
            <w:pPr>
              <w:spacing w:line="280" w:lineRule="exact"/>
              <w:rPr>
                <w:rFonts w:ascii="宋体" w:hAnsi="宋体" w:cs="宋体"/>
                <w:szCs w:val="21"/>
              </w:rPr>
            </w:pPr>
            <w:r>
              <w:rPr>
                <w:rFonts w:hint="eastAsia" w:ascii="宋体" w:hAnsi="宋体" w:cs="宋体"/>
                <w:szCs w:val="21"/>
              </w:rPr>
              <w:t>查文件:</w:t>
            </w:r>
          </w:p>
          <w:p>
            <w:pPr>
              <w:spacing w:line="280" w:lineRule="exact"/>
              <w:rPr>
                <w:rFonts w:ascii="宋体" w:hAnsi="宋体" w:cs="宋体"/>
                <w:szCs w:val="21"/>
              </w:rPr>
            </w:pPr>
            <w:r>
              <w:rPr>
                <w:rFonts w:hint="eastAsia" w:ascii="宋体" w:hAnsi="宋体" w:cs="宋体"/>
                <w:szCs w:val="21"/>
              </w:rPr>
              <w:t>危险化学品登记证及资料。</w:t>
            </w:r>
          </w:p>
        </w:tc>
        <w:tc>
          <w:tcPr>
            <w:tcW w:w="1701" w:type="dxa"/>
          </w:tcPr>
          <w:p>
            <w:pPr>
              <w:spacing w:line="280" w:lineRule="exact"/>
              <w:rPr>
                <w:rFonts w:ascii="宋体" w:hAnsi="宋体" w:cs="宋体"/>
                <w:szCs w:val="21"/>
              </w:rPr>
            </w:pPr>
            <w:r>
              <w:rPr>
                <w:rFonts w:hint="eastAsia" w:ascii="宋体" w:hAnsi="宋体" w:cs="宋体"/>
                <w:szCs w:val="21"/>
              </w:rPr>
              <w:t>没有进行危险化学品登记或登记证载明的日期超过有效期扣20分（B级要素否决项）。</w:t>
            </w:r>
          </w:p>
        </w:tc>
        <w:tc>
          <w:tcPr>
            <w:tcW w:w="2268" w:type="dxa"/>
          </w:tcPr>
          <w:p>
            <w:pPr>
              <w:spacing w:line="280" w:lineRule="exact"/>
              <w:rPr>
                <w:rFonts w:ascii="宋体" w:hAnsi="宋体" w:cs="宋体"/>
                <w:szCs w:val="21"/>
              </w:rPr>
            </w:pPr>
            <w:r>
              <w:rPr>
                <w:rFonts w:hint="eastAsia" w:ascii="宋体" w:hAnsi="宋体" w:cs="宋体"/>
                <w:szCs w:val="21"/>
              </w:rPr>
              <w:t>未按照规定范围登记，每漏1种扣2分；发现新的危险特性未及时变更登记内容扣1分。</w:t>
            </w:r>
          </w:p>
        </w:tc>
        <w:tc>
          <w:tcPr>
            <w:tcW w:w="1165" w:type="dxa"/>
            <w:vAlign w:val="center"/>
          </w:tcPr>
          <w:p>
            <w:pPr>
              <w:spacing w:line="280" w:lineRule="exact"/>
              <w:jc w:val="center"/>
              <w:rPr>
                <w:rFonts w:ascii="宋体" w:hAnsi="宋体" w:cs="宋体"/>
                <w:szCs w:val="21"/>
              </w:rPr>
            </w:pPr>
            <w:r>
              <w:rPr>
                <w:rFonts w:hint="eastAsia" w:ascii="宋体" w:hAnsi="宋体" w:cs="宋体"/>
                <w:szCs w:val="21"/>
              </w:rPr>
              <w:t>符合要求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771" w:type="dxa"/>
            <w:vMerge w:val="restart"/>
            <w:tcBorders>
              <w:top w:val="nil"/>
            </w:tcBorders>
          </w:tcPr>
          <w:p>
            <w:pPr>
              <w:spacing w:line="280" w:lineRule="exact"/>
              <w:rPr>
                <w:rFonts w:ascii="宋体" w:hAnsi="宋体" w:cs="宋体"/>
                <w:b/>
                <w:bCs/>
                <w:szCs w:val="21"/>
              </w:rPr>
            </w:pPr>
          </w:p>
        </w:tc>
        <w:tc>
          <w:tcPr>
            <w:tcW w:w="709" w:type="dxa"/>
          </w:tcPr>
          <w:p>
            <w:pPr>
              <w:spacing w:line="280" w:lineRule="exact"/>
              <w:rPr>
                <w:rFonts w:ascii="宋体" w:hAnsi="宋体" w:cs="宋体"/>
                <w:b/>
                <w:bCs/>
                <w:szCs w:val="21"/>
              </w:rPr>
            </w:pPr>
            <w:r>
              <w:rPr>
                <w:rFonts w:hint="eastAsia" w:ascii="宋体" w:hAnsi="宋体" w:cs="宋体"/>
                <w:b/>
                <w:bCs/>
                <w:szCs w:val="21"/>
              </w:rPr>
              <w:t>9.6</w:t>
            </w:r>
          </w:p>
          <w:p>
            <w:pPr>
              <w:spacing w:line="280" w:lineRule="exact"/>
              <w:rPr>
                <w:rFonts w:ascii="宋体" w:hAnsi="宋体" w:cs="宋体"/>
                <w:b/>
                <w:bCs/>
                <w:szCs w:val="21"/>
              </w:rPr>
            </w:pPr>
            <w:r>
              <w:rPr>
                <w:rFonts w:hint="eastAsia" w:ascii="宋体" w:hAnsi="宋体" w:cs="宋体"/>
                <w:b/>
                <w:bCs/>
                <w:szCs w:val="21"/>
              </w:rPr>
              <w:t>危害告知</w:t>
            </w:r>
          </w:p>
          <w:p>
            <w:pPr>
              <w:spacing w:line="280" w:lineRule="exact"/>
              <w:rPr>
                <w:rFonts w:ascii="宋体" w:hAnsi="宋体" w:cs="宋体"/>
                <w:b/>
                <w:bCs/>
                <w:szCs w:val="21"/>
              </w:rPr>
            </w:pPr>
            <w:r>
              <w:rPr>
                <w:rFonts w:hint="eastAsia" w:ascii="宋体" w:hAnsi="宋体" w:cs="宋体"/>
                <w:b/>
                <w:bCs/>
                <w:szCs w:val="21"/>
              </w:rPr>
              <w:t>（15分）</w:t>
            </w:r>
          </w:p>
        </w:tc>
        <w:tc>
          <w:tcPr>
            <w:tcW w:w="2409" w:type="dxa"/>
          </w:tcPr>
          <w:p>
            <w:pPr>
              <w:spacing w:line="280" w:lineRule="exact"/>
              <w:rPr>
                <w:rFonts w:ascii="宋体" w:hAnsi="宋体" w:cs="宋体"/>
                <w:szCs w:val="21"/>
              </w:rPr>
            </w:pPr>
            <w:r>
              <w:rPr>
                <w:rFonts w:hint="eastAsia" w:ascii="宋体" w:hAnsi="宋体" w:cs="宋体"/>
                <w:szCs w:val="21"/>
              </w:rPr>
              <w:t>企业应以适当、有效的方式对从业人员及相关方进行宣传，使其了解生产过程中危险化学品的危险特性、活性危害、禁配物等，以及采取的预防及应急处理措施。</w:t>
            </w:r>
          </w:p>
        </w:tc>
        <w:tc>
          <w:tcPr>
            <w:tcW w:w="2268" w:type="dxa"/>
          </w:tcPr>
          <w:p>
            <w:pPr>
              <w:spacing w:line="280" w:lineRule="exact"/>
              <w:rPr>
                <w:rFonts w:ascii="宋体" w:hAnsi="宋体" w:cs="宋体"/>
                <w:szCs w:val="21"/>
              </w:rPr>
            </w:pPr>
            <w:r>
              <w:rPr>
                <w:rFonts w:hint="eastAsia" w:ascii="宋体" w:hAnsi="宋体" w:cs="宋体"/>
                <w:szCs w:val="21"/>
              </w:rPr>
              <w:t>对从业人员及相关方进行宣传、培训，使其了解本企业、本岗位涉及危险化学品的危险特性、活性危害、禁配物等，以及采取的预防及应急处理措施。</w:t>
            </w:r>
          </w:p>
        </w:tc>
        <w:tc>
          <w:tcPr>
            <w:tcW w:w="2268" w:type="dxa"/>
          </w:tcPr>
          <w:p>
            <w:pPr>
              <w:spacing w:line="280" w:lineRule="exact"/>
              <w:rPr>
                <w:rFonts w:ascii="宋体" w:hAnsi="宋体" w:cs="宋体"/>
                <w:szCs w:val="21"/>
              </w:rPr>
            </w:pPr>
            <w:r>
              <w:rPr>
                <w:rFonts w:hint="eastAsia" w:ascii="宋体" w:hAnsi="宋体" w:cs="宋体"/>
                <w:szCs w:val="21"/>
              </w:rPr>
              <w:t>查文件：</w:t>
            </w:r>
          </w:p>
          <w:p>
            <w:pPr>
              <w:spacing w:line="280" w:lineRule="exact"/>
              <w:rPr>
                <w:rFonts w:ascii="宋体" w:hAnsi="宋体" w:cs="宋体"/>
                <w:szCs w:val="21"/>
              </w:rPr>
            </w:pPr>
            <w:r>
              <w:rPr>
                <w:rFonts w:hint="eastAsia" w:ascii="宋体" w:hAnsi="宋体" w:cs="宋体"/>
                <w:szCs w:val="21"/>
              </w:rPr>
              <w:t>劳动合同及宣传、培训教育记录。</w:t>
            </w:r>
          </w:p>
          <w:p>
            <w:pPr>
              <w:spacing w:line="280" w:lineRule="exact"/>
              <w:rPr>
                <w:rFonts w:ascii="宋体" w:hAnsi="宋体" w:cs="宋体"/>
                <w:szCs w:val="21"/>
              </w:rPr>
            </w:pPr>
            <w:r>
              <w:rPr>
                <w:rFonts w:hint="eastAsia" w:ascii="宋体" w:hAnsi="宋体" w:cs="宋体"/>
                <w:szCs w:val="21"/>
              </w:rPr>
              <w:t>现场检查：</w:t>
            </w:r>
          </w:p>
          <w:p>
            <w:pPr>
              <w:spacing w:line="280" w:lineRule="exact"/>
              <w:rPr>
                <w:rFonts w:ascii="宋体" w:hAnsi="宋体" w:cs="宋体"/>
                <w:szCs w:val="21"/>
              </w:rPr>
            </w:pPr>
            <w:r>
              <w:rPr>
                <w:rFonts w:hint="eastAsia" w:ascii="宋体" w:hAnsi="宋体" w:cs="宋体"/>
                <w:szCs w:val="21"/>
              </w:rPr>
              <w:t>公告栏、告知牌等。</w:t>
            </w:r>
          </w:p>
        </w:tc>
        <w:tc>
          <w:tcPr>
            <w:tcW w:w="1701" w:type="dxa"/>
          </w:tcPr>
          <w:p>
            <w:pPr>
              <w:spacing w:line="280" w:lineRule="exact"/>
              <w:rPr>
                <w:rFonts w:ascii="宋体" w:hAnsi="宋体" w:cs="宋体"/>
                <w:szCs w:val="21"/>
              </w:rPr>
            </w:pPr>
          </w:p>
        </w:tc>
        <w:tc>
          <w:tcPr>
            <w:tcW w:w="2268" w:type="dxa"/>
          </w:tcPr>
          <w:p>
            <w:pPr>
              <w:spacing w:line="280" w:lineRule="exact"/>
              <w:rPr>
                <w:rFonts w:ascii="宋体" w:hAnsi="宋体" w:cs="宋体"/>
                <w:szCs w:val="21"/>
              </w:rPr>
            </w:pPr>
            <w:r>
              <w:rPr>
                <w:rFonts w:hint="eastAsia" w:ascii="宋体" w:hAnsi="宋体" w:cs="宋体"/>
                <w:szCs w:val="21"/>
              </w:rPr>
              <w:t>劳动合同、宣传、培训、公告栏、现场告知牌等，一项不符合扣1分。</w:t>
            </w:r>
          </w:p>
        </w:tc>
        <w:tc>
          <w:tcPr>
            <w:tcW w:w="1165" w:type="dxa"/>
            <w:vAlign w:val="center"/>
          </w:tcPr>
          <w:p>
            <w:pPr>
              <w:spacing w:line="280" w:lineRule="exact"/>
              <w:jc w:val="center"/>
              <w:rPr>
                <w:rFonts w:ascii="宋体" w:hAnsi="宋体" w:cs="宋体"/>
                <w:szCs w:val="21"/>
              </w:rPr>
            </w:pPr>
            <w:r>
              <w:rPr>
                <w:rFonts w:hint="eastAsia" w:ascii="宋体" w:hAnsi="宋体" w:cs="宋体"/>
                <w:szCs w:val="21"/>
              </w:rPr>
              <w:t>符合要求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771" w:type="dxa"/>
            <w:vMerge w:val="continue"/>
          </w:tcPr>
          <w:p>
            <w:pPr>
              <w:spacing w:line="280" w:lineRule="exact"/>
              <w:rPr>
                <w:rFonts w:ascii="宋体" w:hAnsi="宋体" w:cs="宋体"/>
                <w:b/>
                <w:bCs/>
                <w:szCs w:val="21"/>
              </w:rPr>
            </w:pPr>
          </w:p>
        </w:tc>
        <w:tc>
          <w:tcPr>
            <w:tcW w:w="709" w:type="dxa"/>
            <w:vMerge w:val="restart"/>
          </w:tcPr>
          <w:p>
            <w:pPr>
              <w:spacing w:line="280" w:lineRule="exact"/>
              <w:rPr>
                <w:rFonts w:ascii="宋体" w:hAnsi="宋体" w:cs="宋体"/>
                <w:b/>
                <w:bCs/>
                <w:szCs w:val="21"/>
              </w:rPr>
            </w:pPr>
            <w:r>
              <w:rPr>
                <w:rFonts w:hint="eastAsia" w:ascii="宋体" w:hAnsi="宋体" w:cs="宋体"/>
                <w:b/>
                <w:bCs/>
                <w:szCs w:val="21"/>
              </w:rPr>
              <w:t>9.7储存和运输</w:t>
            </w:r>
          </w:p>
          <w:p>
            <w:pPr>
              <w:spacing w:line="280" w:lineRule="exact"/>
              <w:rPr>
                <w:rFonts w:ascii="宋体" w:hAnsi="宋体" w:cs="宋体"/>
                <w:b/>
                <w:bCs/>
                <w:szCs w:val="21"/>
              </w:rPr>
            </w:pPr>
            <w:r>
              <w:rPr>
                <w:rFonts w:hint="eastAsia" w:ascii="宋体" w:hAnsi="宋体" w:cs="宋体"/>
                <w:b/>
                <w:bCs/>
                <w:szCs w:val="21"/>
              </w:rPr>
              <w:t>（25分）</w:t>
            </w:r>
          </w:p>
          <w:p>
            <w:pPr>
              <w:spacing w:line="280" w:lineRule="exact"/>
              <w:rPr>
                <w:rFonts w:ascii="宋体" w:hAnsi="宋体" w:cs="宋体"/>
                <w:b/>
                <w:bCs/>
                <w:szCs w:val="21"/>
              </w:rPr>
            </w:pPr>
          </w:p>
          <w:p>
            <w:pPr>
              <w:spacing w:line="280" w:lineRule="exact"/>
              <w:rPr>
                <w:rFonts w:ascii="宋体" w:hAnsi="宋体" w:cs="宋体"/>
                <w:b/>
                <w:bCs/>
                <w:szCs w:val="21"/>
              </w:rPr>
            </w:pPr>
          </w:p>
          <w:p>
            <w:pPr>
              <w:spacing w:line="280" w:lineRule="exact"/>
              <w:rPr>
                <w:rFonts w:ascii="宋体" w:hAnsi="宋体" w:cs="宋体"/>
                <w:b/>
                <w:bCs/>
                <w:szCs w:val="21"/>
              </w:rPr>
            </w:pPr>
          </w:p>
          <w:p>
            <w:pPr>
              <w:spacing w:line="280" w:lineRule="exact"/>
              <w:rPr>
                <w:rFonts w:ascii="宋体" w:hAnsi="宋体" w:cs="宋体"/>
                <w:b/>
                <w:bCs/>
                <w:szCs w:val="21"/>
              </w:rPr>
            </w:pPr>
          </w:p>
        </w:tc>
        <w:tc>
          <w:tcPr>
            <w:tcW w:w="2409" w:type="dxa"/>
          </w:tcPr>
          <w:p>
            <w:pPr>
              <w:spacing w:line="280" w:lineRule="exact"/>
              <w:rPr>
                <w:rFonts w:ascii="宋体" w:hAnsi="宋体" w:cs="宋体"/>
                <w:szCs w:val="21"/>
              </w:rPr>
            </w:pPr>
            <w:r>
              <w:rPr>
                <w:rFonts w:hint="eastAsia" w:ascii="宋体" w:hAnsi="宋体" w:cs="宋体"/>
                <w:szCs w:val="21"/>
              </w:rPr>
              <w:t>1.企业应严格执行危险化学品储存、出入库安全管理制度。危险化学品应储存在专用仓库、专用场地或者专用储存室（以下统称专用仓库）内，并按照相关技术标准规定的储存方法、储存数量和安全距离，实行隔离、隔开、分离储存，禁止将危险化学品与禁忌物品混合储存；危险化学品专用仓库应当符合相关技术标准对安全、消防的要求，设置明显标志，并由专人管理；危险化学品出入库应当进行核查登记，并定期检查。</w:t>
            </w:r>
          </w:p>
        </w:tc>
        <w:tc>
          <w:tcPr>
            <w:tcW w:w="2268" w:type="dxa"/>
          </w:tcPr>
          <w:p>
            <w:pPr>
              <w:spacing w:line="280" w:lineRule="exact"/>
              <w:rPr>
                <w:rFonts w:ascii="宋体" w:hAnsi="宋体" w:cs="宋体"/>
                <w:szCs w:val="21"/>
              </w:rPr>
            </w:pPr>
            <w:r>
              <w:rPr>
                <w:rFonts w:hint="eastAsia" w:ascii="宋体" w:hAnsi="宋体" w:cs="宋体"/>
                <w:szCs w:val="21"/>
              </w:rPr>
              <w:t>1.危险化学品应储存在专用仓库内，并按照相关技术标准规定的储存方法、储存数量和安全距离，实行隔离、隔开、分离储存，禁止将危险化学品与禁忌物品混合储存；</w:t>
            </w:r>
          </w:p>
          <w:p>
            <w:pPr>
              <w:spacing w:line="280" w:lineRule="exact"/>
              <w:rPr>
                <w:rFonts w:ascii="宋体" w:hAnsi="宋体" w:cs="宋体"/>
                <w:szCs w:val="21"/>
              </w:rPr>
            </w:pPr>
            <w:r>
              <w:rPr>
                <w:rFonts w:hint="eastAsia" w:ascii="宋体" w:hAnsi="宋体" w:cs="宋体"/>
                <w:szCs w:val="21"/>
              </w:rPr>
              <w:t>2.危险化学品专用仓库符合安全、消防要求，设置明显安全标志、通讯和报警装置，并由专人管理；</w:t>
            </w:r>
          </w:p>
          <w:p>
            <w:pPr>
              <w:spacing w:line="280" w:lineRule="exact"/>
              <w:rPr>
                <w:rFonts w:ascii="宋体" w:hAnsi="宋体" w:cs="宋体"/>
                <w:szCs w:val="21"/>
              </w:rPr>
            </w:pPr>
            <w:r>
              <w:rPr>
                <w:rFonts w:hint="eastAsia" w:ascii="宋体" w:hAnsi="宋体" w:cs="宋体"/>
                <w:szCs w:val="21"/>
              </w:rPr>
              <w:t>3.危险化学品出入库应当进行核查登记，并定期检查；</w:t>
            </w:r>
          </w:p>
          <w:p>
            <w:pPr>
              <w:spacing w:line="280" w:lineRule="exact"/>
              <w:rPr>
                <w:rFonts w:ascii="宋体" w:hAnsi="宋体" w:cs="宋体"/>
                <w:szCs w:val="21"/>
              </w:rPr>
            </w:pPr>
            <w:r>
              <w:rPr>
                <w:rFonts w:hint="eastAsia" w:ascii="宋体" w:hAnsi="宋体" w:cs="宋体"/>
                <w:szCs w:val="21"/>
              </w:rPr>
              <w:t>4.选用合适的液位测量仪表，实现储罐物料液位动态监控；</w:t>
            </w:r>
          </w:p>
          <w:p>
            <w:pPr>
              <w:spacing w:line="280" w:lineRule="exact"/>
              <w:rPr>
                <w:rFonts w:ascii="宋体" w:hAnsi="宋体" w:cs="宋体"/>
                <w:szCs w:val="21"/>
              </w:rPr>
            </w:pPr>
            <w:r>
              <w:rPr>
                <w:rFonts w:hint="eastAsia" w:ascii="宋体" w:hAnsi="宋体" w:cs="宋体"/>
                <w:szCs w:val="21"/>
              </w:rPr>
              <w:t>5.危险化学品输送管道应定期巡线。</w:t>
            </w:r>
          </w:p>
        </w:tc>
        <w:tc>
          <w:tcPr>
            <w:tcW w:w="2268" w:type="dxa"/>
          </w:tcPr>
          <w:p>
            <w:pPr>
              <w:spacing w:line="280" w:lineRule="exact"/>
              <w:rPr>
                <w:rFonts w:ascii="宋体" w:hAnsi="宋体" w:cs="宋体"/>
                <w:szCs w:val="21"/>
              </w:rPr>
            </w:pPr>
            <w:r>
              <w:rPr>
                <w:rFonts w:hint="eastAsia" w:ascii="宋体" w:hAnsi="宋体" w:cs="宋体"/>
                <w:szCs w:val="21"/>
              </w:rPr>
              <w:t>查文件：</w:t>
            </w:r>
          </w:p>
          <w:p>
            <w:pPr>
              <w:spacing w:line="280" w:lineRule="exact"/>
              <w:rPr>
                <w:rFonts w:ascii="宋体" w:hAnsi="宋体" w:cs="宋体"/>
                <w:szCs w:val="21"/>
              </w:rPr>
            </w:pPr>
            <w:r>
              <w:rPr>
                <w:rFonts w:hint="eastAsia" w:ascii="宋体" w:hAnsi="宋体" w:cs="宋体"/>
                <w:szCs w:val="21"/>
              </w:rPr>
              <w:t>1.危险化学品安全管理制度；</w:t>
            </w:r>
          </w:p>
          <w:p>
            <w:pPr>
              <w:spacing w:line="280" w:lineRule="exact"/>
              <w:rPr>
                <w:rFonts w:ascii="宋体" w:hAnsi="宋体" w:cs="宋体"/>
                <w:szCs w:val="21"/>
              </w:rPr>
            </w:pPr>
            <w:r>
              <w:rPr>
                <w:rFonts w:hint="eastAsia" w:ascii="宋体" w:hAnsi="宋体" w:cs="宋体"/>
                <w:szCs w:val="21"/>
              </w:rPr>
              <w:t>2.危险化学品出入库记录；</w:t>
            </w:r>
          </w:p>
          <w:p>
            <w:pPr>
              <w:spacing w:line="280" w:lineRule="exact"/>
              <w:rPr>
                <w:rFonts w:ascii="宋体" w:hAnsi="宋体" w:cs="宋体"/>
                <w:szCs w:val="21"/>
              </w:rPr>
            </w:pPr>
            <w:r>
              <w:rPr>
                <w:rFonts w:hint="eastAsia" w:ascii="宋体" w:hAnsi="宋体" w:cs="宋体"/>
                <w:szCs w:val="21"/>
              </w:rPr>
              <w:t>3.检查记录；</w:t>
            </w:r>
          </w:p>
          <w:p>
            <w:pPr>
              <w:spacing w:line="280" w:lineRule="exact"/>
              <w:rPr>
                <w:rFonts w:ascii="宋体" w:hAnsi="宋体" w:cs="宋体"/>
                <w:szCs w:val="21"/>
              </w:rPr>
            </w:pPr>
            <w:r>
              <w:rPr>
                <w:rFonts w:hint="eastAsia" w:ascii="宋体" w:hAnsi="宋体" w:cs="宋体"/>
                <w:szCs w:val="21"/>
              </w:rPr>
              <w:t>4．巡线记录。</w:t>
            </w:r>
          </w:p>
          <w:p>
            <w:pPr>
              <w:spacing w:line="280" w:lineRule="exact"/>
              <w:rPr>
                <w:rFonts w:ascii="宋体" w:hAnsi="宋体" w:cs="宋体"/>
                <w:szCs w:val="21"/>
              </w:rPr>
            </w:pPr>
            <w:r>
              <w:rPr>
                <w:rFonts w:hint="eastAsia" w:ascii="宋体" w:hAnsi="宋体" w:cs="宋体"/>
                <w:szCs w:val="21"/>
              </w:rPr>
              <w:t>现场检查：</w:t>
            </w:r>
          </w:p>
          <w:p>
            <w:pPr>
              <w:spacing w:line="280" w:lineRule="exact"/>
              <w:rPr>
                <w:rFonts w:ascii="宋体" w:hAnsi="宋体" w:cs="宋体"/>
                <w:szCs w:val="21"/>
              </w:rPr>
            </w:pPr>
            <w:r>
              <w:rPr>
                <w:rFonts w:hint="eastAsia" w:ascii="宋体" w:hAnsi="宋体" w:cs="宋体"/>
                <w:szCs w:val="21"/>
              </w:rPr>
              <w:t>1.危险化学品专用仓库安全设施和安全管理情况；</w:t>
            </w:r>
          </w:p>
          <w:p>
            <w:pPr>
              <w:spacing w:line="280" w:lineRule="exact"/>
              <w:rPr>
                <w:rFonts w:ascii="宋体" w:hAnsi="宋体" w:cs="宋体"/>
                <w:szCs w:val="21"/>
              </w:rPr>
            </w:pPr>
            <w:r>
              <w:rPr>
                <w:rFonts w:hint="eastAsia" w:ascii="宋体" w:hAnsi="宋体" w:cs="宋体"/>
                <w:szCs w:val="21"/>
              </w:rPr>
              <w:t>2.液位动态监控系统；</w:t>
            </w:r>
          </w:p>
          <w:p>
            <w:pPr>
              <w:spacing w:line="280" w:lineRule="exact"/>
              <w:rPr>
                <w:rFonts w:ascii="宋体" w:hAnsi="宋体" w:cs="宋体"/>
                <w:szCs w:val="21"/>
              </w:rPr>
            </w:pPr>
            <w:r>
              <w:rPr>
                <w:rFonts w:hint="eastAsia" w:ascii="宋体" w:hAnsi="宋体" w:cs="宋体"/>
                <w:szCs w:val="21"/>
              </w:rPr>
              <w:t>3.危险化学品输送管道安全设施。</w:t>
            </w:r>
          </w:p>
        </w:tc>
        <w:tc>
          <w:tcPr>
            <w:tcW w:w="1701" w:type="dxa"/>
          </w:tcPr>
          <w:p>
            <w:pPr>
              <w:spacing w:line="280" w:lineRule="exact"/>
              <w:rPr>
                <w:rFonts w:ascii="宋体" w:hAnsi="宋体" w:cs="宋体"/>
                <w:szCs w:val="21"/>
              </w:rPr>
            </w:pPr>
          </w:p>
        </w:tc>
        <w:tc>
          <w:tcPr>
            <w:tcW w:w="2268" w:type="dxa"/>
          </w:tcPr>
          <w:p>
            <w:pPr>
              <w:spacing w:line="280" w:lineRule="exact"/>
              <w:rPr>
                <w:rFonts w:ascii="宋体" w:hAnsi="宋体" w:cs="宋体"/>
                <w:szCs w:val="21"/>
              </w:rPr>
            </w:pPr>
            <w:r>
              <w:rPr>
                <w:rFonts w:hint="eastAsia" w:ascii="宋体" w:hAnsi="宋体" w:cs="宋体"/>
                <w:szCs w:val="21"/>
              </w:rPr>
              <w:t>1.危险化学品储存不符合规定要求，一处扣2分；</w:t>
            </w:r>
          </w:p>
          <w:p>
            <w:pPr>
              <w:spacing w:line="280" w:lineRule="exact"/>
              <w:rPr>
                <w:rFonts w:ascii="宋体" w:hAnsi="宋体" w:cs="宋体"/>
                <w:szCs w:val="21"/>
              </w:rPr>
            </w:pPr>
            <w:r>
              <w:rPr>
                <w:rFonts w:hint="eastAsia" w:ascii="宋体" w:hAnsi="宋体" w:cs="宋体"/>
                <w:szCs w:val="21"/>
              </w:rPr>
              <w:t>2.未建立危险化学品出入库记录，扣2分；</w:t>
            </w:r>
          </w:p>
          <w:p>
            <w:pPr>
              <w:spacing w:line="280" w:lineRule="exact"/>
              <w:rPr>
                <w:rFonts w:ascii="宋体" w:hAnsi="宋体" w:cs="宋体"/>
                <w:szCs w:val="21"/>
              </w:rPr>
            </w:pPr>
            <w:r>
              <w:rPr>
                <w:rFonts w:hint="eastAsia" w:ascii="宋体" w:hAnsi="宋体" w:cs="宋体"/>
                <w:szCs w:val="21"/>
              </w:rPr>
              <w:t>3.无动态液位监控系统扣2分；</w:t>
            </w:r>
          </w:p>
          <w:p>
            <w:pPr>
              <w:spacing w:line="280" w:lineRule="exact"/>
              <w:rPr>
                <w:rFonts w:ascii="宋体" w:hAnsi="宋体" w:cs="宋体"/>
                <w:szCs w:val="21"/>
              </w:rPr>
            </w:pPr>
            <w:r>
              <w:rPr>
                <w:rFonts w:hint="eastAsia" w:ascii="宋体" w:hAnsi="宋体" w:cs="宋体"/>
                <w:szCs w:val="21"/>
              </w:rPr>
              <w:t>4.未建立危险化学品输送管道巡线记录，扣2分；</w:t>
            </w:r>
          </w:p>
          <w:p>
            <w:pPr>
              <w:spacing w:line="280" w:lineRule="exact"/>
              <w:rPr>
                <w:rFonts w:ascii="宋体" w:hAnsi="宋体" w:cs="宋体"/>
                <w:szCs w:val="21"/>
              </w:rPr>
            </w:pPr>
            <w:r>
              <w:rPr>
                <w:rFonts w:hint="eastAsia" w:ascii="宋体" w:hAnsi="宋体" w:cs="宋体"/>
                <w:szCs w:val="21"/>
              </w:rPr>
              <w:t>5.危险化学品专用仓库安全、消防设施配置不符合要求，一处扣2分；</w:t>
            </w:r>
          </w:p>
          <w:p>
            <w:pPr>
              <w:spacing w:line="280" w:lineRule="exact"/>
              <w:rPr>
                <w:rFonts w:ascii="宋体" w:hAnsi="宋体" w:cs="宋体"/>
                <w:szCs w:val="21"/>
              </w:rPr>
            </w:pPr>
            <w:r>
              <w:rPr>
                <w:rFonts w:hint="eastAsia" w:ascii="宋体" w:hAnsi="宋体" w:cs="宋体"/>
                <w:szCs w:val="21"/>
              </w:rPr>
              <w:t>6.未定期进行安全检查，扣2分；</w:t>
            </w:r>
          </w:p>
          <w:p>
            <w:pPr>
              <w:spacing w:line="280" w:lineRule="exact"/>
              <w:rPr>
                <w:rFonts w:ascii="宋体" w:hAnsi="宋体" w:cs="宋体"/>
                <w:szCs w:val="21"/>
              </w:rPr>
            </w:pPr>
            <w:r>
              <w:rPr>
                <w:rFonts w:hint="eastAsia" w:ascii="宋体" w:hAnsi="宋体" w:cs="宋体"/>
                <w:szCs w:val="21"/>
              </w:rPr>
              <w:t>7.未设置通讯和报警装置，或不符合要求，一处扣2分。</w:t>
            </w:r>
          </w:p>
        </w:tc>
        <w:tc>
          <w:tcPr>
            <w:tcW w:w="1165" w:type="dxa"/>
            <w:vAlign w:val="center"/>
          </w:tcPr>
          <w:p>
            <w:pPr>
              <w:spacing w:line="280" w:lineRule="exact"/>
              <w:jc w:val="center"/>
              <w:rPr>
                <w:rFonts w:ascii="宋体" w:hAnsi="宋体" w:cs="宋体"/>
                <w:szCs w:val="21"/>
              </w:rPr>
            </w:pPr>
            <w:r>
              <w:rPr>
                <w:rFonts w:hint="eastAsia" w:ascii="宋体" w:hAnsi="宋体" w:cs="宋体"/>
                <w:szCs w:val="21"/>
              </w:rPr>
              <w:t>危险化学品输送管道巡线记录不规范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771" w:type="dxa"/>
            <w:vMerge w:val="continue"/>
          </w:tcPr>
          <w:p>
            <w:pPr>
              <w:spacing w:line="280" w:lineRule="exact"/>
              <w:rPr>
                <w:rFonts w:ascii="宋体" w:hAnsi="宋体" w:cs="宋体"/>
                <w:b/>
                <w:bCs/>
                <w:szCs w:val="21"/>
              </w:rPr>
            </w:pPr>
          </w:p>
        </w:tc>
        <w:tc>
          <w:tcPr>
            <w:tcW w:w="709" w:type="dxa"/>
            <w:vMerge w:val="continue"/>
          </w:tcPr>
          <w:p>
            <w:pPr>
              <w:spacing w:line="280" w:lineRule="exact"/>
              <w:rPr>
                <w:rFonts w:ascii="宋体" w:hAnsi="宋体" w:cs="宋体"/>
                <w:b/>
                <w:bCs/>
                <w:szCs w:val="21"/>
              </w:rPr>
            </w:pPr>
          </w:p>
        </w:tc>
        <w:tc>
          <w:tcPr>
            <w:tcW w:w="2409" w:type="dxa"/>
          </w:tcPr>
          <w:p>
            <w:pPr>
              <w:spacing w:line="280" w:lineRule="exact"/>
              <w:rPr>
                <w:rFonts w:ascii="宋体" w:hAnsi="宋体" w:cs="宋体"/>
                <w:szCs w:val="21"/>
              </w:rPr>
            </w:pPr>
            <w:r>
              <w:rPr>
                <w:rFonts w:hint="eastAsia" w:ascii="宋体" w:hAnsi="宋体" w:cs="宋体"/>
                <w:szCs w:val="21"/>
              </w:rPr>
              <w:t>2.企业的剧毒化学品必须在专用仓库单独存放，实行双人收发、双人保管制度。企业应将储存剧毒化学品的数量、地点以及管理人员的情况，报当地公安部门和安全生产监督管理部门备案。</w:t>
            </w:r>
          </w:p>
        </w:tc>
        <w:tc>
          <w:tcPr>
            <w:tcW w:w="2268" w:type="dxa"/>
          </w:tcPr>
          <w:p>
            <w:pPr>
              <w:spacing w:line="280" w:lineRule="exact"/>
              <w:rPr>
                <w:rFonts w:ascii="宋体" w:hAnsi="宋体" w:cs="宋体"/>
                <w:szCs w:val="21"/>
              </w:rPr>
            </w:pPr>
            <w:r>
              <w:rPr>
                <w:rFonts w:hint="eastAsia" w:ascii="宋体" w:hAnsi="宋体" w:cs="宋体"/>
                <w:szCs w:val="21"/>
              </w:rPr>
              <w:t>1.剧毒化学品及储存数量构成重大危险源的其他危险化学品必须在专用仓库单独存放，实行双人收发、双人保管制度；</w:t>
            </w:r>
          </w:p>
          <w:p>
            <w:pPr>
              <w:spacing w:line="280" w:lineRule="exact"/>
              <w:rPr>
                <w:rFonts w:ascii="宋体" w:hAnsi="宋体" w:cs="宋体"/>
                <w:szCs w:val="21"/>
              </w:rPr>
            </w:pPr>
            <w:r>
              <w:rPr>
                <w:rFonts w:hint="eastAsia" w:ascii="宋体" w:hAnsi="宋体" w:cs="宋体"/>
                <w:szCs w:val="21"/>
              </w:rPr>
              <w:t>2.将储存剧毒化学品的数量、地点以及管理人员的情况，报当地公安部门和安全生产监督管理部门备案。</w:t>
            </w:r>
          </w:p>
        </w:tc>
        <w:tc>
          <w:tcPr>
            <w:tcW w:w="2268" w:type="dxa"/>
          </w:tcPr>
          <w:p>
            <w:pPr>
              <w:spacing w:line="280" w:lineRule="exact"/>
              <w:rPr>
                <w:rFonts w:ascii="宋体" w:hAnsi="宋体" w:cs="宋体"/>
                <w:szCs w:val="21"/>
              </w:rPr>
            </w:pPr>
            <w:r>
              <w:rPr>
                <w:rFonts w:hint="eastAsia" w:ascii="宋体" w:hAnsi="宋体" w:cs="宋体"/>
                <w:szCs w:val="21"/>
              </w:rPr>
              <w:t>查文件：</w:t>
            </w:r>
          </w:p>
          <w:p>
            <w:pPr>
              <w:spacing w:line="280" w:lineRule="exact"/>
              <w:rPr>
                <w:rFonts w:ascii="宋体" w:hAnsi="宋体" w:cs="宋体"/>
                <w:szCs w:val="21"/>
              </w:rPr>
            </w:pPr>
            <w:r>
              <w:rPr>
                <w:rFonts w:hint="eastAsia" w:ascii="宋体" w:hAnsi="宋体" w:cs="宋体"/>
                <w:szCs w:val="21"/>
              </w:rPr>
              <w:t>1.剧毒化学品安全管理制度；</w:t>
            </w:r>
          </w:p>
          <w:p>
            <w:pPr>
              <w:spacing w:line="280" w:lineRule="exact"/>
              <w:rPr>
                <w:rFonts w:ascii="宋体" w:hAnsi="宋体" w:cs="宋体"/>
                <w:szCs w:val="21"/>
              </w:rPr>
            </w:pPr>
            <w:r>
              <w:rPr>
                <w:rFonts w:hint="eastAsia" w:ascii="宋体" w:hAnsi="宋体" w:cs="宋体"/>
                <w:szCs w:val="21"/>
              </w:rPr>
              <w:t>2.剧毒化学品收发台账；</w:t>
            </w:r>
          </w:p>
          <w:p>
            <w:pPr>
              <w:spacing w:line="280" w:lineRule="exact"/>
              <w:rPr>
                <w:rFonts w:ascii="宋体" w:hAnsi="宋体" w:cs="宋体"/>
                <w:szCs w:val="21"/>
              </w:rPr>
            </w:pPr>
            <w:r>
              <w:rPr>
                <w:rFonts w:hint="eastAsia" w:ascii="宋体" w:hAnsi="宋体" w:cs="宋体"/>
                <w:szCs w:val="21"/>
              </w:rPr>
              <w:t>3.剧毒化学品备案资料。</w:t>
            </w:r>
          </w:p>
          <w:p>
            <w:pPr>
              <w:spacing w:line="280" w:lineRule="exact"/>
              <w:rPr>
                <w:rFonts w:ascii="宋体" w:hAnsi="宋体" w:cs="宋体"/>
                <w:szCs w:val="21"/>
              </w:rPr>
            </w:pPr>
            <w:r>
              <w:rPr>
                <w:rFonts w:hint="eastAsia" w:ascii="宋体" w:hAnsi="宋体" w:cs="宋体"/>
                <w:szCs w:val="21"/>
              </w:rPr>
              <w:t>询问：</w:t>
            </w:r>
          </w:p>
          <w:p>
            <w:pPr>
              <w:spacing w:line="280" w:lineRule="exact"/>
              <w:rPr>
                <w:rFonts w:ascii="宋体" w:hAnsi="宋体" w:cs="宋体"/>
                <w:szCs w:val="21"/>
              </w:rPr>
            </w:pPr>
            <w:r>
              <w:rPr>
                <w:rFonts w:hint="eastAsia" w:ascii="宋体" w:hAnsi="宋体" w:cs="宋体"/>
                <w:szCs w:val="21"/>
              </w:rPr>
              <w:t>有关人员对剧毒化学品管理的要求。</w:t>
            </w:r>
          </w:p>
          <w:p>
            <w:pPr>
              <w:spacing w:line="280" w:lineRule="exact"/>
              <w:rPr>
                <w:rFonts w:ascii="宋体" w:hAnsi="宋体" w:cs="宋体"/>
                <w:szCs w:val="21"/>
              </w:rPr>
            </w:pPr>
            <w:r>
              <w:rPr>
                <w:rFonts w:hint="eastAsia" w:ascii="宋体" w:hAnsi="宋体" w:cs="宋体"/>
                <w:szCs w:val="21"/>
              </w:rPr>
              <w:t>现场检查：</w:t>
            </w:r>
          </w:p>
          <w:p>
            <w:pPr>
              <w:spacing w:line="280" w:lineRule="exact"/>
              <w:rPr>
                <w:rFonts w:ascii="宋体" w:hAnsi="宋体" w:cs="宋体"/>
                <w:szCs w:val="21"/>
              </w:rPr>
            </w:pPr>
            <w:r>
              <w:rPr>
                <w:rFonts w:hint="eastAsia" w:ascii="宋体" w:hAnsi="宋体" w:cs="宋体"/>
                <w:szCs w:val="21"/>
              </w:rPr>
              <w:t>剧毒化学品仓库安全管理情况。</w:t>
            </w:r>
          </w:p>
        </w:tc>
        <w:tc>
          <w:tcPr>
            <w:tcW w:w="1701" w:type="dxa"/>
          </w:tcPr>
          <w:p>
            <w:pPr>
              <w:spacing w:line="280" w:lineRule="exact"/>
              <w:rPr>
                <w:rFonts w:ascii="宋体" w:hAnsi="宋体" w:cs="宋体"/>
                <w:szCs w:val="21"/>
              </w:rPr>
            </w:pPr>
            <w:r>
              <w:rPr>
                <w:rFonts w:hint="eastAsia" w:ascii="宋体" w:hAnsi="宋体" w:cs="宋体"/>
                <w:szCs w:val="21"/>
              </w:rPr>
              <w:t>剧毒化学品未实行双人收发、双人保管，扣25分（B级要素否决项）。</w:t>
            </w:r>
          </w:p>
        </w:tc>
        <w:tc>
          <w:tcPr>
            <w:tcW w:w="2268" w:type="dxa"/>
          </w:tcPr>
          <w:p>
            <w:pPr>
              <w:spacing w:line="280" w:lineRule="exact"/>
              <w:rPr>
                <w:rFonts w:ascii="宋体" w:hAnsi="宋体" w:cs="宋体"/>
                <w:szCs w:val="21"/>
              </w:rPr>
            </w:pPr>
            <w:r>
              <w:rPr>
                <w:rFonts w:hint="eastAsia" w:ascii="宋体" w:hAnsi="宋体" w:cs="宋体"/>
                <w:szCs w:val="21"/>
              </w:rPr>
              <w:t xml:space="preserve">1.剧毒化学品存放不符合要求，一处扣2分； </w:t>
            </w:r>
          </w:p>
          <w:p>
            <w:pPr>
              <w:spacing w:line="280" w:lineRule="exact"/>
              <w:rPr>
                <w:rFonts w:ascii="宋体" w:hAnsi="宋体" w:cs="宋体"/>
                <w:szCs w:val="21"/>
              </w:rPr>
            </w:pPr>
            <w:r>
              <w:rPr>
                <w:rFonts w:hint="eastAsia" w:ascii="宋体" w:hAnsi="宋体" w:cs="宋体"/>
                <w:szCs w:val="21"/>
              </w:rPr>
              <w:t>2.未按要求备案，扣2分；</w:t>
            </w:r>
          </w:p>
          <w:p>
            <w:pPr>
              <w:spacing w:line="280" w:lineRule="exact"/>
              <w:rPr>
                <w:rFonts w:ascii="宋体" w:hAnsi="宋体" w:cs="宋体"/>
                <w:szCs w:val="21"/>
              </w:rPr>
            </w:pPr>
            <w:r>
              <w:rPr>
                <w:rFonts w:hint="eastAsia" w:ascii="宋体" w:hAnsi="宋体" w:cs="宋体"/>
                <w:szCs w:val="21"/>
              </w:rPr>
              <w:t>3.有关人员不清楚剧毒化学品管理的要求，1人次扣1分；</w:t>
            </w:r>
          </w:p>
          <w:p>
            <w:pPr>
              <w:spacing w:line="280" w:lineRule="exact"/>
              <w:rPr>
                <w:rFonts w:ascii="宋体" w:hAnsi="宋体" w:cs="宋体"/>
                <w:szCs w:val="21"/>
              </w:rPr>
            </w:pPr>
            <w:r>
              <w:rPr>
                <w:rFonts w:hint="eastAsia" w:ascii="宋体" w:hAnsi="宋体" w:cs="宋体"/>
                <w:szCs w:val="21"/>
              </w:rPr>
              <w:t>4.剧毒化学品仓库安全管理，一项不符合扣2分。</w:t>
            </w:r>
          </w:p>
        </w:tc>
        <w:tc>
          <w:tcPr>
            <w:tcW w:w="1165" w:type="dxa"/>
            <w:vAlign w:val="center"/>
          </w:tcPr>
          <w:p>
            <w:pPr>
              <w:spacing w:line="280" w:lineRule="exact"/>
              <w:jc w:val="center"/>
              <w:rPr>
                <w:rFonts w:ascii="宋体" w:hAnsi="宋体" w:cs="宋体"/>
                <w:szCs w:val="21"/>
              </w:rPr>
            </w:pPr>
            <w:r>
              <w:rPr>
                <w:rFonts w:hint="eastAsia" w:ascii="宋体" w:hAnsi="宋体" w:cs="宋体"/>
                <w:szCs w:val="21"/>
              </w:rPr>
              <w:t>不涉及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771" w:type="dxa"/>
            <w:vMerge w:val="continue"/>
          </w:tcPr>
          <w:p>
            <w:pPr>
              <w:spacing w:line="280" w:lineRule="exact"/>
              <w:rPr>
                <w:rFonts w:ascii="宋体" w:hAnsi="宋体" w:cs="宋体"/>
                <w:b/>
                <w:bCs/>
                <w:szCs w:val="21"/>
              </w:rPr>
            </w:pPr>
          </w:p>
        </w:tc>
        <w:tc>
          <w:tcPr>
            <w:tcW w:w="709" w:type="dxa"/>
            <w:vMerge w:val="continue"/>
          </w:tcPr>
          <w:p>
            <w:pPr>
              <w:spacing w:line="280" w:lineRule="exact"/>
              <w:rPr>
                <w:rFonts w:ascii="宋体" w:hAnsi="宋体" w:cs="宋体"/>
                <w:b/>
                <w:bCs/>
                <w:szCs w:val="21"/>
              </w:rPr>
            </w:pPr>
          </w:p>
        </w:tc>
        <w:tc>
          <w:tcPr>
            <w:tcW w:w="2409" w:type="dxa"/>
            <w:vMerge w:val="restart"/>
          </w:tcPr>
          <w:p>
            <w:pPr>
              <w:spacing w:line="280" w:lineRule="exact"/>
              <w:rPr>
                <w:rFonts w:ascii="宋体" w:hAnsi="宋体" w:cs="宋体"/>
                <w:szCs w:val="21"/>
              </w:rPr>
            </w:pPr>
            <w:r>
              <w:rPr>
                <w:rFonts w:hint="eastAsia" w:ascii="宋体" w:hAnsi="宋体" w:cs="宋体"/>
                <w:szCs w:val="21"/>
              </w:rPr>
              <w:t>3.企业应严格执行危险化学品运输、装卸安全管理制度，规范运输、装卸人员行为。</w:t>
            </w:r>
          </w:p>
          <w:p>
            <w:pPr>
              <w:spacing w:line="280" w:lineRule="exact"/>
              <w:rPr>
                <w:rFonts w:ascii="宋体" w:hAnsi="宋体" w:cs="宋体"/>
                <w:szCs w:val="21"/>
              </w:rPr>
            </w:pPr>
          </w:p>
        </w:tc>
        <w:tc>
          <w:tcPr>
            <w:tcW w:w="2268" w:type="dxa"/>
            <w:vMerge w:val="restart"/>
          </w:tcPr>
          <w:p>
            <w:pPr>
              <w:spacing w:line="280" w:lineRule="exact"/>
              <w:rPr>
                <w:rFonts w:ascii="宋体" w:hAnsi="宋体" w:cs="宋体"/>
                <w:szCs w:val="21"/>
              </w:rPr>
            </w:pPr>
            <w:r>
              <w:rPr>
                <w:rFonts w:hint="eastAsia" w:ascii="宋体" w:hAnsi="宋体" w:cs="宋体"/>
                <w:szCs w:val="21"/>
              </w:rPr>
              <w:t>1.严格执行危险化学品运输、装卸安全管理制度，进行安全检查，对运输、装卸人员行为进行规范管理；</w:t>
            </w:r>
          </w:p>
          <w:p>
            <w:pPr>
              <w:spacing w:line="280" w:lineRule="exact"/>
              <w:rPr>
                <w:rFonts w:ascii="宋体" w:hAnsi="宋体" w:cs="宋体"/>
                <w:szCs w:val="21"/>
              </w:rPr>
            </w:pPr>
            <w:r>
              <w:rPr>
                <w:rFonts w:hint="eastAsia" w:ascii="宋体" w:hAnsi="宋体" w:cs="宋体"/>
                <w:szCs w:val="21"/>
              </w:rPr>
              <w:t>2.危险化学品运输专用车辆安装具有行驶记录功能的卫星定位装置；</w:t>
            </w:r>
          </w:p>
          <w:p>
            <w:pPr>
              <w:spacing w:line="280" w:lineRule="exact"/>
              <w:rPr>
                <w:rFonts w:ascii="宋体" w:hAnsi="宋体" w:cs="宋体"/>
                <w:szCs w:val="21"/>
              </w:rPr>
            </w:pPr>
            <w:r>
              <w:rPr>
                <w:rFonts w:hint="eastAsia" w:ascii="宋体" w:hAnsi="宋体" w:cs="宋体"/>
                <w:szCs w:val="21"/>
              </w:rPr>
              <w:t>3.企业要对危险化学品运输车辆GPS的安装、使用情况进行检查并记录；</w:t>
            </w:r>
          </w:p>
          <w:p>
            <w:pPr>
              <w:spacing w:line="280" w:lineRule="exact"/>
              <w:rPr>
                <w:rFonts w:ascii="宋体" w:hAnsi="宋体" w:cs="宋体"/>
                <w:szCs w:val="21"/>
              </w:rPr>
            </w:pPr>
            <w:r>
              <w:rPr>
                <w:rFonts w:hint="eastAsia" w:ascii="宋体" w:hAnsi="宋体" w:cs="宋体"/>
                <w:szCs w:val="21"/>
              </w:rPr>
              <w:t>4.采用金属万向管道充装系统充装液氯、液氨、液化石油气、液化天然气等液化危险化学品；</w:t>
            </w:r>
          </w:p>
          <w:p>
            <w:pPr>
              <w:spacing w:line="280" w:lineRule="exact"/>
              <w:rPr>
                <w:rFonts w:ascii="宋体" w:hAnsi="宋体" w:cs="宋体"/>
                <w:szCs w:val="21"/>
              </w:rPr>
            </w:pPr>
            <w:r>
              <w:rPr>
                <w:rFonts w:hint="eastAsia" w:ascii="宋体" w:hAnsi="宋体" w:cs="宋体"/>
                <w:szCs w:val="21"/>
              </w:rPr>
              <w:t>5.生产储存危险化学品企业转产、停产、停业或解散时，应当采取有效措施，及时妥善处置危险化学品装置、储存设施以及库存的危险化学品，不得丢弃；处置方案报县级政府有关部门备案。</w:t>
            </w:r>
          </w:p>
        </w:tc>
        <w:tc>
          <w:tcPr>
            <w:tcW w:w="2268" w:type="dxa"/>
          </w:tcPr>
          <w:p>
            <w:pPr>
              <w:spacing w:line="280" w:lineRule="exact"/>
              <w:rPr>
                <w:rFonts w:ascii="宋体" w:hAnsi="宋体" w:cs="宋体"/>
                <w:szCs w:val="21"/>
              </w:rPr>
            </w:pPr>
            <w:r>
              <w:rPr>
                <w:rFonts w:hint="eastAsia" w:ascii="宋体" w:hAnsi="宋体" w:cs="宋体"/>
                <w:szCs w:val="21"/>
              </w:rPr>
              <w:t>查文件：</w:t>
            </w:r>
          </w:p>
          <w:p>
            <w:pPr>
              <w:spacing w:line="280" w:lineRule="exact"/>
              <w:rPr>
                <w:rFonts w:ascii="宋体" w:hAnsi="宋体" w:cs="宋体"/>
                <w:szCs w:val="21"/>
              </w:rPr>
            </w:pPr>
            <w:r>
              <w:rPr>
                <w:rFonts w:hint="eastAsia" w:ascii="宋体" w:hAnsi="宋体" w:cs="宋体"/>
                <w:szCs w:val="21"/>
              </w:rPr>
              <w:t>1.危险化学品运输、装卸安全管理制度；</w:t>
            </w:r>
          </w:p>
          <w:p>
            <w:pPr>
              <w:spacing w:line="280" w:lineRule="exact"/>
              <w:rPr>
                <w:rFonts w:ascii="宋体" w:hAnsi="宋体" w:cs="宋体"/>
                <w:szCs w:val="21"/>
              </w:rPr>
            </w:pPr>
            <w:r>
              <w:rPr>
                <w:rFonts w:hint="eastAsia" w:ascii="宋体" w:hAnsi="宋体" w:cs="宋体"/>
                <w:szCs w:val="21"/>
              </w:rPr>
              <w:t>2.装车前后安全检查记录。</w:t>
            </w:r>
          </w:p>
          <w:p>
            <w:pPr>
              <w:spacing w:line="280" w:lineRule="exact"/>
              <w:rPr>
                <w:rFonts w:ascii="宋体" w:hAnsi="宋体" w:cs="宋体"/>
                <w:szCs w:val="21"/>
              </w:rPr>
            </w:pPr>
            <w:r>
              <w:rPr>
                <w:rFonts w:hint="eastAsia" w:ascii="宋体" w:hAnsi="宋体" w:cs="宋体"/>
                <w:szCs w:val="21"/>
              </w:rPr>
              <w:t>询问：</w:t>
            </w:r>
          </w:p>
          <w:p>
            <w:pPr>
              <w:spacing w:line="280" w:lineRule="exact"/>
              <w:rPr>
                <w:rFonts w:ascii="宋体" w:hAnsi="宋体" w:cs="宋体"/>
                <w:szCs w:val="21"/>
              </w:rPr>
            </w:pPr>
            <w:r>
              <w:rPr>
                <w:rFonts w:hint="eastAsia" w:ascii="宋体" w:hAnsi="宋体" w:cs="宋体"/>
                <w:szCs w:val="21"/>
              </w:rPr>
              <w:t>有关人员对危险化学品运输、装卸的安全管理要求。</w:t>
            </w:r>
          </w:p>
          <w:p>
            <w:pPr>
              <w:spacing w:line="280" w:lineRule="exact"/>
              <w:rPr>
                <w:rFonts w:ascii="宋体" w:hAnsi="宋体" w:cs="宋体"/>
                <w:szCs w:val="21"/>
              </w:rPr>
            </w:pPr>
            <w:r>
              <w:rPr>
                <w:rFonts w:hint="eastAsia" w:ascii="宋体" w:hAnsi="宋体" w:cs="宋体"/>
                <w:szCs w:val="21"/>
              </w:rPr>
              <w:t>现场检查：</w:t>
            </w:r>
          </w:p>
          <w:p>
            <w:pPr>
              <w:spacing w:line="280" w:lineRule="exact"/>
              <w:rPr>
                <w:rFonts w:ascii="宋体" w:hAnsi="宋体" w:cs="宋体"/>
                <w:szCs w:val="21"/>
              </w:rPr>
            </w:pPr>
            <w:r>
              <w:rPr>
                <w:rFonts w:hint="eastAsia" w:ascii="宋体" w:hAnsi="宋体" w:cs="宋体"/>
                <w:szCs w:val="21"/>
              </w:rPr>
              <w:t>1.危险化学品运输专用车辆是否配备卫星定位装置；</w:t>
            </w:r>
          </w:p>
          <w:p>
            <w:pPr>
              <w:spacing w:line="280" w:lineRule="exact"/>
              <w:rPr>
                <w:rFonts w:ascii="宋体" w:hAnsi="宋体" w:cs="宋体"/>
                <w:szCs w:val="21"/>
              </w:rPr>
            </w:pPr>
            <w:r>
              <w:rPr>
                <w:rFonts w:hint="eastAsia" w:ascii="宋体" w:hAnsi="宋体" w:cs="宋体"/>
                <w:szCs w:val="21"/>
              </w:rPr>
              <w:t>2.充装设施。</w:t>
            </w:r>
          </w:p>
        </w:tc>
        <w:tc>
          <w:tcPr>
            <w:tcW w:w="1701" w:type="dxa"/>
          </w:tcPr>
          <w:p>
            <w:pPr>
              <w:spacing w:line="280" w:lineRule="exact"/>
              <w:rPr>
                <w:rFonts w:ascii="宋体" w:hAnsi="宋体" w:cs="宋体"/>
                <w:szCs w:val="21"/>
              </w:rPr>
            </w:pPr>
          </w:p>
        </w:tc>
        <w:tc>
          <w:tcPr>
            <w:tcW w:w="2268" w:type="dxa"/>
          </w:tcPr>
          <w:p>
            <w:pPr>
              <w:spacing w:line="280" w:lineRule="exact"/>
              <w:rPr>
                <w:rFonts w:ascii="宋体" w:hAnsi="宋体" w:cs="宋体"/>
                <w:szCs w:val="21"/>
              </w:rPr>
            </w:pPr>
            <w:r>
              <w:rPr>
                <w:rFonts w:hint="eastAsia" w:ascii="宋体" w:hAnsi="宋体" w:cs="宋体"/>
                <w:szCs w:val="21"/>
              </w:rPr>
              <w:t>1.装车前后未进行安全检查，无记录，扣2分；检查内容不符合要求，一项扣1分；</w:t>
            </w:r>
          </w:p>
          <w:p>
            <w:pPr>
              <w:spacing w:line="280" w:lineRule="exact"/>
              <w:rPr>
                <w:rFonts w:ascii="宋体" w:hAnsi="宋体" w:cs="宋体"/>
                <w:szCs w:val="21"/>
              </w:rPr>
            </w:pPr>
            <w:r>
              <w:rPr>
                <w:rFonts w:hint="eastAsia" w:ascii="宋体" w:hAnsi="宋体" w:cs="宋体"/>
                <w:szCs w:val="21"/>
              </w:rPr>
              <w:t>2.有关人员不清楚危险化学品运输、装卸安全管理要求，1人扣1分。</w:t>
            </w:r>
          </w:p>
          <w:p>
            <w:pPr>
              <w:spacing w:line="280" w:lineRule="exact"/>
              <w:rPr>
                <w:rFonts w:ascii="宋体" w:hAnsi="宋体" w:cs="宋体"/>
                <w:szCs w:val="21"/>
              </w:rPr>
            </w:pPr>
            <w:r>
              <w:rPr>
                <w:rFonts w:hint="eastAsia" w:ascii="宋体" w:hAnsi="宋体" w:cs="宋体"/>
                <w:szCs w:val="21"/>
              </w:rPr>
              <w:t>3.使用无卫星定位装置危险化学品运输车辆，扣2分。</w:t>
            </w:r>
          </w:p>
          <w:p>
            <w:pPr>
              <w:spacing w:line="280" w:lineRule="exact"/>
              <w:rPr>
                <w:rFonts w:ascii="宋体" w:hAnsi="宋体" w:cs="宋体"/>
                <w:szCs w:val="21"/>
              </w:rPr>
            </w:pPr>
            <w:r>
              <w:rPr>
                <w:rFonts w:hint="eastAsia" w:ascii="宋体" w:hAnsi="宋体" w:cs="宋体"/>
                <w:szCs w:val="21"/>
              </w:rPr>
              <w:t>4.充装设施不符合要求，一项不符合扣1分。</w:t>
            </w:r>
          </w:p>
        </w:tc>
        <w:tc>
          <w:tcPr>
            <w:tcW w:w="1165" w:type="dxa"/>
            <w:vAlign w:val="center"/>
          </w:tcPr>
          <w:p>
            <w:pPr>
              <w:spacing w:line="280" w:lineRule="exact"/>
              <w:jc w:val="center"/>
              <w:rPr>
                <w:rFonts w:ascii="宋体" w:hAnsi="宋体" w:cs="宋体"/>
                <w:szCs w:val="21"/>
              </w:rPr>
            </w:pPr>
            <w:r>
              <w:rPr>
                <w:rFonts w:hint="eastAsia" w:ascii="宋体" w:hAnsi="宋体" w:cs="宋体"/>
                <w:szCs w:val="21"/>
              </w:rPr>
              <w:t>符合要求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771" w:type="dxa"/>
            <w:vMerge w:val="continue"/>
          </w:tcPr>
          <w:p>
            <w:pPr>
              <w:spacing w:line="280" w:lineRule="exact"/>
              <w:rPr>
                <w:rFonts w:ascii="宋体" w:hAnsi="宋体" w:cs="宋体"/>
                <w:b/>
                <w:bCs/>
                <w:szCs w:val="21"/>
              </w:rPr>
            </w:pPr>
          </w:p>
        </w:tc>
        <w:tc>
          <w:tcPr>
            <w:tcW w:w="709" w:type="dxa"/>
            <w:vMerge w:val="continue"/>
          </w:tcPr>
          <w:p>
            <w:pPr>
              <w:spacing w:line="280" w:lineRule="exact"/>
              <w:rPr>
                <w:rFonts w:ascii="宋体" w:hAnsi="宋体" w:cs="宋体"/>
                <w:b/>
                <w:bCs/>
                <w:szCs w:val="21"/>
              </w:rPr>
            </w:pPr>
          </w:p>
        </w:tc>
        <w:tc>
          <w:tcPr>
            <w:tcW w:w="2409" w:type="dxa"/>
            <w:vMerge w:val="continue"/>
          </w:tcPr>
          <w:p>
            <w:pPr>
              <w:spacing w:line="280" w:lineRule="exact"/>
              <w:rPr>
                <w:rFonts w:ascii="宋体" w:hAnsi="宋体" w:cs="宋体"/>
                <w:szCs w:val="21"/>
              </w:rPr>
            </w:pPr>
          </w:p>
        </w:tc>
        <w:tc>
          <w:tcPr>
            <w:tcW w:w="2268" w:type="dxa"/>
            <w:vMerge w:val="continue"/>
          </w:tcPr>
          <w:p>
            <w:pPr>
              <w:spacing w:line="280" w:lineRule="exact"/>
              <w:rPr>
                <w:rFonts w:ascii="宋体" w:hAnsi="宋体" w:cs="宋体"/>
                <w:szCs w:val="21"/>
              </w:rPr>
            </w:pPr>
          </w:p>
        </w:tc>
        <w:tc>
          <w:tcPr>
            <w:tcW w:w="2268" w:type="dxa"/>
          </w:tcPr>
          <w:p>
            <w:pPr>
              <w:spacing w:line="280" w:lineRule="exact"/>
              <w:rPr>
                <w:rFonts w:ascii="宋体" w:hAnsi="宋体" w:cs="宋体"/>
                <w:szCs w:val="21"/>
              </w:rPr>
            </w:pPr>
            <w:r>
              <w:rPr>
                <w:rFonts w:hint="eastAsia" w:ascii="宋体" w:hAnsi="宋体" w:cs="宋体"/>
                <w:szCs w:val="21"/>
              </w:rPr>
              <w:t>查文件：</w:t>
            </w:r>
          </w:p>
          <w:p>
            <w:pPr>
              <w:spacing w:line="280" w:lineRule="exact"/>
              <w:rPr>
                <w:rFonts w:ascii="宋体" w:hAnsi="宋体" w:cs="宋体"/>
                <w:szCs w:val="21"/>
              </w:rPr>
            </w:pPr>
            <w:r>
              <w:rPr>
                <w:rFonts w:hint="eastAsia" w:ascii="宋体" w:hAnsi="宋体" w:cs="宋体"/>
                <w:szCs w:val="21"/>
              </w:rPr>
              <w:t>危险化学品装置、储存设施以及库存的危险化学品处置文件；备案文件；</w:t>
            </w:r>
          </w:p>
          <w:p>
            <w:pPr>
              <w:spacing w:line="280" w:lineRule="exact"/>
              <w:rPr>
                <w:rFonts w:ascii="宋体" w:hAnsi="宋体" w:cs="宋体"/>
                <w:szCs w:val="21"/>
              </w:rPr>
            </w:pPr>
            <w:r>
              <w:rPr>
                <w:rFonts w:hint="eastAsia" w:ascii="宋体" w:hAnsi="宋体" w:cs="宋体"/>
                <w:szCs w:val="21"/>
              </w:rPr>
              <w:t>现场检查：</w:t>
            </w:r>
          </w:p>
          <w:p>
            <w:pPr>
              <w:spacing w:line="280" w:lineRule="exact"/>
              <w:rPr>
                <w:rFonts w:ascii="宋体" w:hAnsi="宋体" w:cs="宋体"/>
                <w:szCs w:val="21"/>
              </w:rPr>
            </w:pPr>
            <w:r>
              <w:rPr>
                <w:rFonts w:hint="eastAsia" w:ascii="宋体" w:hAnsi="宋体" w:cs="宋体"/>
                <w:szCs w:val="21"/>
              </w:rPr>
              <w:t>废弃设施。</w:t>
            </w:r>
          </w:p>
        </w:tc>
        <w:tc>
          <w:tcPr>
            <w:tcW w:w="1701" w:type="dxa"/>
          </w:tcPr>
          <w:p>
            <w:pPr>
              <w:spacing w:line="280" w:lineRule="exact"/>
              <w:rPr>
                <w:rFonts w:ascii="宋体" w:hAnsi="宋体" w:cs="宋体"/>
                <w:szCs w:val="21"/>
              </w:rPr>
            </w:pPr>
          </w:p>
        </w:tc>
        <w:tc>
          <w:tcPr>
            <w:tcW w:w="2268" w:type="dxa"/>
          </w:tcPr>
          <w:p>
            <w:pPr>
              <w:spacing w:line="280" w:lineRule="exact"/>
              <w:rPr>
                <w:rFonts w:ascii="宋体" w:hAnsi="宋体" w:cs="宋体"/>
                <w:szCs w:val="21"/>
              </w:rPr>
            </w:pPr>
            <w:r>
              <w:rPr>
                <w:rFonts w:hint="eastAsia" w:ascii="宋体" w:hAnsi="宋体" w:cs="宋体"/>
                <w:szCs w:val="21"/>
              </w:rPr>
              <w:t>1.危险化学品装置、储存设施以及库存的危险化学品未按规定处置扣3分；</w:t>
            </w:r>
          </w:p>
          <w:p>
            <w:pPr>
              <w:spacing w:line="280" w:lineRule="exact"/>
              <w:rPr>
                <w:rFonts w:ascii="宋体" w:hAnsi="宋体" w:cs="宋体"/>
                <w:szCs w:val="21"/>
              </w:rPr>
            </w:pPr>
            <w:r>
              <w:rPr>
                <w:rFonts w:hint="eastAsia" w:ascii="宋体" w:hAnsi="宋体" w:cs="宋体"/>
                <w:szCs w:val="21"/>
              </w:rPr>
              <w:t>2.未备案扣1分。</w:t>
            </w:r>
          </w:p>
        </w:tc>
        <w:tc>
          <w:tcPr>
            <w:tcW w:w="1165" w:type="dxa"/>
            <w:vAlign w:val="center"/>
          </w:tcPr>
          <w:p>
            <w:pPr>
              <w:spacing w:line="280" w:lineRule="exact"/>
              <w:jc w:val="center"/>
              <w:rPr>
                <w:rFonts w:ascii="宋体" w:hAnsi="宋体" w:cs="宋体"/>
                <w:szCs w:val="21"/>
              </w:rPr>
            </w:pPr>
            <w:r>
              <w:rPr>
                <w:rFonts w:hint="eastAsia" w:ascii="宋体" w:hAnsi="宋体" w:cs="宋体"/>
                <w:szCs w:val="21"/>
              </w:rPr>
              <w:t>符合要求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771" w:type="dxa"/>
            <w:vMerge w:val="restart"/>
          </w:tcPr>
          <w:p>
            <w:pPr>
              <w:spacing w:line="280" w:lineRule="exact"/>
              <w:rPr>
                <w:rFonts w:ascii="宋体" w:hAnsi="宋体" w:cs="宋体"/>
                <w:b/>
                <w:bCs/>
                <w:szCs w:val="21"/>
              </w:rPr>
            </w:pPr>
            <w:r>
              <w:rPr>
                <w:rFonts w:hint="eastAsia" w:ascii="宋体" w:hAnsi="宋体" w:cs="宋体"/>
                <w:b/>
                <w:bCs/>
                <w:szCs w:val="21"/>
              </w:rPr>
              <w:t>10事故与应急</w:t>
            </w:r>
          </w:p>
          <w:p>
            <w:pPr>
              <w:spacing w:line="280" w:lineRule="exact"/>
              <w:rPr>
                <w:rFonts w:ascii="宋体" w:hAnsi="宋体" w:cs="宋体"/>
                <w:b/>
                <w:bCs/>
                <w:szCs w:val="21"/>
              </w:rPr>
            </w:pPr>
            <w:r>
              <w:rPr>
                <w:rFonts w:hint="eastAsia" w:ascii="宋体" w:hAnsi="宋体" w:cs="宋体"/>
                <w:b/>
                <w:bCs/>
                <w:szCs w:val="21"/>
              </w:rPr>
              <w:t>（100分）</w:t>
            </w:r>
          </w:p>
          <w:p>
            <w:pPr>
              <w:spacing w:line="280" w:lineRule="exact"/>
              <w:rPr>
                <w:rFonts w:ascii="宋体" w:hAnsi="宋体" w:cs="宋体"/>
                <w:b/>
                <w:bCs/>
                <w:szCs w:val="21"/>
              </w:rPr>
            </w:pPr>
          </w:p>
        </w:tc>
        <w:tc>
          <w:tcPr>
            <w:tcW w:w="709" w:type="dxa"/>
            <w:vMerge w:val="restart"/>
          </w:tcPr>
          <w:p>
            <w:pPr>
              <w:spacing w:line="280" w:lineRule="exact"/>
              <w:rPr>
                <w:rFonts w:ascii="宋体" w:hAnsi="宋体" w:cs="宋体"/>
                <w:b/>
                <w:bCs/>
                <w:szCs w:val="21"/>
              </w:rPr>
            </w:pPr>
            <w:r>
              <w:rPr>
                <w:rFonts w:hint="eastAsia" w:ascii="宋体" w:hAnsi="宋体" w:cs="宋体"/>
                <w:b/>
                <w:bCs/>
                <w:szCs w:val="21"/>
              </w:rPr>
              <w:t>10.1</w:t>
            </w:r>
          </w:p>
          <w:p>
            <w:pPr>
              <w:spacing w:line="280" w:lineRule="exact"/>
              <w:rPr>
                <w:rFonts w:ascii="宋体" w:hAnsi="宋体" w:cs="宋体"/>
                <w:b/>
                <w:bCs/>
                <w:szCs w:val="21"/>
              </w:rPr>
            </w:pPr>
            <w:r>
              <w:rPr>
                <w:rFonts w:hint="eastAsia" w:ascii="宋体" w:hAnsi="宋体" w:cs="宋体"/>
                <w:b/>
                <w:bCs/>
                <w:szCs w:val="21"/>
              </w:rPr>
              <w:t>应急指挥与救援系统</w:t>
            </w:r>
          </w:p>
          <w:p>
            <w:pPr>
              <w:spacing w:line="280" w:lineRule="exact"/>
              <w:rPr>
                <w:rFonts w:ascii="宋体" w:hAnsi="宋体" w:cs="宋体"/>
                <w:b/>
                <w:bCs/>
                <w:szCs w:val="21"/>
              </w:rPr>
            </w:pPr>
            <w:r>
              <w:rPr>
                <w:rFonts w:hint="eastAsia" w:ascii="宋体" w:hAnsi="宋体" w:cs="宋体"/>
                <w:b/>
                <w:bCs/>
                <w:szCs w:val="21"/>
              </w:rPr>
              <w:t>（10分）</w:t>
            </w:r>
          </w:p>
        </w:tc>
        <w:tc>
          <w:tcPr>
            <w:tcW w:w="2409" w:type="dxa"/>
          </w:tcPr>
          <w:p>
            <w:pPr>
              <w:spacing w:line="280" w:lineRule="exact"/>
              <w:rPr>
                <w:rFonts w:ascii="宋体" w:hAnsi="宋体" w:cs="宋体"/>
                <w:szCs w:val="21"/>
              </w:rPr>
            </w:pPr>
            <w:r>
              <w:rPr>
                <w:rFonts w:hint="eastAsia" w:ascii="宋体" w:hAnsi="宋体" w:cs="宋体"/>
                <w:szCs w:val="21"/>
              </w:rPr>
              <w:t>1.企业应建立应急指挥系统，实行分级管理，即厂级、车间级管理。</w:t>
            </w:r>
          </w:p>
        </w:tc>
        <w:tc>
          <w:tcPr>
            <w:tcW w:w="2268" w:type="dxa"/>
          </w:tcPr>
          <w:p>
            <w:pPr>
              <w:spacing w:line="280" w:lineRule="exact"/>
              <w:rPr>
                <w:rFonts w:ascii="宋体" w:hAnsi="宋体" w:cs="宋体"/>
                <w:szCs w:val="21"/>
              </w:rPr>
            </w:pPr>
            <w:r>
              <w:rPr>
                <w:rFonts w:hint="eastAsia" w:ascii="宋体" w:hAnsi="宋体" w:cs="宋体"/>
                <w:szCs w:val="21"/>
              </w:rPr>
              <w:t>建立厂级和车间级应急指挥系统。</w:t>
            </w:r>
          </w:p>
        </w:tc>
        <w:tc>
          <w:tcPr>
            <w:tcW w:w="2268" w:type="dxa"/>
          </w:tcPr>
          <w:p>
            <w:pPr>
              <w:spacing w:line="280" w:lineRule="exact"/>
              <w:rPr>
                <w:rFonts w:ascii="宋体" w:hAnsi="宋体" w:cs="宋体"/>
                <w:szCs w:val="21"/>
              </w:rPr>
            </w:pPr>
            <w:r>
              <w:rPr>
                <w:rFonts w:hint="eastAsia" w:ascii="宋体" w:hAnsi="宋体" w:cs="宋体"/>
                <w:szCs w:val="21"/>
              </w:rPr>
              <w:t>查文件：</w:t>
            </w:r>
          </w:p>
          <w:p>
            <w:pPr>
              <w:spacing w:line="280" w:lineRule="exact"/>
              <w:rPr>
                <w:rFonts w:ascii="宋体" w:hAnsi="宋体" w:cs="宋体"/>
                <w:szCs w:val="21"/>
              </w:rPr>
            </w:pPr>
            <w:r>
              <w:rPr>
                <w:rFonts w:hint="eastAsia" w:ascii="宋体" w:hAnsi="宋体" w:cs="宋体"/>
                <w:szCs w:val="21"/>
              </w:rPr>
              <w:t>应急救援预案。</w:t>
            </w:r>
          </w:p>
          <w:p>
            <w:pPr>
              <w:spacing w:line="280" w:lineRule="exact"/>
              <w:rPr>
                <w:rFonts w:ascii="宋体" w:hAnsi="宋体" w:cs="宋体"/>
                <w:szCs w:val="21"/>
              </w:rPr>
            </w:pPr>
            <w:r>
              <w:rPr>
                <w:rFonts w:hint="eastAsia" w:ascii="宋体" w:hAnsi="宋体" w:cs="宋体"/>
                <w:szCs w:val="21"/>
              </w:rPr>
              <w:t>询问：</w:t>
            </w:r>
          </w:p>
          <w:p>
            <w:pPr>
              <w:spacing w:line="280" w:lineRule="exact"/>
              <w:rPr>
                <w:rFonts w:ascii="宋体" w:hAnsi="宋体" w:cs="宋体"/>
                <w:szCs w:val="21"/>
              </w:rPr>
            </w:pPr>
            <w:r>
              <w:rPr>
                <w:rFonts w:hint="eastAsia" w:ascii="宋体" w:hAnsi="宋体" w:cs="宋体"/>
                <w:szCs w:val="21"/>
              </w:rPr>
              <w:t>有关人员是否了解应急指挥系统。</w:t>
            </w:r>
          </w:p>
        </w:tc>
        <w:tc>
          <w:tcPr>
            <w:tcW w:w="1701" w:type="dxa"/>
          </w:tcPr>
          <w:p>
            <w:pPr>
              <w:spacing w:line="280" w:lineRule="exact"/>
              <w:rPr>
                <w:rFonts w:ascii="宋体" w:hAnsi="宋体" w:cs="宋体"/>
                <w:szCs w:val="21"/>
              </w:rPr>
            </w:pPr>
          </w:p>
        </w:tc>
        <w:tc>
          <w:tcPr>
            <w:tcW w:w="2268" w:type="dxa"/>
          </w:tcPr>
          <w:p>
            <w:pPr>
              <w:spacing w:line="280" w:lineRule="exact"/>
              <w:rPr>
                <w:rFonts w:ascii="宋体" w:hAnsi="宋体" w:cs="宋体"/>
                <w:szCs w:val="21"/>
              </w:rPr>
            </w:pPr>
            <w:r>
              <w:rPr>
                <w:rFonts w:hint="eastAsia" w:ascii="宋体" w:hAnsi="宋体" w:cs="宋体"/>
                <w:szCs w:val="21"/>
              </w:rPr>
              <w:t>1.未建立应急指挥系统，扣5分；</w:t>
            </w:r>
          </w:p>
          <w:p>
            <w:pPr>
              <w:spacing w:line="280" w:lineRule="exact"/>
              <w:rPr>
                <w:rFonts w:ascii="宋体" w:hAnsi="宋体" w:cs="宋体"/>
                <w:szCs w:val="21"/>
              </w:rPr>
            </w:pPr>
            <w:r>
              <w:rPr>
                <w:rFonts w:hint="eastAsia" w:ascii="宋体" w:hAnsi="宋体" w:cs="宋体"/>
                <w:szCs w:val="21"/>
              </w:rPr>
              <w:t>2.未实行厂级、车间级分级管理，扣2分；</w:t>
            </w:r>
          </w:p>
          <w:p>
            <w:pPr>
              <w:spacing w:line="280" w:lineRule="exact"/>
              <w:rPr>
                <w:rFonts w:ascii="宋体" w:hAnsi="宋体" w:cs="宋体"/>
                <w:szCs w:val="21"/>
              </w:rPr>
            </w:pPr>
            <w:r>
              <w:rPr>
                <w:rFonts w:hint="eastAsia" w:ascii="宋体" w:hAnsi="宋体" w:cs="宋体"/>
                <w:szCs w:val="21"/>
              </w:rPr>
              <w:t>3.有关人员不清楚应急指挥系统，1人次扣1分。</w:t>
            </w:r>
          </w:p>
        </w:tc>
        <w:tc>
          <w:tcPr>
            <w:tcW w:w="1165" w:type="dxa"/>
            <w:vAlign w:val="center"/>
          </w:tcPr>
          <w:p>
            <w:pPr>
              <w:spacing w:line="280" w:lineRule="exact"/>
              <w:jc w:val="center"/>
              <w:rPr>
                <w:rFonts w:ascii="宋体" w:hAnsi="宋体" w:cs="宋体"/>
                <w:szCs w:val="21"/>
              </w:rPr>
            </w:pPr>
            <w:r>
              <w:rPr>
                <w:rFonts w:hint="eastAsia" w:ascii="宋体" w:hAnsi="宋体" w:cs="宋体"/>
                <w:szCs w:val="21"/>
              </w:rPr>
              <w:t>符合要求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771" w:type="dxa"/>
            <w:vMerge w:val="continue"/>
          </w:tcPr>
          <w:p>
            <w:pPr>
              <w:spacing w:line="280" w:lineRule="exact"/>
              <w:rPr>
                <w:rFonts w:ascii="宋体" w:hAnsi="宋体" w:cs="宋体"/>
                <w:b/>
                <w:bCs/>
                <w:szCs w:val="21"/>
              </w:rPr>
            </w:pPr>
          </w:p>
        </w:tc>
        <w:tc>
          <w:tcPr>
            <w:tcW w:w="709" w:type="dxa"/>
            <w:vMerge w:val="continue"/>
          </w:tcPr>
          <w:p>
            <w:pPr>
              <w:spacing w:line="280" w:lineRule="exact"/>
              <w:rPr>
                <w:rFonts w:ascii="宋体" w:hAnsi="宋体" w:cs="宋体"/>
                <w:b/>
                <w:bCs/>
                <w:szCs w:val="21"/>
              </w:rPr>
            </w:pPr>
          </w:p>
        </w:tc>
        <w:tc>
          <w:tcPr>
            <w:tcW w:w="2409" w:type="dxa"/>
          </w:tcPr>
          <w:p>
            <w:pPr>
              <w:spacing w:line="280" w:lineRule="exact"/>
              <w:rPr>
                <w:rFonts w:ascii="宋体" w:hAnsi="宋体" w:cs="宋体"/>
                <w:szCs w:val="21"/>
              </w:rPr>
            </w:pPr>
            <w:r>
              <w:rPr>
                <w:rFonts w:hint="eastAsia" w:ascii="宋体" w:hAnsi="宋体" w:cs="宋体"/>
                <w:szCs w:val="21"/>
              </w:rPr>
              <w:t>2.企业应建立应急救援队伍。</w:t>
            </w:r>
          </w:p>
        </w:tc>
        <w:tc>
          <w:tcPr>
            <w:tcW w:w="2268" w:type="dxa"/>
          </w:tcPr>
          <w:p>
            <w:pPr>
              <w:spacing w:line="280" w:lineRule="exact"/>
              <w:rPr>
                <w:rFonts w:ascii="宋体" w:hAnsi="宋体" w:cs="宋体"/>
                <w:szCs w:val="21"/>
              </w:rPr>
            </w:pPr>
            <w:r>
              <w:rPr>
                <w:rFonts w:hint="eastAsia" w:ascii="宋体" w:hAnsi="宋体" w:cs="宋体"/>
                <w:szCs w:val="21"/>
              </w:rPr>
              <w:t>建立应急救援队伍。</w:t>
            </w:r>
          </w:p>
        </w:tc>
        <w:tc>
          <w:tcPr>
            <w:tcW w:w="2268" w:type="dxa"/>
          </w:tcPr>
          <w:p>
            <w:pPr>
              <w:spacing w:line="280" w:lineRule="exact"/>
              <w:rPr>
                <w:rFonts w:ascii="宋体" w:hAnsi="宋体" w:cs="宋体"/>
                <w:szCs w:val="21"/>
              </w:rPr>
            </w:pPr>
            <w:r>
              <w:rPr>
                <w:rFonts w:hint="eastAsia" w:ascii="宋体" w:hAnsi="宋体" w:cs="宋体"/>
                <w:szCs w:val="21"/>
              </w:rPr>
              <w:t>查文件：</w:t>
            </w:r>
          </w:p>
          <w:p>
            <w:pPr>
              <w:spacing w:line="280" w:lineRule="exact"/>
              <w:rPr>
                <w:rFonts w:ascii="宋体" w:hAnsi="宋体" w:cs="宋体"/>
                <w:szCs w:val="21"/>
              </w:rPr>
            </w:pPr>
            <w:r>
              <w:rPr>
                <w:rFonts w:hint="eastAsia" w:ascii="宋体" w:hAnsi="宋体" w:cs="宋体"/>
                <w:szCs w:val="21"/>
              </w:rPr>
              <w:t>应急救援预案。</w:t>
            </w:r>
          </w:p>
          <w:p>
            <w:pPr>
              <w:spacing w:line="280" w:lineRule="exact"/>
              <w:rPr>
                <w:rFonts w:ascii="宋体" w:hAnsi="宋体" w:cs="宋体"/>
                <w:szCs w:val="21"/>
              </w:rPr>
            </w:pPr>
            <w:r>
              <w:rPr>
                <w:rFonts w:hint="eastAsia" w:ascii="宋体" w:hAnsi="宋体" w:cs="宋体"/>
                <w:szCs w:val="21"/>
              </w:rPr>
              <w:t>询问：</w:t>
            </w:r>
          </w:p>
          <w:p>
            <w:pPr>
              <w:spacing w:line="280" w:lineRule="exact"/>
              <w:rPr>
                <w:rFonts w:ascii="宋体" w:hAnsi="宋体" w:cs="宋体"/>
                <w:szCs w:val="21"/>
              </w:rPr>
            </w:pPr>
            <w:r>
              <w:rPr>
                <w:rFonts w:hint="eastAsia" w:ascii="宋体" w:hAnsi="宋体" w:cs="宋体"/>
                <w:szCs w:val="21"/>
              </w:rPr>
              <w:t>有关人员是否了解应急救援队伍组成。</w:t>
            </w:r>
          </w:p>
        </w:tc>
        <w:tc>
          <w:tcPr>
            <w:tcW w:w="1701" w:type="dxa"/>
          </w:tcPr>
          <w:p>
            <w:pPr>
              <w:spacing w:line="280" w:lineRule="exact"/>
              <w:rPr>
                <w:rFonts w:ascii="宋体" w:hAnsi="宋体" w:cs="宋体"/>
                <w:szCs w:val="21"/>
              </w:rPr>
            </w:pPr>
          </w:p>
        </w:tc>
        <w:tc>
          <w:tcPr>
            <w:tcW w:w="2268" w:type="dxa"/>
          </w:tcPr>
          <w:p>
            <w:pPr>
              <w:spacing w:line="280" w:lineRule="exact"/>
              <w:rPr>
                <w:rFonts w:ascii="宋体" w:hAnsi="宋体" w:cs="宋体"/>
                <w:szCs w:val="21"/>
              </w:rPr>
            </w:pPr>
            <w:r>
              <w:rPr>
                <w:rFonts w:hint="eastAsia" w:ascii="宋体" w:hAnsi="宋体" w:cs="宋体"/>
                <w:szCs w:val="21"/>
              </w:rPr>
              <w:t>1.未建立应急救援队伍，扣2分；</w:t>
            </w:r>
          </w:p>
          <w:p>
            <w:pPr>
              <w:spacing w:line="280" w:lineRule="exact"/>
              <w:rPr>
                <w:rFonts w:ascii="宋体" w:hAnsi="宋体" w:cs="宋体"/>
                <w:szCs w:val="21"/>
              </w:rPr>
            </w:pPr>
            <w:r>
              <w:rPr>
                <w:rFonts w:hint="eastAsia" w:ascii="宋体" w:hAnsi="宋体" w:cs="宋体"/>
                <w:szCs w:val="21"/>
              </w:rPr>
              <w:t>2.有关人员不清楚应急救援队伍组成，1人次扣2分。</w:t>
            </w:r>
          </w:p>
        </w:tc>
        <w:tc>
          <w:tcPr>
            <w:tcW w:w="1165" w:type="dxa"/>
            <w:vAlign w:val="center"/>
          </w:tcPr>
          <w:p>
            <w:pPr>
              <w:spacing w:line="280" w:lineRule="exact"/>
              <w:jc w:val="center"/>
              <w:rPr>
                <w:rFonts w:ascii="宋体" w:hAnsi="宋体" w:cs="宋体"/>
                <w:szCs w:val="21"/>
              </w:rPr>
            </w:pPr>
            <w:r>
              <w:rPr>
                <w:rFonts w:hint="eastAsia" w:ascii="宋体" w:hAnsi="宋体" w:cs="宋体"/>
                <w:szCs w:val="21"/>
              </w:rPr>
              <w:t>符合要求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771" w:type="dxa"/>
            <w:vMerge w:val="continue"/>
          </w:tcPr>
          <w:p>
            <w:pPr>
              <w:spacing w:line="280" w:lineRule="exact"/>
              <w:rPr>
                <w:rFonts w:ascii="宋体" w:hAnsi="宋体" w:cs="宋体"/>
                <w:b/>
                <w:bCs/>
                <w:szCs w:val="21"/>
              </w:rPr>
            </w:pPr>
          </w:p>
        </w:tc>
        <w:tc>
          <w:tcPr>
            <w:tcW w:w="709" w:type="dxa"/>
            <w:vMerge w:val="continue"/>
          </w:tcPr>
          <w:p>
            <w:pPr>
              <w:spacing w:line="280" w:lineRule="exact"/>
              <w:rPr>
                <w:rFonts w:ascii="宋体" w:hAnsi="宋体" w:cs="宋体"/>
                <w:b/>
                <w:bCs/>
                <w:szCs w:val="21"/>
              </w:rPr>
            </w:pPr>
          </w:p>
        </w:tc>
        <w:tc>
          <w:tcPr>
            <w:tcW w:w="2409" w:type="dxa"/>
          </w:tcPr>
          <w:p>
            <w:pPr>
              <w:spacing w:line="280" w:lineRule="exact"/>
              <w:rPr>
                <w:rFonts w:ascii="宋体" w:hAnsi="宋体" w:cs="宋体"/>
                <w:szCs w:val="21"/>
              </w:rPr>
            </w:pPr>
            <w:r>
              <w:rPr>
                <w:rFonts w:hint="eastAsia" w:ascii="宋体" w:hAnsi="宋体" w:cs="宋体"/>
                <w:szCs w:val="21"/>
              </w:rPr>
              <w:t>3.企业应明确各级应急指挥系统和救援队的职责。</w:t>
            </w:r>
          </w:p>
        </w:tc>
        <w:tc>
          <w:tcPr>
            <w:tcW w:w="2268" w:type="dxa"/>
          </w:tcPr>
          <w:p>
            <w:pPr>
              <w:spacing w:line="280" w:lineRule="exact"/>
              <w:rPr>
                <w:rFonts w:ascii="宋体" w:hAnsi="宋体" w:cs="宋体"/>
                <w:szCs w:val="21"/>
              </w:rPr>
            </w:pPr>
            <w:r>
              <w:rPr>
                <w:rFonts w:hint="eastAsia" w:ascii="宋体" w:hAnsi="宋体" w:cs="宋体"/>
                <w:szCs w:val="21"/>
              </w:rPr>
              <w:t>明确各级指挥系统和救援队伍职责。</w:t>
            </w:r>
          </w:p>
        </w:tc>
        <w:tc>
          <w:tcPr>
            <w:tcW w:w="2268" w:type="dxa"/>
          </w:tcPr>
          <w:p>
            <w:pPr>
              <w:spacing w:line="280" w:lineRule="exact"/>
              <w:rPr>
                <w:rFonts w:ascii="宋体" w:hAnsi="宋体" w:cs="宋体"/>
                <w:szCs w:val="21"/>
              </w:rPr>
            </w:pPr>
            <w:r>
              <w:rPr>
                <w:rFonts w:hint="eastAsia" w:ascii="宋体" w:hAnsi="宋体" w:cs="宋体"/>
                <w:szCs w:val="21"/>
              </w:rPr>
              <w:t>查文件：</w:t>
            </w:r>
          </w:p>
          <w:p>
            <w:pPr>
              <w:spacing w:line="280" w:lineRule="exact"/>
              <w:rPr>
                <w:rFonts w:ascii="宋体" w:hAnsi="宋体" w:cs="宋体"/>
                <w:szCs w:val="21"/>
              </w:rPr>
            </w:pPr>
            <w:r>
              <w:rPr>
                <w:rFonts w:hint="eastAsia" w:ascii="宋体" w:hAnsi="宋体" w:cs="宋体"/>
                <w:szCs w:val="21"/>
              </w:rPr>
              <w:t>应急救援预案。</w:t>
            </w:r>
          </w:p>
          <w:p>
            <w:pPr>
              <w:spacing w:line="280" w:lineRule="exact"/>
              <w:rPr>
                <w:rFonts w:ascii="宋体" w:hAnsi="宋体" w:cs="宋体"/>
                <w:szCs w:val="21"/>
              </w:rPr>
            </w:pPr>
            <w:r>
              <w:rPr>
                <w:rFonts w:hint="eastAsia" w:ascii="宋体" w:hAnsi="宋体" w:cs="宋体"/>
                <w:szCs w:val="21"/>
              </w:rPr>
              <w:t>询问：</w:t>
            </w:r>
          </w:p>
          <w:p>
            <w:pPr>
              <w:spacing w:line="280" w:lineRule="exact"/>
              <w:rPr>
                <w:rFonts w:ascii="宋体" w:hAnsi="宋体" w:cs="宋体"/>
                <w:szCs w:val="21"/>
              </w:rPr>
            </w:pPr>
            <w:r>
              <w:rPr>
                <w:rFonts w:hint="eastAsia" w:ascii="宋体" w:hAnsi="宋体" w:cs="宋体"/>
                <w:szCs w:val="21"/>
              </w:rPr>
              <w:t>应急救援指挥人员和救援人员是否了解各自的职责。</w:t>
            </w:r>
          </w:p>
        </w:tc>
        <w:tc>
          <w:tcPr>
            <w:tcW w:w="1701" w:type="dxa"/>
          </w:tcPr>
          <w:p>
            <w:pPr>
              <w:spacing w:line="280" w:lineRule="exact"/>
              <w:rPr>
                <w:rFonts w:ascii="宋体" w:hAnsi="宋体" w:cs="宋体"/>
                <w:szCs w:val="21"/>
              </w:rPr>
            </w:pPr>
          </w:p>
        </w:tc>
        <w:tc>
          <w:tcPr>
            <w:tcW w:w="2268" w:type="dxa"/>
          </w:tcPr>
          <w:p>
            <w:pPr>
              <w:spacing w:line="280" w:lineRule="exact"/>
              <w:rPr>
                <w:rFonts w:ascii="宋体" w:hAnsi="宋体" w:cs="宋体"/>
                <w:szCs w:val="21"/>
              </w:rPr>
            </w:pPr>
            <w:r>
              <w:rPr>
                <w:rFonts w:hint="eastAsia" w:ascii="宋体" w:hAnsi="宋体" w:cs="宋体"/>
                <w:szCs w:val="21"/>
              </w:rPr>
              <w:t>1.未明确各级应急指挥系统和救援队伍职责，一项不符合扣2分；</w:t>
            </w:r>
          </w:p>
          <w:p>
            <w:pPr>
              <w:spacing w:line="280" w:lineRule="exact"/>
              <w:rPr>
                <w:rFonts w:ascii="宋体" w:hAnsi="宋体" w:cs="宋体"/>
                <w:szCs w:val="21"/>
              </w:rPr>
            </w:pPr>
            <w:r>
              <w:rPr>
                <w:rFonts w:hint="eastAsia" w:ascii="宋体" w:hAnsi="宋体" w:cs="宋体"/>
                <w:szCs w:val="21"/>
              </w:rPr>
              <w:t>2.有关人员不了解其应急职责，1人次扣1分。</w:t>
            </w:r>
          </w:p>
        </w:tc>
        <w:tc>
          <w:tcPr>
            <w:tcW w:w="1165" w:type="dxa"/>
            <w:vAlign w:val="center"/>
          </w:tcPr>
          <w:p>
            <w:pPr>
              <w:spacing w:line="280" w:lineRule="exact"/>
              <w:jc w:val="center"/>
              <w:rPr>
                <w:rFonts w:ascii="宋体" w:hAnsi="宋体" w:cs="宋体"/>
                <w:szCs w:val="21"/>
              </w:rPr>
            </w:pPr>
            <w:r>
              <w:rPr>
                <w:rFonts w:hint="eastAsia" w:ascii="宋体" w:hAnsi="宋体" w:cs="宋体"/>
                <w:szCs w:val="21"/>
              </w:rPr>
              <w:t>现场询问岗位人员不了解其应急职责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771" w:type="dxa"/>
            <w:vMerge w:val="continue"/>
          </w:tcPr>
          <w:p>
            <w:pPr>
              <w:spacing w:line="280" w:lineRule="exact"/>
              <w:rPr>
                <w:rFonts w:ascii="宋体" w:hAnsi="宋体" w:cs="宋体"/>
                <w:b/>
                <w:bCs/>
                <w:szCs w:val="21"/>
              </w:rPr>
            </w:pPr>
          </w:p>
        </w:tc>
        <w:tc>
          <w:tcPr>
            <w:tcW w:w="709" w:type="dxa"/>
            <w:vMerge w:val="restart"/>
          </w:tcPr>
          <w:p>
            <w:pPr>
              <w:spacing w:line="280" w:lineRule="exact"/>
              <w:rPr>
                <w:rFonts w:ascii="宋体" w:hAnsi="宋体" w:cs="宋体"/>
                <w:b/>
                <w:bCs/>
                <w:szCs w:val="21"/>
              </w:rPr>
            </w:pPr>
            <w:r>
              <w:rPr>
                <w:rFonts w:hint="eastAsia" w:ascii="宋体" w:hAnsi="宋体" w:cs="宋体"/>
                <w:b/>
                <w:bCs/>
                <w:szCs w:val="21"/>
              </w:rPr>
              <w:t>10.2</w:t>
            </w:r>
          </w:p>
          <w:p>
            <w:pPr>
              <w:spacing w:line="280" w:lineRule="exact"/>
              <w:rPr>
                <w:rFonts w:ascii="宋体" w:hAnsi="宋体" w:cs="宋体"/>
                <w:b/>
                <w:bCs/>
                <w:szCs w:val="21"/>
              </w:rPr>
            </w:pPr>
            <w:r>
              <w:rPr>
                <w:rFonts w:hint="eastAsia" w:ascii="宋体" w:hAnsi="宋体" w:cs="宋体"/>
                <w:b/>
                <w:bCs/>
                <w:szCs w:val="21"/>
              </w:rPr>
              <w:t>应急救援设施</w:t>
            </w:r>
          </w:p>
          <w:p>
            <w:pPr>
              <w:spacing w:line="280" w:lineRule="exact"/>
              <w:rPr>
                <w:rFonts w:ascii="宋体" w:hAnsi="宋体" w:cs="宋体"/>
                <w:b/>
                <w:bCs/>
                <w:szCs w:val="21"/>
              </w:rPr>
            </w:pPr>
            <w:r>
              <w:rPr>
                <w:rFonts w:hint="eastAsia" w:ascii="宋体" w:hAnsi="宋体" w:cs="宋体"/>
                <w:b/>
                <w:bCs/>
                <w:szCs w:val="21"/>
              </w:rPr>
              <w:t>（15分）</w:t>
            </w:r>
          </w:p>
          <w:p>
            <w:pPr>
              <w:spacing w:line="280" w:lineRule="exact"/>
              <w:rPr>
                <w:rFonts w:ascii="宋体" w:hAnsi="宋体" w:cs="宋体"/>
                <w:b/>
                <w:bCs/>
                <w:szCs w:val="21"/>
              </w:rPr>
            </w:pPr>
          </w:p>
          <w:p>
            <w:pPr>
              <w:spacing w:line="280" w:lineRule="exact"/>
              <w:rPr>
                <w:rFonts w:ascii="宋体" w:hAnsi="宋体" w:cs="宋体"/>
                <w:b/>
                <w:bCs/>
                <w:szCs w:val="21"/>
              </w:rPr>
            </w:pPr>
          </w:p>
        </w:tc>
        <w:tc>
          <w:tcPr>
            <w:tcW w:w="2409" w:type="dxa"/>
          </w:tcPr>
          <w:p>
            <w:pPr>
              <w:spacing w:line="280" w:lineRule="exact"/>
              <w:rPr>
                <w:rFonts w:ascii="宋体" w:hAnsi="宋体" w:cs="宋体"/>
                <w:szCs w:val="21"/>
              </w:rPr>
            </w:pPr>
            <w:r>
              <w:rPr>
                <w:rFonts w:hint="eastAsia" w:ascii="宋体" w:hAnsi="宋体" w:cs="宋体"/>
                <w:szCs w:val="21"/>
              </w:rPr>
              <w:t>1.企业应按国家有关规定，配备足够的应急救援器材，并保持完好。</w:t>
            </w:r>
          </w:p>
        </w:tc>
        <w:tc>
          <w:tcPr>
            <w:tcW w:w="2268" w:type="dxa"/>
          </w:tcPr>
          <w:p>
            <w:pPr>
              <w:spacing w:line="280" w:lineRule="exact"/>
              <w:rPr>
                <w:rFonts w:ascii="宋体" w:hAnsi="宋体" w:cs="宋体"/>
                <w:szCs w:val="21"/>
              </w:rPr>
            </w:pPr>
            <w:r>
              <w:rPr>
                <w:rFonts w:hint="eastAsia" w:ascii="宋体" w:hAnsi="宋体" w:cs="宋体"/>
                <w:szCs w:val="21"/>
              </w:rPr>
              <w:t>1.针对可能发生的事故类型，按照规定配备足够的应急救援器材、消防设施及器材；</w:t>
            </w:r>
          </w:p>
          <w:p>
            <w:pPr>
              <w:spacing w:line="280" w:lineRule="exact"/>
              <w:rPr>
                <w:rFonts w:ascii="宋体" w:hAnsi="宋体" w:cs="宋体"/>
                <w:szCs w:val="21"/>
              </w:rPr>
            </w:pPr>
            <w:r>
              <w:rPr>
                <w:rFonts w:hint="eastAsia" w:ascii="宋体" w:hAnsi="宋体" w:cs="宋体"/>
                <w:szCs w:val="21"/>
              </w:rPr>
              <w:t xml:space="preserve">2.建立应急救援器材、消防设施及器材台账； </w:t>
            </w:r>
          </w:p>
          <w:p>
            <w:pPr>
              <w:spacing w:line="280" w:lineRule="exact"/>
              <w:rPr>
                <w:rFonts w:ascii="宋体" w:hAnsi="宋体" w:cs="宋体"/>
                <w:szCs w:val="21"/>
              </w:rPr>
            </w:pPr>
            <w:r>
              <w:rPr>
                <w:rFonts w:hint="eastAsia" w:ascii="宋体" w:hAnsi="宋体" w:cs="宋体"/>
                <w:szCs w:val="21"/>
              </w:rPr>
              <w:t>3.应急救援器材、消防设施及器材保持完好，方便易取；</w:t>
            </w:r>
          </w:p>
          <w:p>
            <w:pPr>
              <w:spacing w:line="280" w:lineRule="exact"/>
              <w:rPr>
                <w:rFonts w:ascii="宋体" w:hAnsi="宋体" w:cs="宋体"/>
                <w:szCs w:val="21"/>
              </w:rPr>
            </w:pPr>
            <w:r>
              <w:rPr>
                <w:rFonts w:hint="eastAsia" w:ascii="宋体" w:hAnsi="宋体" w:cs="宋体"/>
                <w:szCs w:val="21"/>
              </w:rPr>
              <w:t>4.疏散通道、安全出口、消防通道符合规定，保持畅通。</w:t>
            </w:r>
          </w:p>
        </w:tc>
        <w:tc>
          <w:tcPr>
            <w:tcW w:w="2268" w:type="dxa"/>
          </w:tcPr>
          <w:p>
            <w:pPr>
              <w:spacing w:line="280" w:lineRule="exact"/>
              <w:rPr>
                <w:rFonts w:ascii="宋体" w:hAnsi="宋体" w:cs="宋体"/>
                <w:szCs w:val="21"/>
              </w:rPr>
            </w:pPr>
            <w:r>
              <w:rPr>
                <w:rFonts w:hint="eastAsia" w:ascii="宋体" w:hAnsi="宋体" w:cs="宋体"/>
                <w:szCs w:val="21"/>
              </w:rPr>
              <w:t>查文件：</w:t>
            </w:r>
          </w:p>
          <w:p>
            <w:pPr>
              <w:spacing w:line="280" w:lineRule="exact"/>
              <w:rPr>
                <w:rFonts w:ascii="宋体" w:hAnsi="宋体" w:cs="宋体"/>
                <w:szCs w:val="21"/>
              </w:rPr>
            </w:pPr>
            <w:r>
              <w:rPr>
                <w:rFonts w:hint="eastAsia" w:ascii="宋体" w:hAnsi="宋体" w:cs="宋体"/>
                <w:szCs w:val="21"/>
              </w:rPr>
              <w:t>1.应急救援预案；</w:t>
            </w:r>
          </w:p>
          <w:p>
            <w:pPr>
              <w:spacing w:line="280" w:lineRule="exact"/>
              <w:rPr>
                <w:rFonts w:ascii="宋体" w:hAnsi="宋体" w:cs="宋体"/>
                <w:szCs w:val="21"/>
              </w:rPr>
            </w:pPr>
            <w:r>
              <w:rPr>
                <w:rFonts w:hint="eastAsia" w:ascii="宋体" w:hAnsi="宋体" w:cs="宋体"/>
                <w:szCs w:val="21"/>
              </w:rPr>
              <w:t>2.应急救援器材台账；</w:t>
            </w:r>
          </w:p>
          <w:p>
            <w:pPr>
              <w:spacing w:line="280" w:lineRule="exact"/>
              <w:rPr>
                <w:rFonts w:ascii="宋体" w:hAnsi="宋体" w:cs="宋体"/>
                <w:szCs w:val="21"/>
              </w:rPr>
            </w:pPr>
            <w:r>
              <w:rPr>
                <w:rFonts w:hint="eastAsia" w:ascii="宋体" w:hAnsi="宋体" w:cs="宋体"/>
                <w:szCs w:val="21"/>
              </w:rPr>
              <w:t>3.消防设施、器材台账；</w:t>
            </w:r>
          </w:p>
          <w:p>
            <w:pPr>
              <w:spacing w:line="280" w:lineRule="exact"/>
              <w:rPr>
                <w:rFonts w:ascii="宋体" w:hAnsi="宋体" w:cs="宋体"/>
                <w:szCs w:val="21"/>
              </w:rPr>
            </w:pPr>
            <w:r>
              <w:rPr>
                <w:rFonts w:hint="eastAsia" w:ascii="宋体" w:hAnsi="宋体" w:cs="宋体"/>
                <w:szCs w:val="21"/>
              </w:rPr>
              <w:t>4.应急救援器材、消防设施及器材检查维护记录。</w:t>
            </w:r>
          </w:p>
          <w:p>
            <w:pPr>
              <w:spacing w:line="280" w:lineRule="exact"/>
              <w:rPr>
                <w:rFonts w:ascii="宋体" w:hAnsi="宋体" w:cs="宋体"/>
                <w:szCs w:val="21"/>
              </w:rPr>
            </w:pPr>
            <w:r>
              <w:rPr>
                <w:rFonts w:hint="eastAsia" w:ascii="宋体" w:hAnsi="宋体" w:cs="宋体"/>
                <w:szCs w:val="21"/>
              </w:rPr>
              <w:t>现场检查：</w:t>
            </w:r>
          </w:p>
          <w:p>
            <w:pPr>
              <w:spacing w:line="280" w:lineRule="exact"/>
              <w:rPr>
                <w:rFonts w:ascii="宋体" w:hAnsi="宋体" w:cs="宋体"/>
                <w:szCs w:val="21"/>
              </w:rPr>
            </w:pPr>
            <w:r>
              <w:rPr>
                <w:rFonts w:hint="eastAsia" w:ascii="宋体" w:hAnsi="宋体" w:cs="宋体"/>
                <w:szCs w:val="21"/>
              </w:rPr>
              <w:t>1.应急救援器材、消防设施及器材数量及完整性；</w:t>
            </w:r>
          </w:p>
          <w:p>
            <w:pPr>
              <w:spacing w:line="280" w:lineRule="exact"/>
              <w:rPr>
                <w:rFonts w:ascii="宋体" w:hAnsi="宋体" w:cs="宋体"/>
                <w:szCs w:val="21"/>
              </w:rPr>
            </w:pPr>
            <w:r>
              <w:rPr>
                <w:rFonts w:hint="eastAsia" w:ascii="宋体" w:hAnsi="宋体" w:cs="宋体"/>
                <w:szCs w:val="21"/>
              </w:rPr>
              <w:t>2.疏散通道、安全出口、消防通道符合性。</w:t>
            </w:r>
          </w:p>
        </w:tc>
        <w:tc>
          <w:tcPr>
            <w:tcW w:w="1701" w:type="dxa"/>
          </w:tcPr>
          <w:p>
            <w:pPr>
              <w:spacing w:line="280" w:lineRule="exact"/>
              <w:rPr>
                <w:rFonts w:ascii="宋体" w:hAnsi="宋体" w:cs="宋体"/>
                <w:szCs w:val="21"/>
              </w:rPr>
            </w:pPr>
          </w:p>
        </w:tc>
        <w:tc>
          <w:tcPr>
            <w:tcW w:w="2268" w:type="dxa"/>
          </w:tcPr>
          <w:p>
            <w:pPr>
              <w:spacing w:line="280" w:lineRule="exact"/>
              <w:rPr>
                <w:rFonts w:ascii="宋体" w:hAnsi="宋体" w:cs="宋体"/>
                <w:szCs w:val="21"/>
              </w:rPr>
            </w:pPr>
            <w:r>
              <w:rPr>
                <w:rFonts w:hint="eastAsia" w:ascii="宋体" w:hAnsi="宋体" w:cs="宋体"/>
                <w:szCs w:val="21"/>
              </w:rPr>
              <w:t>1.未配备足够的应急救援器材，消防设施及器材一项不符合扣1分；</w:t>
            </w:r>
          </w:p>
          <w:p>
            <w:pPr>
              <w:spacing w:line="280" w:lineRule="exact"/>
              <w:rPr>
                <w:rFonts w:ascii="宋体" w:hAnsi="宋体" w:cs="宋体"/>
                <w:szCs w:val="21"/>
              </w:rPr>
            </w:pPr>
            <w:r>
              <w:rPr>
                <w:rFonts w:hint="eastAsia" w:ascii="宋体" w:hAnsi="宋体" w:cs="宋体"/>
                <w:szCs w:val="21"/>
              </w:rPr>
              <w:t>2.未建立应急救援器材台账，扣1分；</w:t>
            </w:r>
          </w:p>
          <w:p>
            <w:pPr>
              <w:spacing w:line="280" w:lineRule="exact"/>
              <w:rPr>
                <w:rFonts w:ascii="宋体" w:hAnsi="宋体" w:cs="宋体"/>
                <w:szCs w:val="21"/>
              </w:rPr>
            </w:pPr>
            <w:r>
              <w:rPr>
                <w:rFonts w:hint="eastAsia" w:ascii="宋体" w:hAnsi="宋体" w:cs="宋体"/>
                <w:szCs w:val="21"/>
              </w:rPr>
              <w:t>3.未建立消防设施、器材台账，扣1分；</w:t>
            </w:r>
          </w:p>
          <w:p>
            <w:pPr>
              <w:spacing w:line="280" w:lineRule="exact"/>
              <w:rPr>
                <w:rFonts w:ascii="宋体" w:hAnsi="宋体" w:cs="宋体"/>
                <w:szCs w:val="21"/>
              </w:rPr>
            </w:pPr>
            <w:r>
              <w:rPr>
                <w:rFonts w:hint="eastAsia" w:ascii="宋体" w:hAnsi="宋体" w:cs="宋体"/>
                <w:szCs w:val="21"/>
              </w:rPr>
              <w:t>4.救援器材、消防设施及器材未定期检查维护，一项不符合扣1分；</w:t>
            </w:r>
          </w:p>
          <w:p>
            <w:pPr>
              <w:spacing w:line="280" w:lineRule="exact"/>
              <w:rPr>
                <w:rFonts w:ascii="宋体" w:hAnsi="宋体" w:cs="宋体"/>
                <w:szCs w:val="21"/>
              </w:rPr>
            </w:pPr>
            <w:r>
              <w:rPr>
                <w:rFonts w:hint="eastAsia" w:ascii="宋体" w:hAnsi="宋体" w:cs="宋体"/>
                <w:szCs w:val="21"/>
              </w:rPr>
              <w:t>5.应急救援器材、消防设施及器材完整性不符合要求，一项扣2分；</w:t>
            </w:r>
          </w:p>
          <w:p>
            <w:pPr>
              <w:spacing w:line="280" w:lineRule="exact"/>
              <w:rPr>
                <w:rFonts w:ascii="宋体" w:hAnsi="宋体" w:cs="宋体"/>
                <w:szCs w:val="21"/>
              </w:rPr>
            </w:pPr>
            <w:r>
              <w:rPr>
                <w:rFonts w:hint="eastAsia" w:ascii="宋体" w:hAnsi="宋体" w:cs="宋体"/>
                <w:szCs w:val="21"/>
              </w:rPr>
              <w:t>6.疏散通道、安全出口、消防通道不符合要求，一处扣2分。</w:t>
            </w:r>
          </w:p>
        </w:tc>
        <w:tc>
          <w:tcPr>
            <w:tcW w:w="1165" w:type="dxa"/>
            <w:vAlign w:val="center"/>
          </w:tcPr>
          <w:p>
            <w:pPr>
              <w:spacing w:line="280" w:lineRule="exact"/>
              <w:jc w:val="center"/>
              <w:rPr>
                <w:rFonts w:ascii="宋体" w:hAnsi="宋体" w:cs="宋体"/>
                <w:szCs w:val="21"/>
              </w:rPr>
            </w:pPr>
            <w:r>
              <w:rPr>
                <w:rFonts w:hint="default" w:ascii="宋体" w:hAnsi="宋体" w:eastAsia="宋体" w:cs="宋体"/>
                <w:bCs/>
                <w:sz w:val="18"/>
                <w:szCs w:val="18"/>
                <w:lang w:val="en-US" w:eastAsia="zh-CN"/>
              </w:rPr>
              <w:t>消防控制室未设置应急照明灯</w:t>
            </w:r>
            <w:r>
              <w:rPr>
                <w:rFonts w:hint="eastAsia" w:ascii="宋体" w:hAnsi="宋体" w:cs="宋体"/>
                <w:bCs/>
                <w:sz w:val="18"/>
                <w:szCs w:val="18"/>
                <w:lang w:val="en-US" w:eastAsia="zh-CN"/>
              </w:rPr>
              <w:t>；车间消防水泵接合器未设置永久性标志牌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771" w:type="dxa"/>
            <w:vMerge w:val="continue"/>
          </w:tcPr>
          <w:p>
            <w:pPr>
              <w:spacing w:line="280" w:lineRule="exact"/>
              <w:rPr>
                <w:rFonts w:ascii="宋体" w:hAnsi="宋体" w:cs="宋体"/>
                <w:b/>
                <w:bCs/>
                <w:szCs w:val="21"/>
              </w:rPr>
            </w:pPr>
          </w:p>
        </w:tc>
        <w:tc>
          <w:tcPr>
            <w:tcW w:w="709" w:type="dxa"/>
            <w:vMerge w:val="continue"/>
          </w:tcPr>
          <w:p>
            <w:pPr>
              <w:spacing w:line="280" w:lineRule="exact"/>
              <w:rPr>
                <w:rFonts w:ascii="宋体" w:hAnsi="宋体" w:cs="宋体"/>
                <w:b/>
                <w:bCs/>
                <w:szCs w:val="21"/>
              </w:rPr>
            </w:pPr>
          </w:p>
        </w:tc>
        <w:tc>
          <w:tcPr>
            <w:tcW w:w="2409" w:type="dxa"/>
          </w:tcPr>
          <w:p>
            <w:pPr>
              <w:spacing w:line="280" w:lineRule="exact"/>
              <w:rPr>
                <w:rFonts w:ascii="宋体" w:hAnsi="宋体" w:cs="宋体"/>
                <w:szCs w:val="21"/>
              </w:rPr>
            </w:pPr>
            <w:r>
              <w:rPr>
                <w:rFonts w:hint="eastAsia" w:ascii="宋体" w:hAnsi="宋体" w:cs="宋体"/>
                <w:szCs w:val="21"/>
              </w:rPr>
              <w:t>2.企业应建立应急通讯网络，保证应急通讯网络的畅通。</w:t>
            </w:r>
          </w:p>
        </w:tc>
        <w:tc>
          <w:tcPr>
            <w:tcW w:w="2268" w:type="dxa"/>
          </w:tcPr>
          <w:p>
            <w:pPr>
              <w:spacing w:line="280" w:lineRule="exact"/>
              <w:rPr>
                <w:rFonts w:ascii="宋体" w:hAnsi="宋体" w:cs="宋体"/>
                <w:szCs w:val="21"/>
              </w:rPr>
            </w:pPr>
            <w:r>
              <w:rPr>
                <w:rFonts w:hint="eastAsia" w:ascii="宋体" w:hAnsi="宋体" w:cs="宋体"/>
                <w:szCs w:val="21"/>
              </w:rPr>
              <w:t>1.设置固定报警电话；</w:t>
            </w:r>
          </w:p>
          <w:p>
            <w:pPr>
              <w:spacing w:line="280" w:lineRule="exact"/>
              <w:rPr>
                <w:rFonts w:ascii="宋体" w:hAnsi="宋体" w:cs="宋体"/>
                <w:szCs w:val="21"/>
              </w:rPr>
            </w:pPr>
            <w:r>
              <w:rPr>
                <w:rFonts w:hint="eastAsia" w:ascii="宋体" w:hAnsi="宋体" w:cs="宋体"/>
                <w:szCs w:val="21"/>
              </w:rPr>
              <w:t>2.明确应急救援指挥和救援人员电话；</w:t>
            </w:r>
          </w:p>
          <w:p>
            <w:pPr>
              <w:spacing w:line="280" w:lineRule="exact"/>
              <w:rPr>
                <w:rFonts w:ascii="宋体" w:hAnsi="宋体" w:cs="宋体"/>
                <w:szCs w:val="21"/>
              </w:rPr>
            </w:pPr>
            <w:r>
              <w:rPr>
                <w:rFonts w:hint="eastAsia" w:ascii="宋体" w:hAnsi="宋体" w:cs="宋体"/>
                <w:szCs w:val="21"/>
              </w:rPr>
              <w:t>3.明确外部救援单位联络电话；</w:t>
            </w:r>
          </w:p>
          <w:p>
            <w:pPr>
              <w:spacing w:line="280" w:lineRule="exact"/>
              <w:rPr>
                <w:rFonts w:ascii="宋体" w:hAnsi="宋体" w:cs="宋体"/>
                <w:szCs w:val="21"/>
              </w:rPr>
            </w:pPr>
            <w:r>
              <w:rPr>
                <w:rFonts w:hint="eastAsia" w:ascii="宋体" w:hAnsi="宋体" w:cs="宋体"/>
                <w:szCs w:val="21"/>
              </w:rPr>
              <w:t>4.报警电话24小时畅通。</w:t>
            </w:r>
          </w:p>
        </w:tc>
        <w:tc>
          <w:tcPr>
            <w:tcW w:w="2268" w:type="dxa"/>
          </w:tcPr>
          <w:p>
            <w:pPr>
              <w:spacing w:line="280" w:lineRule="exact"/>
              <w:rPr>
                <w:rFonts w:ascii="宋体" w:hAnsi="宋体" w:cs="宋体"/>
                <w:szCs w:val="21"/>
              </w:rPr>
            </w:pPr>
            <w:r>
              <w:rPr>
                <w:rFonts w:hint="eastAsia" w:ascii="宋体" w:hAnsi="宋体" w:cs="宋体"/>
                <w:szCs w:val="21"/>
              </w:rPr>
              <w:t>查文件：</w:t>
            </w:r>
          </w:p>
          <w:p>
            <w:pPr>
              <w:spacing w:line="280" w:lineRule="exact"/>
              <w:rPr>
                <w:rFonts w:ascii="宋体" w:hAnsi="宋体" w:cs="宋体"/>
                <w:szCs w:val="21"/>
              </w:rPr>
            </w:pPr>
            <w:r>
              <w:rPr>
                <w:rFonts w:hint="eastAsia" w:ascii="宋体" w:hAnsi="宋体" w:cs="宋体"/>
                <w:szCs w:val="21"/>
              </w:rPr>
              <w:t>应急救援预案；</w:t>
            </w:r>
          </w:p>
          <w:p>
            <w:pPr>
              <w:spacing w:line="280" w:lineRule="exact"/>
              <w:rPr>
                <w:rFonts w:ascii="宋体" w:hAnsi="宋体" w:cs="宋体"/>
                <w:szCs w:val="21"/>
              </w:rPr>
            </w:pPr>
            <w:r>
              <w:rPr>
                <w:rFonts w:hint="eastAsia" w:ascii="宋体" w:hAnsi="宋体" w:cs="宋体"/>
                <w:szCs w:val="21"/>
              </w:rPr>
              <w:t>询问：</w:t>
            </w:r>
          </w:p>
          <w:p>
            <w:pPr>
              <w:spacing w:line="280" w:lineRule="exact"/>
              <w:rPr>
                <w:rFonts w:ascii="宋体" w:hAnsi="宋体" w:cs="宋体"/>
                <w:szCs w:val="21"/>
              </w:rPr>
            </w:pPr>
            <w:r>
              <w:rPr>
                <w:rFonts w:hint="eastAsia" w:ascii="宋体" w:hAnsi="宋体" w:cs="宋体"/>
                <w:szCs w:val="21"/>
              </w:rPr>
              <w:t>作业人员是否清楚内部、外部报警电话。</w:t>
            </w:r>
          </w:p>
          <w:p>
            <w:pPr>
              <w:spacing w:line="280" w:lineRule="exact"/>
              <w:rPr>
                <w:rFonts w:ascii="宋体" w:hAnsi="宋体" w:cs="宋体"/>
                <w:szCs w:val="21"/>
              </w:rPr>
            </w:pPr>
            <w:r>
              <w:rPr>
                <w:rFonts w:hint="eastAsia" w:ascii="宋体" w:hAnsi="宋体" w:cs="宋体"/>
                <w:szCs w:val="21"/>
              </w:rPr>
              <w:t>现场查验：</w:t>
            </w:r>
          </w:p>
          <w:p>
            <w:pPr>
              <w:spacing w:line="280" w:lineRule="exact"/>
              <w:rPr>
                <w:rFonts w:ascii="宋体" w:hAnsi="宋体" w:cs="宋体"/>
                <w:szCs w:val="21"/>
              </w:rPr>
            </w:pPr>
            <w:r>
              <w:rPr>
                <w:rFonts w:hint="eastAsia" w:ascii="宋体" w:hAnsi="宋体" w:cs="宋体"/>
                <w:szCs w:val="21"/>
              </w:rPr>
              <w:t>1.企业是否设置了报警电话；</w:t>
            </w:r>
          </w:p>
          <w:p>
            <w:pPr>
              <w:spacing w:line="280" w:lineRule="exact"/>
              <w:rPr>
                <w:rFonts w:ascii="宋体" w:hAnsi="宋体" w:cs="宋体"/>
                <w:szCs w:val="21"/>
              </w:rPr>
            </w:pPr>
            <w:r>
              <w:rPr>
                <w:rFonts w:hint="eastAsia" w:ascii="宋体" w:hAnsi="宋体" w:cs="宋体"/>
                <w:szCs w:val="21"/>
              </w:rPr>
              <w:t>2.报警电话是否置于各岗位显著位置；</w:t>
            </w:r>
          </w:p>
          <w:p>
            <w:pPr>
              <w:spacing w:line="280" w:lineRule="exact"/>
              <w:rPr>
                <w:rFonts w:ascii="宋体" w:hAnsi="宋体" w:cs="宋体"/>
                <w:szCs w:val="21"/>
              </w:rPr>
            </w:pPr>
            <w:r>
              <w:rPr>
                <w:rFonts w:hint="eastAsia" w:ascii="宋体" w:hAnsi="宋体" w:cs="宋体"/>
                <w:szCs w:val="21"/>
              </w:rPr>
              <w:t>3.报警电话是否畅通。</w:t>
            </w:r>
          </w:p>
        </w:tc>
        <w:tc>
          <w:tcPr>
            <w:tcW w:w="1701" w:type="dxa"/>
          </w:tcPr>
          <w:p>
            <w:pPr>
              <w:spacing w:line="280" w:lineRule="exact"/>
              <w:rPr>
                <w:rFonts w:ascii="宋体" w:hAnsi="宋体" w:cs="宋体"/>
                <w:szCs w:val="21"/>
              </w:rPr>
            </w:pPr>
          </w:p>
        </w:tc>
        <w:tc>
          <w:tcPr>
            <w:tcW w:w="2268" w:type="dxa"/>
          </w:tcPr>
          <w:p>
            <w:pPr>
              <w:spacing w:line="280" w:lineRule="exact"/>
              <w:rPr>
                <w:rFonts w:ascii="宋体" w:hAnsi="宋体" w:cs="宋体"/>
                <w:szCs w:val="21"/>
              </w:rPr>
            </w:pPr>
            <w:r>
              <w:rPr>
                <w:rFonts w:hint="eastAsia" w:ascii="宋体" w:hAnsi="宋体" w:cs="宋体"/>
                <w:szCs w:val="21"/>
              </w:rPr>
              <w:t>1.未建立应急通讯网络，扣2分；企业未设置固定报警电话，扣2分；</w:t>
            </w:r>
          </w:p>
          <w:p>
            <w:pPr>
              <w:spacing w:line="280" w:lineRule="exact"/>
              <w:rPr>
                <w:rFonts w:ascii="宋体" w:hAnsi="宋体" w:cs="宋体"/>
                <w:szCs w:val="21"/>
              </w:rPr>
            </w:pPr>
            <w:r>
              <w:rPr>
                <w:rFonts w:hint="eastAsia" w:ascii="宋体" w:hAnsi="宋体" w:cs="宋体"/>
                <w:szCs w:val="21"/>
              </w:rPr>
              <w:t>2.作业人员不了解内外部报警电话，1人次扣2分；</w:t>
            </w:r>
          </w:p>
          <w:p>
            <w:pPr>
              <w:spacing w:line="280" w:lineRule="exact"/>
              <w:rPr>
                <w:rFonts w:ascii="宋体" w:hAnsi="宋体" w:cs="宋体"/>
                <w:szCs w:val="21"/>
              </w:rPr>
            </w:pPr>
            <w:r>
              <w:rPr>
                <w:rFonts w:hint="eastAsia" w:ascii="宋体" w:hAnsi="宋体" w:cs="宋体"/>
                <w:szCs w:val="21"/>
              </w:rPr>
              <w:t>3.报警电话不能保证畅通，扣1分。</w:t>
            </w:r>
          </w:p>
        </w:tc>
        <w:tc>
          <w:tcPr>
            <w:tcW w:w="1165" w:type="dxa"/>
            <w:vAlign w:val="center"/>
          </w:tcPr>
          <w:p>
            <w:pPr>
              <w:spacing w:line="280" w:lineRule="exact"/>
              <w:jc w:val="center"/>
              <w:rPr>
                <w:rFonts w:ascii="宋体" w:hAnsi="宋体" w:cs="宋体"/>
                <w:szCs w:val="21"/>
              </w:rPr>
            </w:pPr>
            <w:r>
              <w:rPr>
                <w:rFonts w:hint="eastAsia" w:ascii="宋体" w:hAnsi="宋体" w:cs="宋体"/>
                <w:szCs w:val="21"/>
              </w:rPr>
              <w:t>符合要求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771" w:type="dxa"/>
            <w:vMerge w:val="continue"/>
          </w:tcPr>
          <w:p>
            <w:pPr>
              <w:spacing w:line="280" w:lineRule="exact"/>
              <w:rPr>
                <w:rFonts w:ascii="宋体" w:hAnsi="宋体" w:cs="宋体"/>
                <w:b/>
                <w:bCs/>
                <w:szCs w:val="21"/>
              </w:rPr>
            </w:pPr>
          </w:p>
        </w:tc>
        <w:tc>
          <w:tcPr>
            <w:tcW w:w="709" w:type="dxa"/>
            <w:vMerge w:val="continue"/>
          </w:tcPr>
          <w:p>
            <w:pPr>
              <w:spacing w:line="280" w:lineRule="exact"/>
              <w:rPr>
                <w:rFonts w:ascii="宋体" w:hAnsi="宋体" w:cs="宋体"/>
                <w:b/>
                <w:bCs/>
                <w:szCs w:val="21"/>
              </w:rPr>
            </w:pPr>
          </w:p>
        </w:tc>
        <w:tc>
          <w:tcPr>
            <w:tcW w:w="2409" w:type="dxa"/>
          </w:tcPr>
          <w:p>
            <w:pPr>
              <w:spacing w:line="280" w:lineRule="exact"/>
              <w:rPr>
                <w:rFonts w:ascii="宋体" w:hAnsi="宋体" w:cs="宋体"/>
                <w:szCs w:val="21"/>
              </w:rPr>
            </w:pPr>
            <w:r>
              <w:rPr>
                <w:rFonts w:hint="eastAsia" w:ascii="宋体" w:hAnsi="宋体" w:cs="宋体"/>
                <w:szCs w:val="21"/>
              </w:rPr>
              <w:t>3.企业应为有毒有害岗位配备救援器材柜，放置必要的防护救护器材，进行经常性的维护保养并记录，保证其处于完好状态。</w:t>
            </w:r>
          </w:p>
        </w:tc>
        <w:tc>
          <w:tcPr>
            <w:tcW w:w="2268" w:type="dxa"/>
          </w:tcPr>
          <w:p>
            <w:pPr>
              <w:spacing w:line="280" w:lineRule="exact"/>
              <w:rPr>
                <w:rFonts w:ascii="宋体" w:hAnsi="宋体" w:cs="宋体"/>
                <w:szCs w:val="21"/>
              </w:rPr>
            </w:pPr>
            <w:r>
              <w:rPr>
                <w:rFonts w:hint="eastAsia" w:ascii="宋体" w:hAnsi="宋体" w:cs="宋体"/>
                <w:szCs w:val="21"/>
              </w:rPr>
              <w:t>1.有毒有害岗位配备救援器材专柜，放置必要的防护救护器材；</w:t>
            </w:r>
          </w:p>
          <w:p>
            <w:pPr>
              <w:spacing w:line="280" w:lineRule="exact"/>
              <w:rPr>
                <w:rFonts w:ascii="宋体" w:hAnsi="宋体" w:cs="宋体"/>
                <w:szCs w:val="21"/>
              </w:rPr>
            </w:pPr>
            <w:r>
              <w:rPr>
                <w:rFonts w:hint="eastAsia" w:ascii="宋体" w:hAnsi="宋体" w:cs="宋体"/>
                <w:szCs w:val="21"/>
              </w:rPr>
              <w:t>2.防护救护器材应处于完好状态；</w:t>
            </w:r>
          </w:p>
          <w:p>
            <w:pPr>
              <w:spacing w:line="280" w:lineRule="exact"/>
              <w:rPr>
                <w:rFonts w:ascii="宋体" w:hAnsi="宋体" w:cs="宋体"/>
                <w:szCs w:val="21"/>
              </w:rPr>
            </w:pPr>
            <w:r>
              <w:rPr>
                <w:rFonts w:hint="eastAsia" w:ascii="宋体" w:hAnsi="宋体" w:cs="宋体"/>
                <w:szCs w:val="21"/>
              </w:rPr>
              <w:t>3.建立防护救护器材管理台账和维护保养记录。</w:t>
            </w:r>
          </w:p>
        </w:tc>
        <w:tc>
          <w:tcPr>
            <w:tcW w:w="2268" w:type="dxa"/>
          </w:tcPr>
          <w:p>
            <w:pPr>
              <w:spacing w:line="280" w:lineRule="exact"/>
              <w:rPr>
                <w:rFonts w:ascii="宋体" w:hAnsi="宋体" w:cs="宋体"/>
                <w:szCs w:val="21"/>
              </w:rPr>
            </w:pPr>
            <w:r>
              <w:rPr>
                <w:rFonts w:hint="eastAsia" w:ascii="宋体" w:hAnsi="宋体" w:cs="宋体"/>
                <w:szCs w:val="21"/>
              </w:rPr>
              <w:t>查文件：</w:t>
            </w:r>
          </w:p>
          <w:p>
            <w:pPr>
              <w:spacing w:line="280" w:lineRule="exact"/>
              <w:rPr>
                <w:rFonts w:ascii="宋体" w:hAnsi="宋体" w:cs="宋体"/>
                <w:szCs w:val="21"/>
              </w:rPr>
            </w:pPr>
            <w:r>
              <w:rPr>
                <w:rFonts w:hint="eastAsia" w:ascii="宋体" w:hAnsi="宋体" w:cs="宋体"/>
                <w:szCs w:val="21"/>
              </w:rPr>
              <w:t xml:space="preserve">1.防护救护器材管理台账； </w:t>
            </w:r>
          </w:p>
          <w:p>
            <w:pPr>
              <w:spacing w:line="280" w:lineRule="exact"/>
              <w:rPr>
                <w:rFonts w:ascii="宋体" w:hAnsi="宋体" w:cs="宋体"/>
                <w:szCs w:val="21"/>
              </w:rPr>
            </w:pPr>
            <w:r>
              <w:rPr>
                <w:rFonts w:hint="eastAsia" w:ascii="宋体" w:hAnsi="宋体" w:cs="宋体"/>
                <w:szCs w:val="21"/>
              </w:rPr>
              <w:t>2.防护救护器材检查维护记录。</w:t>
            </w:r>
          </w:p>
          <w:p>
            <w:pPr>
              <w:spacing w:line="280" w:lineRule="exact"/>
              <w:rPr>
                <w:rFonts w:ascii="宋体" w:hAnsi="宋体" w:cs="宋体"/>
                <w:szCs w:val="21"/>
              </w:rPr>
            </w:pPr>
            <w:r>
              <w:rPr>
                <w:rFonts w:hint="eastAsia" w:ascii="宋体" w:hAnsi="宋体" w:cs="宋体"/>
                <w:szCs w:val="21"/>
              </w:rPr>
              <w:t>询问：</w:t>
            </w:r>
          </w:p>
          <w:p>
            <w:pPr>
              <w:spacing w:line="280" w:lineRule="exact"/>
              <w:rPr>
                <w:rFonts w:ascii="宋体" w:hAnsi="宋体" w:cs="宋体"/>
                <w:szCs w:val="21"/>
              </w:rPr>
            </w:pPr>
            <w:r>
              <w:rPr>
                <w:rFonts w:hint="eastAsia" w:ascii="宋体" w:hAnsi="宋体" w:cs="宋体"/>
                <w:szCs w:val="21"/>
              </w:rPr>
              <w:t>作业人员是否熟悉防护救护器材的使用。</w:t>
            </w:r>
          </w:p>
          <w:p>
            <w:pPr>
              <w:spacing w:line="280" w:lineRule="exact"/>
              <w:rPr>
                <w:rFonts w:ascii="宋体" w:hAnsi="宋体" w:cs="宋体"/>
                <w:szCs w:val="21"/>
              </w:rPr>
            </w:pPr>
            <w:r>
              <w:rPr>
                <w:rFonts w:hint="eastAsia" w:ascii="宋体" w:hAnsi="宋体" w:cs="宋体"/>
                <w:szCs w:val="21"/>
              </w:rPr>
              <w:t>现场检查：</w:t>
            </w:r>
          </w:p>
          <w:p>
            <w:pPr>
              <w:spacing w:line="280" w:lineRule="exact"/>
              <w:rPr>
                <w:rFonts w:ascii="宋体" w:hAnsi="宋体" w:cs="宋体"/>
                <w:szCs w:val="21"/>
              </w:rPr>
            </w:pPr>
            <w:r>
              <w:rPr>
                <w:rFonts w:hint="eastAsia" w:ascii="宋体" w:hAnsi="宋体" w:cs="宋体"/>
                <w:szCs w:val="21"/>
              </w:rPr>
              <w:t>1.有毒有害岗位是否设置了救援器材专柜；</w:t>
            </w:r>
          </w:p>
          <w:p>
            <w:pPr>
              <w:spacing w:line="280" w:lineRule="exact"/>
              <w:rPr>
                <w:rFonts w:ascii="宋体" w:hAnsi="宋体" w:cs="宋体"/>
                <w:szCs w:val="21"/>
              </w:rPr>
            </w:pPr>
            <w:r>
              <w:rPr>
                <w:rFonts w:hint="eastAsia" w:ascii="宋体" w:hAnsi="宋体" w:cs="宋体"/>
                <w:szCs w:val="21"/>
              </w:rPr>
              <w:t>2.防护救护器材是否完好。</w:t>
            </w:r>
          </w:p>
        </w:tc>
        <w:tc>
          <w:tcPr>
            <w:tcW w:w="1701" w:type="dxa"/>
          </w:tcPr>
          <w:p>
            <w:pPr>
              <w:spacing w:line="280" w:lineRule="exact"/>
              <w:rPr>
                <w:rFonts w:ascii="宋体" w:hAnsi="宋体" w:cs="宋体"/>
                <w:szCs w:val="21"/>
              </w:rPr>
            </w:pPr>
          </w:p>
        </w:tc>
        <w:tc>
          <w:tcPr>
            <w:tcW w:w="2268" w:type="dxa"/>
          </w:tcPr>
          <w:p>
            <w:pPr>
              <w:spacing w:line="280" w:lineRule="exact"/>
              <w:rPr>
                <w:rFonts w:ascii="宋体" w:hAnsi="宋体" w:cs="宋体"/>
                <w:szCs w:val="21"/>
              </w:rPr>
            </w:pPr>
            <w:r>
              <w:rPr>
                <w:rFonts w:hint="eastAsia" w:ascii="宋体" w:hAnsi="宋体" w:cs="宋体"/>
                <w:szCs w:val="21"/>
              </w:rPr>
              <w:t>1.未在有毒有害岗位配备救援器材柜，放置必要的防护救护器材，一项扣1分；</w:t>
            </w:r>
          </w:p>
          <w:p>
            <w:pPr>
              <w:spacing w:line="280" w:lineRule="exact"/>
              <w:rPr>
                <w:rFonts w:ascii="宋体" w:hAnsi="宋体" w:cs="宋体"/>
                <w:szCs w:val="21"/>
              </w:rPr>
            </w:pPr>
            <w:r>
              <w:rPr>
                <w:rFonts w:hint="eastAsia" w:ascii="宋体" w:hAnsi="宋体" w:cs="宋体"/>
                <w:szCs w:val="21"/>
              </w:rPr>
              <w:t>2.未建立防护救护器材台账，扣1分；</w:t>
            </w:r>
          </w:p>
          <w:p>
            <w:pPr>
              <w:spacing w:line="280" w:lineRule="exact"/>
              <w:rPr>
                <w:rFonts w:ascii="宋体" w:hAnsi="宋体" w:cs="宋体"/>
                <w:szCs w:val="21"/>
              </w:rPr>
            </w:pPr>
            <w:r>
              <w:rPr>
                <w:rFonts w:hint="eastAsia" w:ascii="宋体" w:hAnsi="宋体" w:cs="宋体"/>
                <w:szCs w:val="21"/>
              </w:rPr>
              <w:t>3.未定期检查维护防护救护器材，一次扣1分；</w:t>
            </w:r>
          </w:p>
          <w:p>
            <w:pPr>
              <w:spacing w:line="280" w:lineRule="exact"/>
              <w:rPr>
                <w:rFonts w:ascii="宋体" w:hAnsi="宋体" w:cs="宋体"/>
                <w:szCs w:val="21"/>
              </w:rPr>
            </w:pPr>
            <w:r>
              <w:rPr>
                <w:rFonts w:hint="eastAsia" w:ascii="宋体" w:hAnsi="宋体" w:cs="宋体"/>
                <w:szCs w:val="21"/>
              </w:rPr>
              <w:t>4.作业人员不熟悉防护救护器材使用，1人次扣1分。</w:t>
            </w:r>
          </w:p>
        </w:tc>
        <w:tc>
          <w:tcPr>
            <w:tcW w:w="1165" w:type="dxa"/>
            <w:vAlign w:val="center"/>
          </w:tcPr>
          <w:p>
            <w:pPr>
              <w:spacing w:line="280" w:lineRule="exact"/>
              <w:jc w:val="center"/>
              <w:rPr>
                <w:rFonts w:ascii="宋体" w:hAnsi="宋体" w:cs="宋体"/>
                <w:szCs w:val="21"/>
              </w:rPr>
            </w:pPr>
            <w:r>
              <w:rPr>
                <w:rFonts w:hint="eastAsia" w:ascii="宋体" w:hAnsi="宋体" w:cs="宋体"/>
                <w:szCs w:val="21"/>
              </w:rPr>
              <w:t>符合要求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771" w:type="dxa"/>
            <w:vMerge w:val="continue"/>
          </w:tcPr>
          <w:p>
            <w:pPr>
              <w:spacing w:line="280" w:lineRule="exact"/>
              <w:rPr>
                <w:rFonts w:ascii="宋体" w:hAnsi="宋体" w:cs="宋体"/>
                <w:b/>
                <w:bCs/>
                <w:szCs w:val="21"/>
              </w:rPr>
            </w:pPr>
          </w:p>
        </w:tc>
        <w:tc>
          <w:tcPr>
            <w:tcW w:w="709" w:type="dxa"/>
            <w:vMerge w:val="restart"/>
          </w:tcPr>
          <w:p>
            <w:pPr>
              <w:spacing w:line="280" w:lineRule="exact"/>
              <w:rPr>
                <w:rFonts w:ascii="宋体" w:hAnsi="宋体" w:cs="宋体"/>
                <w:b/>
                <w:bCs/>
                <w:szCs w:val="21"/>
              </w:rPr>
            </w:pPr>
            <w:r>
              <w:rPr>
                <w:rFonts w:hint="eastAsia" w:ascii="宋体" w:hAnsi="宋体" w:cs="宋体"/>
                <w:b/>
                <w:bCs/>
                <w:szCs w:val="21"/>
              </w:rPr>
              <w:t>10.3</w:t>
            </w:r>
          </w:p>
          <w:p>
            <w:pPr>
              <w:spacing w:line="280" w:lineRule="exact"/>
              <w:rPr>
                <w:rFonts w:ascii="宋体" w:hAnsi="宋体" w:cs="宋体"/>
                <w:b/>
                <w:bCs/>
                <w:szCs w:val="21"/>
              </w:rPr>
            </w:pPr>
            <w:r>
              <w:rPr>
                <w:rFonts w:hint="eastAsia" w:ascii="宋体" w:hAnsi="宋体" w:cs="宋体"/>
                <w:b/>
                <w:bCs/>
                <w:szCs w:val="21"/>
              </w:rPr>
              <w:t>应急救援预案与演练</w:t>
            </w:r>
          </w:p>
          <w:p>
            <w:pPr>
              <w:spacing w:line="280" w:lineRule="exact"/>
              <w:rPr>
                <w:rFonts w:ascii="宋体" w:hAnsi="宋体" w:cs="宋体"/>
                <w:b/>
                <w:bCs/>
                <w:szCs w:val="21"/>
              </w:rPr>
            </w:pPr>
            <w:r>
              <w:rPr>
                <w:rFonts w:hint="eastAsia" w:ascii="宋体" w:hAnsi="宋体" w:cs="宋体"/>
                <w:b/>
                <w:bCs/>
                <w:szCs w:val="21"/>
              </w:rPr>
              <w:t>（25分）</w:t>
            </w:r>
          </w:p>
          <w:p>
            <w:pPr>
              <w:spacing w:line="280" w:lineRule="exact"/>
              <w:rPr>
                <w:rFonts w:ascii="宋体" w:hAnsi="宋体" w:cs="宋体"/>
                <w:b/>
                <w:bCs/>
                <w:szCs w:val="21"/>
              </w:rPr>
            </w:pPr>
          </w:p>
          <w:p>
            <w:pPr>
              <w:spacing w:line="280" w:lineRule="exact"/>
              <w:rPr>
                <w:rFonts w:ascii="宋体" w:hAnsi="宋体" w:cs="宋体"/>
                <w:b/>
                <w:bCs/>
                <w:szCs w:val="21"/>
              </w:rPr>
            </w:pPr>
          </w:p>
          <w:p>
            <w:pPr>
              <w:spacing w:line="280" w:lineRule="exact"/>
              <w:rPr>
                <w:rFonts w:ascii="宋体" w:hAnsi="宋体" w:cs="宋体"/>
                <w:b/>
                <w:bCs/>
                <w:szCs w:val="21"/>
              </w:rPr>
            </w:pPr>
          </w:p>
        </w:tc>
        <w:tc>
          <w:tcPr>
            <w:tcW w:w="2409" w:type="dxa"/>
          </w:tcPr>
          <w:p>
            <w:pPr>
              <w:spacing w:line="280" w:lineRule="exact"/>
              <w:rPr>
                <w:rFonts w:ascii="宋体" w:hAnsi="宋体" w:cs="宋体"/>
                <w:szCs w:val="21"/>
              </w:rPr>
            </w:pPr>
            <w:r>
              <w:rPr>
                <w:rFonts w:hint="eastAsia" w:ascii="宋体" w:hAnsi="宋体" w:cs="宋体"/>
                <w:szCs w:val="21"/>
              </w:rPr>
              <w:t>1.企业宜按照AQ/T 9002，根据风险评价的结果，针对潜在事件和突发事故，制定相应的事故应急救援预案。</w:t>
            </w:r>
          </w:p>
        </w:tc>
        <w:tc>
          <w:tcPr>
            <w:tcW w:w="2268" w:type="dxa"/>
          </w:tcPr>
          <w:p>
            <w:pPr>
              <w:spacing w:line="280" w:lineRule="exact"/>
              <w:rPr>
                <w:rFonts w:ascii="宋体" w:hAnsi="宋体" w:cs="宋体"/>
                <w:szCs w:val="21"/>
              </w:rPr>
            </w:pPr>
            <w:r>
              <w:rPr>
                <w:rFonts w:hint="eastAsia" w:ascii="宋体" w:hAnsi="宋体" w:cs="宋体"/>
                <w:szCs w:val="21"/>
              </w:rPr>
              <w:t>1.事故应急救援预案编制符合标准要求；</w:t>
            </w:r>
          </w:p>
          <w:p>
            <w:pPr>
              <w:spacing w:line="280" w:lineRule="exact"/>
              <w:rPr>
                <w:rFonts w:ascii="宋体" w:hAnsi="宋体" w:cs="宋体"/>
                <w:szCs w:val="21"/>
              </w:rPr>
            </w:pPr>
            <w:r>
              <w:rPr>
                <w:rFonts w:hint="eastAsia" w:ascii="宋体" w:hAnsi="宋体" w:cs="宋体"/>
                <w:szCs w:val="21"/>
              </w:rPr>
              <w:t>2.根据风险评价结果，编制专项和现场处置预案。</w:t>
            </w:r>
          </w:p>
        </w:tc>
        <w:tc>
          <w:tcPr>
            <w:tcW w:w="2268" w:type="dxa"/>
          </w:tcPr>
          <w:p>
            <w:pPr>
              <w:spacing w:line="280" w:lineRule="exact"/>
              <w:rPr>
                <w:rFonts w:ascii="宋体" w:hAnsi="宋体" w:cs="宋体"/>
                <w:szCs w:val="21"/>
              </w:rPr>
            </w:pPr>
            <w:r>
              <w:rPr>
                <w:rFonts w:hint="eastAsia" w:ascii="宋体" w:hAnsi="宋体" w:cs="宋体"/>
                <w:szCs w:val="21"/>
              </w:rPr>
              <w:t>查文件：</w:t>
            </w:r>
          </w:p>
          <w:p>
            <w:pPr>
              <w:spacing w:line="280" w:lineRule="exact"/>
              <w:rPr>
                <w:rFonts w:ascii="宋体" w:hAnsi="宋体" w:cs="宋体"/>
                <w:szCs w:val="21"/>
              </w:rPr>
            </w:pPr>
            <w:r>
              <w:rPr>
                <w:rFonts w:hint="eastAsia" w:ascii="宋体" w:hAnsi="宋体" w:cs="宋体"/>
                <w:szCs w:val="21"/>
              </w:rPr>
              <w:t>应急救援预案。</w:t>
            </w:r>
          </w:p>
        </w:tc>
        <w:tc>
          <w:tcPr>
            <w:tcW w:w="1701" w:type="dxa"/>
          </w:tcPr>
          <w:p>
            <w:pPr>
              <w:spacing w:line="280" w:lineRule="exact"/>
              <w:rPr>
                <w:rFonts w:ascii="宋体" w:hAnsi="宋体" w:cs="宋体"/>
                <w:szCs w:val="21"/>
              </w:rPr>
            </w:pPr>
            <w:r>
              <w:rPr>
                <w:rFonts w:hint="eastAsia" w:ascii="宋体" w:hAnsi="宋体" w:cs="宋体"/>
                <w:szCs w:val="21"/>
              </w:rPr>
              <w:t>未编制事故应急救援预案，扣25分（B级要素否决项）。</w:t>
            </w:r>
          </w:p>
        </w:tc>
        <w:tc>
          <w:tcPr>
            <w:tcW w:w="2268" w:type="dxa"/>
          </w:tcPr>
          <w:p>
            <w:pPr>
              <w:spacing w:line="280" w:lineRule="exact"/>
              <w:rPr>
                <w:rFonts w:ascii="宋体" w:hAnsi="宋体" w:cs="宋体"/>
                <w:szCs w:val="21"/>
              </w:rPr>
            </w:pPr>
            <w:r>
              <w:rPr>
                <w:rFonts w:hint="eastAsia" w:ascii="宋体" w:hAnsi="宋体" w:cs="宋体"/>
                <w:szCs w:val="21"/>
              </w:rPr>
              <w:t>1.应急救援预案不全，缺少一个扣2分；</w:t>
            </w:r>
          </w:p>
          <w:p>
            <w:pPr>
              <w:spacing w:line="280" w:lineRule="exact"/>
              <w:rPr>
                <w:rFonts w:ascii="宋体" w:hAnsi="宋体" w:cs="宋体"/>
                <w:szCs w:val="21"/>
              </w:rPr>
            </w:pPr>
            <w:r>
              <w:rPr>
                <w:rFonts w:hint="eastAsia" w:ascii="宋体" w:hAnsi="宋体" w:cs="宋体"/>
                <w:szCs w:val="21"/>
              </w:rPr>
              <w:t>2.应急救援预案内容不符合标准要求，一项扣1分。</w:t>
            </w:r>
          </w:p>
        </w:tc>
        <w:tc>
          <w:tcPr>
            <w:tcW w:w="1165" w:type="dxa"/>
            <w:vAlign w:val="center"/>
          </w:tcPr>
          <w:p>
            <w:pPr>
              <w:spacing w:line="280" w:lineRule="exact"/>
              <w:jc w:val="center"/>
              <w:rPr>
                <w:rFonts w:ascii="宋体" w:hAnsi="宋体" w:cs="宋体"/>
                <w:szCs w:val="21"/>
              </w:rPr>
            </w:pPr>
            <w:r>
              <w:rPr>
                <w:rFonts w:hint="eastAsia" w:ascii="宋体" w:hAnsi="宋体" w:cs="宋体"/>
                <w:szCs w:val="21"/>
              </w:rPr>
              <w:t>符合要求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771" w:type="dxa"/>
            <w:vMerge w:val="continue"/>
          </w:tcPr>
          <w:p>
            <w:pPr>
              <w:spacing w:line="280" w:lineRule="exact"/>
              <w:rPr>
                <w:rFonts w:ascii="宋体" w:hAnsi="宋体" w:cs="宋体"/>
                <w:b/>
                <w:bCs/>
                <w:szCs w:val="21"/>
              </w:rPr>
            </w:pPr>
          </w:p>
        </w:tc>
        <w:tc>
          <w:tcPr>
            <w:tcW w:w="709" w:type="dxa"/>
            <w:vMerge w:val="continue"/>
          </w:tcPr>
          <w:p>
            <w:pPr>
              <w:spacing w:line="280" w:lineRule="exact"/>
              <w:rPr>
                <w:rFonts w:ascii="宋体" w:hAnsi="宋体" w:cs="宋体"/>
                <w:b/>
                <w:bCs/>
                <w:szCs w:val="21"/>
              </w:rPr>
            </w:pPr>
          </w:p>
        </w:tc>
        <w:tc>
          <w:tcPr>
            <w:tcW w:w="2409" w:type="dxa"/>
          </w:tcPr>
          <w:p>
            <w:pPr>
              <w:spacing w:line="280" w:lineRule="exact"/>
              <w:rPr>
                <w:rFonts w:ascii="宋体" w:hAnsi="宋体" w:cs="宋体"/>
                <w:szCs w:val="21"/>
              </w:rPr>
            </w:pPr>
            <w:r>
              <w:rPr>
                <w:rFonts w:hint="eastAsia" w:ascii="宋体" w:hAnsi="宋体" w:cs="宋体"/>
                <w:szCs w:val="21"/>
              </w:rPr>
              <w:t>2.企业应组织从业人员进行应急救援预案的培训，定期演练，评价演练效果，评价应急救援预案的充分性和有效性，并形成记录。</w:t>
            </w:r>
          </w:p>
        </w:tc>
        <w:tc>
          <w:tcPr>
            <w:tcW w:w="2268" w:type="dxa"/>
          </w:tcPr>
          <w:p>
            <w:pPr>
              <w:spacing w:line="280" w:lineRule="exact"/>
              <w:rPr>
                <w:rFonts w:ascii="宋体" w:hAnsi="宋体" w:cs="宋体"/>
                <w:szCs w:val="21"/>
              </w:rPr>
            </w:pPr>
            <w:r>
              <w:rPr>
                <w:rFonts w:hint="eastAsia" w:ascii="宋体" w:hAnsi="宋体" w:cs="宋体"/>
                <w:szCs w:val="21"/>
              </w:rPr>
              <w:t>1.组织应急救援预案培训；</w:t>
            </w:r>
          </w:p>
          <w:p>
            <w:pPr>
              <w:spacing w:line="280" w:lineRule="exact"/>
              <w:rPr>
                <w:rFonts w:ascii="宋体" w:hAnsi="宋体" w:cs="宋体"/>
                <w:szCs w:val="21"/>
              </w:rPr>
            </w:pPr>
            <w:r>
              <w:rPr>
                <w:rFonts w:hint="eastAsia" w:ascii="宋体" w:hAnsi="宋体" w:cs="宋体"/>
                <w:szCs w:val="21"/>
              </w:rPr>
              <w:t>2.综合应急救援预案每年至少组织一次演练，现场处置方案每半年至少组织一次演练；</w:t>
            </w:r>
          </w:p>
          <w:p>
            <w:pPr>
              <w:spacing w:line="280" w:lineRule="exact"/>
              <w:rPr>
                <w:rFonts w:ascii="宋体" w:hAnsi="宋体" w:cs="宋体"/>
                <w:szCs w:val="21"/>
              </w:rPr>
            </w:pPr>
            <w:r>
              <w:rPr>
                <w:rFonts w:hint="eastAsia" w:ascii="宋体" w:hAnsi="宋体" w:cs="宋体"/>
                <w:szCs w:val="21"/>
              </w:rPr>
              <w:t>3.演练后及时进行演练效果评价，并对应急预案评审。</w:t>
            </w:r>
          </w:p>
        </w:tc>
        <w:tc>
          <w:tcPr>
            <w:tcW w:w="2268" w:type="dxa"/>
          </w:tcPr>
          <w:p>
            <w:pPr>
              <w:spacing w:line="280" w:lineRule="exact"/>
              <w:rPr>
                <w:rFonts w:ascii="宋体" w:hAnsi="宋体" w:cs="宋体"/>
                <w:szCs w:val="21"/>
              </w:rPr>
            </w:pPr>
            <w:r>
              <w:rPr>
                <w:rFonts w:hint="eastAsia" w:ascii="宋体" w:hAnsi="宋体" w:cs="宋体"/>
                <w:szCs w:val="21"/>
              </w:rPr>
              <w:t>查文件：</w:t>
            </w:r>
          </w:p>
          <w:p>
            <w:pPr>
              <w:spacing w:line="280" w:lineRule="exact"/>
              <w:rPr>
                <w:rFonts w:ascii="宋体" w:hAnsi="宋体" w:cs="宋体"/>
                <w:szCs w:val="21"/>
              </w:rPr>
            </w:pPr>
            <w:r>
              <w:rPr>
                <w:rFonts w:hint="eastAsia" w:ascii="宋体" w:hAnsi="宋体" w:cs="宋体"/>
                <w:szCs w:val="21"/>
              </w:rPr>
              <w:t xml:space="preserve">1.应急救援预案培训记录； </w:t>
            </w:r>
          </w:p>
          <w:p>
            <w:pPr>
              <w:spacing w:line="280" w:lineRule="exact"/>
              <w:rPr>
                <w:rFonts w:ascii="宋体" w:hAnsi="宋体" w:cs="宋体"/>
                <w:szCs w:val="21"/>
              </w:rPr>
            </w:pPr>
            <w:r>
              <w:rPr>
                <w:rFonts w:hint="eastAsia" w:ascii="宋体" w:hAnsi="宋体" w:cs="宋体"/>
                <w:szCs w:val="21"/>
              </w:rPr>
              <w:t>2.应急救援预案演练记录；</w:t>
            </w:r>
          </w:p>
          <w:p>
            <w:pPr>
              <w:spacing w:line="280" w:lineRule="exact"/>
              <w:rPr>
                <w:rFonts w:ascii="宋体" w:hAnsi="宋体" w:cs="宋体"/>
                <w:szCs w:val="21"/>
              </w:rPr>
            </w:pPr>
            <w:r>
              <w:rPr>
                <w:rFonts w:hint="eastAsia" w:ascii="宋体" w:hAnsi="宋体" w:cs="宋体"/>
                <w:szCs w:val="21"/>
              </w:rPr>
              <w:t>3.应急救援预案演练评价报告。</w:t>
            </w:r>
          </w:p>
          <w:p>
            <w:pPr>
              <w:spacing w:line="280" w:lineRule="exact"/>
              <w:rPr>
                <w:rFonts w:ascii="宋体" w:hAnsi="宋体" w:cs="宋体"/>
                <w:szCs w:val="21"/>
              </w:rPr>
            </w:pPr>
            <w:r>
              <w:rPr>
                <w:rFonts w:hint="eastAsia" w:ascii="宋体" w:hAnsi="宋体" w:cs="宋体"/>
                <w:szCs w:val="21"/>
              </w:rPr>
              <w:t>询问：</w:t>
            </w:r>
          </w:p>
          <w:p>
            <w:pPr>
              <w:spacing w:line="280" w:lineRule="exact"/>
              <w:rPr>
                <w:rFonts w:ascii="宋体" w:hAnsi="宋体" w:cs="宋体"/>
                <w:szCs w:val="21"/>
              </w:rPr>
            </w:pPr>
            <w:r>
              <w:rPr>
                <w:rFonts w:hint="eastAsia" w:ascii="宋体" w:hAnsi="宋体" w:cs="宋体"/>
                <w:szCs w:val="21"/>
              </w:rPr>
              <w:t>有关人员是否熟悉应急救援预案内容及参加演练情况。</w:t>
            </w:r>
          </w:p>
        </w:tc>
        <w:tc>
          <w:tcPr>
            <w:tcW w:w="1701" w:type="dxa"/>
          </w:tcPr>
          <w:p>
            <w:pPr>
              <w:spacing w:line="280" w:lineRule="exact"/>
              <w:rPr>
                <w:rFonts w:ascii="宋体" w:hAnsi="宋体" w:cs="宋体"/>
                <w:szCs w:val="21"/>
              </w:rPr>
            </w:pPr>
          </w:p>
        </w:tc>
        <w:tc>
          <w:tcPr>
            <w:tcW w:w="2268" w:type="dxa"/>
          </w:tcPr>
          <w:p>
            <w:pPr>
              <w:spacing w:line="280" w:lineRule="exact"/>
              <w:rPr>
                <w:rFonts w:ascii="宋体" w:hAnsi="宋体" w:cs="宋体"/>
                <w:szCs w:val="21"/>
              </w:rPr>
            </w:pPr>
            <w:r>
              <w:rPr>
                <w:rFonts w:hint="eastAsia" w:ascii="宋体" w:hAnsi="宋体" w:cs="宋体"/>
                <w:szCs w:val="21"/>
              </w:rPr>
              <w:t>1.未对从业人员进行应急救援预案培训，1人次扣1分；</w:t>
            </w:r>
          </w:p>
          <w:p>
            <w:pPr>
              <w:spacing w:line="280" w:lineRule="exact"/>
              <w:rPr>
                <w:rFonts w:ascii="宋体" w:hAnsi="宋体" w:cs="宋体"/>
                <w:szCs w:val="21"/>
              </w:rPr>
            </w:pPr>
            <w:r>
              <w:rPr>
                <w:rFonts w:hint="eastAsia" w:ascii="宋体" w:hAnsi="宋体" w:cs="宋体"/>
                <w:szCs w:val="21"/>
              </w:rPr>
              <w:t>2.未定期进行应急救援预案演练，扣2分；</w:t>
            </w:r>
          </w:p>
          <w:p>
            <w:pPr>
              <w:spacing w:line="280" w:lineRule="exact"/>
              <w:rPr>
                <w:rFonts w:ascii="宋体" w:hAnsi="宋体" w:cs="宋体"/>
                <w:szCs w:val="21"/>
              </w:rPr>
            </w:pPr>
            <w:r>
              <w:rPr>
                <w:rFonts w:hint="eastAsia" w:ascii="宋体" w:hAnsi="宋体" w:cs="宋体"/>
                <w:szCs w:val="21"/>
              </w:rPr>
              <w:t>3.未对预案演练进行效果评价，扣1分；</w:t>
            </w:r>
          </w:p>
          <w:p>
            <w:pPr>
              <w:spacing w:line="280" w:lineRule="exact"/>
              <w:rPr>
                <w:rFonts w:ascii="宋体" w:hAnsi="宋体" w:cs="宋体"/>
                <w:szCs w:val="21"/>
              </w:rPr>
            </w:pPr>
            <w:r>
              <w:rPr>
                <w:rFonts w:hint="eastAsia" w:ascii="宋体" w:hAnsi="宋体" w:cs="宋体"/>
                <w:szCs w:val="21"/>
              </w:rPr>
              <w:t>4.演练后未对预案评审，扣2分。</w:t>
            </w:r>
          </w:p>
        </w:tc>
        <w:tc>
          <w:tcPr>
            <w:tcW w:w="1165" w:type="dxa"/>
            <w:vAlign w:val="center"/>
          </w:tcPr>
          <w:p>
            <w:pPr>
              <w:spacing w:line="280" w:lineRule="exact"/>
              <w:jc w:val="center"/>
              <w:rPr>
                <w:rFonts w:ascii="宋体" w:hAnsi="宋体" w:cs="宋体"/>
                <w:szCs w:val="21"/>
              </w:rPr>
            </w:pPr>
            <w:r>
              <w:rPr>
                <w:rFonts w:hint="eastAsia" w:ascii="宋体" w:hAnsi="宋体" w:cs="宋体"/>
                <w:szCs w:val="21"/>
              </w:rPr>
              <w:t>符合要求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771" w:type="dxa"/>
            <w:vMerge w:val="continue"/>
          </w:tcPr>
          <w:p>
            <w:pPr>
              <w:spacing w:line="280" w:lineRule="exact"/>
              <w:rPr>
                <w:rFonts w:ascii="宋体" w:hAnsi="宋体" w:cs="宋体"/>
                <w:b/>
                <w:bCs/>
                <w:szCs w:val="21"/>
              </w:rPr>
            </w:pPr>
          </w:p>
        </w:tc>
        <w:tc>
          <w:tcPr>
            <w:tcW w:w="709" w:type="dxa"/>
            <w:vMerge w:val="continue"/>
          </w:tcPr>
          <w:p>
            <w:pPr>
              <w:spacing w:line="280" w:lineRule="exact"/>
              <w:rPr>
                <w:rFonts w:ascii="宋体" w:hAnsi="宋体" w:cs="宋体"/>
                <w:b/>
                <w:bCs/>
                <w:szCs w:val="21"/>
              </w:rPr>
            </w:pPr>
          </w:p>
        </w:tc>
        <w:tc>
          <w:tcPr>
            <w:tcW w:w="2409" w:type="dxa"/>
          </w:tcPr>
          <w:p>
            <w:pPr>
              <w:spacing w:line="280" w:lineRule="exact"/>
              <w:rPr>
                <w:rFonts w:ascii="宋体" w:hAnsi="宋体" w:cs="宋体"/>
                <w:szCs w:val="21"/>
              </w:rPr>
            </w:pPr>
            <w:r>
              <w:rPr>
                <w:rFonts w:hint="eastAsia" w:ascii="宋体" w:hAnsi="宋体" w:cs="宋体"/>
                <w:szCs w:val="21"/>
              </w:rPr>
              <w:t>3.企业应定期评审应急救援预案，尤其在潜在事件和突发事故发生后。</w:t>
            </w:r>
          </w:p>
        </w:tc>
        <w:tc>
          <w:tcPr>
            <w:tcW w:w="2268" w:type="dxa"/>
          </w:tcPr>
          <w:p>
            <w:pPr>
              <w:spacing w:line="280" w:lineRule="exact"/>
              <w:rPr>
                <w:rFonts w:ascii="宋体" w:hAnsi="宋体" w:cs="宋体"/>
                <w:szCs w:val="21"/>
              </w:rPr>
            </w:pPr>
            <w:r>
              <w:rPr>
                <w:rFonts w:hint="eastAsia" w:ascii="宋体" w:hAnsi="宋体" w:cs="宋体"/>
                <w:szCs w:val="21"/>
              </w:rPr>
              <w:t>1.定期评审应急救援预案，至少每三年评审修订一次；</w:t>
            </w:r>
          </w:p>
          <w:p>
            <w:pPr>
              <w:spacing w:line="280" w:lineRule="exact"/>
              <w:rPr>
                <w:rFonts w:ascii="宋体" w:hAnsi="宋体" w:cs="宋体"/>
                <w:szCs w:val="21"/>
              </w:rPr>
            </w:pPr>
            <w:r>
              <w:rPr>
                <w:rFonts w:hint="eastAsia" w:ascii="宋体" w:hAnsi="宋体" w:cs="宋体"/>
                <w:szCs w:val="21"/>
              </w:rPr>
              <w:t>2.潜在事件和突发事故发生后，及时评审修订预案。</w:t>
            </w:r>
          </w:p>
        </w:tc>
        <w:tc>
          <w:tcPr>
            <w:tcW w:w="2268" w:type="dxa"/>
          </w:tcPr>
          <w:p>
            <w:pPr>
              <w:spacing w:line="280" w:lineRule="exact"/>
              <w:rPr>
                <w:rFonts w:ascii="宋体" w:hAnsi="宋体" w:cs="宋体"/>
                <w:szCs w:val="21"/>
              </w:rPr>
            </w:pPr>
            <w:r>
              <w:rPr>
                <w:rFonts w:hint="eastAsia" w:ascii="宋体" w:hAnsi="宋体" w:cs="宋体"/>
                <w:szCs w:val="21"/>
              </w:rPr>
              <w:t>查文件：</w:t>
            </w:r>
          </w:p>
          <w:p>
            <w:pPr>
              <w:spacing w:line="280" w:lineRule="exact"/>
              <w:rPr>
                <w:rFonts w:ascii="宋体" w:hAnsi="宋体" w:cs="宋体"/>
                <w:szCs w:val="21"/>
              </w:rPr>
            </w:pPr>
            <w:r>
              <w:rPr>
                <w:rFonts w:hint="eastAsia" w:ascii="宋体" w:hAnsi="宋体" w:cs="宋体"/>
                <w:szCs w:val="21"/>
              </w:rPr>
              <w:t>1.应急救援预案评审修订规定；</w:t>
            </w:r>
          </w:p>
          <w:p>
            <w:pPr>
              <w:spacing w:line="280" w:lineRule="exact"/>
              <w:rPr>
                <w:rFonts w:ascii="宋体" w:hAnsi="宋体" w:cs="宋体"/>
                <w:szCs w:val="21"/>
              </w:rPr>
            </w:pPr>
            <w:r>
              <w:rPr>
                <w:rFonts w:hint="eastAsia" w:ascii="宋体" w:hAnsi="宋体" w:cs="宋体"/>
                <w:szCs w:val="21"/>
              </w:rPr>
              <w:t>2.应急救援预案评审记录。</w:t>
            </w:r>
          </w:p>
        </w:tc>
        <w:tc>
          <w:tcPr>
            <w:tcW w:w="1701" w:type="dxa"/>
          </w:tcPr>
          <w:p>
            <w:pPr>
              <w:spacing w:line="280" w:lineRule="exact"/>
              <w:rPr>
                <w:rFonts w:ascii="宋体" w:hAnsi="宋体" w:cs="宋体"/>
                <w:szCs w:val="21"/>
              </w:rPr>
            </w:pPr>
          </w:p>
        </w:tc>
        <w:tc>
          <w:tcPr>
            <w:tcW w:w="2268" w:type="dxa"/>
          </w:tcPr>
          <w:p>
            <w:pPr>
              <w:spacing w:line="280" w:lineRule="exact"/>
              <w:rPr>
                <w:rFonts w:ascii="宋体" w:hAnsi="宋体" w:cs="宋体"/>
                <w:szCs w:val="21"/>
              </w:rPr>
            </w:pPr>
            <w:r>
              <w:rPr>
                <w:rFonts w:hint="eastAsia" w:ascii="宋体" w:hAnsi="宋体" w:cs="宋体"/>
                <w:szCs w:val="21"/>
              </w:rPr>
              <w:t>1.未明确预案评审修订的时机和频次，扣2分；</w:t>
            </w:r>
          </w:p>
          <w:p>
            <w:pPr>
              <w:spacing w:line="280" w:lineRule="exact"/>
              <w:rPr>
                <w:rFonts w:ascii="宋体" w:hAnsi="宋体" w:cs="宋体"/>
                <w:szCs w:val="21"/>
              </w:rPr>
            </w:pPr>
            <w:r>
              <w:rPr>
                <w:rFonts w:hint="eastAsia" w:ascii="宋体" w:hAnsi="宋体" w:cs="宋体"/>
                <w:szCs w:val="21"/>
              </w:rPr>
              <w:t>2.未定期或及时评审修订应急救援预案，扣2分。</w:t>
            </w:r>
          </w:p>
        </w:tc>
        <w:tc>
          <w:tcPr>
            <w:tcW w:w="1165" w:type="dxa"/>
            <w:vAlign w:val="center"/>
          </w:tcPr>
          <w:p>
            <w:pPr>
              <w:spacing w:line="280" w:lineRule="exact"/>
              <w:jc w:val="center"/>
              <w:rPr>
                <w:rFonts w:ascii="宋体" w:hAnsi="宋体" w:cs="宋体"/>
                <w:szCs w:val="21"/>
              </w:rPr>
            </w:pPr>
            <w:r>
              <w:rPr>
                <w:rFonts w:hint="eastAsia" w:ascii="宋体" w:hAnsi="宋体" w:cs="宋体"/>
                <w:szCs w:val="21"/>
              </w:rPr>
              <w:t>符合要求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771" w:type="dxa"/>
            <w:vMerge w:val="continue"/>
          </w:tcPr>
          <w:p>
            <w:pPr>
              <w:spacing w:line="280" w:lineRule="exact"/>
              <w:rPr>
                <w:rFonts w:ascii="宋体" w:hAnsi="宋体" w:cs="宋体"/>
                <w:b/>
                <w:bCs/>
                <w:szCs w:val="21"/>
              </w:rPr>
            </w:pPr>
          </w:p>
        </w:tc>
        <w:tc>
          <w:tcPr>
            <w:tcW w:w="709" w:type="dxa"/>
            <w:vMerge w:val="continue"/>
          </w:tcPr>
          <w:p>
            <w:pPr>
              <w:spacing w:line="280" w:lineRule="exact"/>
              <w:rPr>
                <w:rFonts w:ascii="宋体" w:hAnsi="宋体" w:cs="宋体"/>
                <w:b/>
                <w:bCs/>
                <w:szCs w:val="21"/>
              </w:rPr>
            </w:pPr>
          </w:p>
        </w:tc>
        <w:tc>
          <w:tcPr>
            <w:tcW w:w="2409" w:type="dxa"/>
          </w:tcPr>
          <w:p>
            <w:pPr>
              <w:spacing w:line="280" w:lineRule="exact"/>
              <w:rPr>
                <w:rFonts w:ascii="宋体" w:hAnsi="宋体" w:cs="宋体"/>
                <w:szCs w:val="21"/>
              </w:rPr>
            </w:pPr>
            <w:r>
              <w:rPr>
                <w:rFonts w:hint="eastAsia" w:ascii="宋体" w:hAnsi="宋体" w:cs="宋体"/>
                <w:szCs w:val="21"/>
              </w:rPr>
              <w:t>4.企业应将应急救援预案报当地安全生产监督管理部门和有关部门备案，并通报当地应急协作单位，建立应急联动机制。</w:t>
            </w:r>
          </w:p>
        </w:tc>
        <w:tc>
          <w:tcPr>
            <w:tcW w:w="2268" w:type="dxa"/>
          </w:tcPr>
          <w:p>
            <w:pPr>
              <w:spacing w:line="280" w:lineRule="exact"/>
              <w:rPr>
                <w:rFonts w:ascii="宋体" w:hAnsi="宋体" w:cs="宋体"/>
                <w:szCs w:val="21"/>
              </w:rPr>
            </w:pPr>
            <w:r>
              <w:rPr>
                <w:rFonts w:hint="eastAsia" w:ascii="宋体" w:hAnsi="宋体" w:cs="宋体"/>
                <w:szCs w:val="21"/>
              </w:rPr>
              <w:t>1.将应急救援预案报所在地设区的市级人民政府安全生产监督管理部门备案；</w:t>
            </w:r>
          </w:p>
          <w:p>
            <w:pPr>
              <w:spacing w:line="280" w:lineRule="exact"/>
              <w:rPr>
                <w:rFonts w:ascii="宋体" w:hAnsi="宋体" w:cs="宋体"/>
                <w:szCs w:val="21"/>
              </w:rPr>
            </w:pPr>
            <w:r>
              <w:rPr>
                <w:rFonts w:hint="eastAsia" w:ascii="宋体" w:hAnsi="宋体" w:cs="宋体"/>
                <w:szCs w:val="21"/>
              </w:rPr>
              <w:t>2.通报当地应急协作单位。</w:t>
            </w:r>
          </w:p>
        </w:tc>
        <w:tc>
          <w:tcPr>
            <w:tcW w:w="2268" w:type="dxa"/>
          </w:tcPr>
          <w:p>
            <w:pPr>
              <w:spacing w:line="280" w:lineRule="exact"/>
              <w:rPr>
                <w:rFonts w:ascii="宋体" w:hAnsi="宋体" w:cs="宋体"/>
                <w:szCs w:val="21"/>
              </w:rPr>
            </w:pPr>
            <w:r>
              <w:rPr>
                <w:rFonts w:hint="eastAsia" w:ascii="宋体" w:hAnsi="宋体" w:cs="宋体"/>
                <w:szCs w:val="21"/>
              </w:rPr>
              <w:t>查文件：</w:t>
            </w:r>
          </w:p>
          <w:p>
            <w:pPr>
              <w:spacing w:line="280" w:lineRule="exact"/>
              <w:rPr>
                <w:rFonts w:ascii="宋体" w:hAnsi="宋体" w:cs="宋体"/>
                <w:szCs w:val="21"/>
              </w:rPr>
            </w:pPr>
            <w:r>
              <w:rPr>
                <w:rFonts w:hint="eastAsia" w:ascii="宋体" w:hAnsi="宋体" w:cs="宋体"/>
                <w:szCs w:val="21"/>
              </w:rPr>
              <w:t>1.应急救援预案备案回执；</w:t>
            </w:r>
          </w:p>
          <w:p>
            <w:pPr>
              <w:spacing w:line="280" w:lineRule="exact"/>
              <w:rPr>
                <w:rFonts w:ascii="宋体" w:hAnsi="宋体" w:cs="宋体"/>
                <w:szCs w:val="21"/>
              </w:rPr>
            </w:pPr>
            <w:r>
              <w:rPr>
                <w:rFonts w:hint="eastAsia" w:ascii="宋体" w:hAnsi="宋体" w:cs="宋体"/>
                <w:szCs w:val="21"/>
              </w:rPr>
              <w:t>2.应急协作单位收到预案的回执。</w:t>
            </w:r>
          </w:p>
        </w:tc>
        <w:tc>
          <w:tcPr>
            <w:tcW w:w="1701" w:type="dxa"/>
          </w:tcPr>
          <w:p>
            <w:pPr>
              <w:spacing w:line="280" w:lineRule="exact"/>
              <w:rPr>
                <w:rFonts w:ascii="宋体" w:hAnsi="宋体" w:cs="宋体"/>
                <w:szCs w:val="21"/>
              </w:rPr>
            </w:pPr>
          </w:p>
        </w:tc>
        <w:tc>
          <w:tcPr>
            <w:tcW w:w="2268" w:type="dxa"/>
          </w:tcPr>
          <w:p>
            <w:pPr>
              <w:spacing w:line="280" w:lineRule="exact"/>
              <w:rPr>
                <w:rFonts w:ascii="宋体" w:hAnsi="宋体" w:cs="宋体"/>
                <w:szCs w:val="21"/>
              </w:rPr>
            </w:pPr>
            <w:r>
              <w:rPr>
                <w:rFonts w:hint="eastAsia" w:ascii="宋体" w:hAnsi="宋体" w:cs="宋体"/>
                <w:szCs w:val="21"/>
              </w:rPr>
              <w:t>1.未及时备案，扣2分；</w:t>
            </w:r>
          </w:p>
          <w:p>
            <w:pPr>
              <w:spacing w:line="280" w:lineRule="exact"/>
              <w:rPr>
                <w:rFonts w:ascii="宋体" w:hAnsi="宋体" w:cs="宋体"/>
                <w:szCs w:val="21"/>
              </w:rPr>
            </w:pPr>
            <w:r>
              <w:rPr>
                <w:rFonts w:hint="eastAsia" w:ascii="宋体" w:hAnsi="宋体" w:cs="宋体"/>
                <w:szCs w:val="21"/>
              </w:rPr>
              <w:t>2.未通报当地应急协作单位，扣2分。</w:t>
            </w:r>
          </w:p>
        </w:tc>
        <w:tc>
          <w:tcPr>
            <w:tcW w:w="1165" w:type="dxa"/>
            <w:vAlign w:val="center"/>
          </w:tcPr>
          <w:p>
            <w:pPr>
              <w:spacing w:line="280" w:lineRule="exact"/>
              <w:jc w:val="center"/>
              <w:rPr>
                <w:rFonts w:ascii="宋体" w:hAnsi="宋体" w:cs="宋体"/>
                <w:szCs w:val="21"/>
              </w:rPr>
            </w:pPr>
            <w:r>
              <w:rPr>
                <w:rFonts w:hint="eastAsia" w:ascii="宋体" w:hAnsi="宋体" w:cs="宋体"/>
                <w:szCs w:val="21"/>
              </w:rPr>
              <w:t>符合要求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771" w:type="dxa"/>
            <w:vMerge w:val="continue"/>
          </w:tcPr>
          <w:p>
            <w:pPr>
              <w:spacing w:line="280" w:lineRule="exact"/>
              <w:rPr>
                <w:rFonts w:ascii="宋体" w:hAnsi="宋体" w:cs="宋体"/>
                <w:b/>
                <w:bCs/>
                <w:szCs w:val="21"/>
              </w:rPr>
            </w:pPr>
          </w:p>
        </w:tc>
        <w:tc>
          <w:tcPr>
            <w:tcW w:w="709" w:type="dxa"/>
            <w:vMerge w:val="restart"/>
          </w:tcPr>
          <w:p>
            <w:pPr>
              <w:spacing w:line="280" w:lineRule="exact"/>
              <w:rPr>
                <w:rFonts w:ascii="宋体" w:hAnsi="宋体" w:cs="宋体"/>
                <w:b/>
                <w:bCs/>
                <w:szCs w:val="21"/>
              </w:rPr>
            </w:pPr>
            <w:r>
              <w:rPr>
                <w:rFonts w:hint="eastAsia" w:ascii="宋体" w:hAnsi="宋体" w:cs="宋体"/>
                <w:b/>
                <w:bCs/>
                <w:szCs w:val="21"/>
              </w:rPr>
              <w:t>10.4</w:t>
            </w:r>
          </w:p>
          <w:p>
            <w:pPr>
              <w:spacing w:line="280" w:lineRule="exact"/>
              <w:rPr>
                <w:rFonts w:ascii="宋体" w:hAnsi="宋体" w:cs="宋体"/>
                <w:b/>
                <w:bCs/>
                <w:szCs w:val="21"/>
              </w:rPr>
            </w:pPr>
            <w:r>
              <w:rPr>
                <w:rFonts w:hint="eastAsia" w:ascii="宋体" w:hAnsi="宋体" w:cs="宋体"/>
                <w:b/>
                <w:bCs/>
                <w:szCs w:val="21"/>
              </w:rPr>
              <w:t>抢险与救护</w:t>
            </w:r>
          </w:p>
          <w:p>
            <w:pPr>
              <w:spacing w:line="280" w:lineRule="exact"/>
              <w:rPr>
                <w:rFonts w:ascii="宋体" w:hAnsi="宋体" w:cs="宋体"/>
                <w:b/>
                <w:bCs/>
                <w:szCs w:val="21"/>
              </w:rPr>
            </w:pPr>
            <w:r>
              <w:rPr>
                <w:rFonts w:hint="eastAsia" w:ascii="宋体" w:hAnsi="宋体" w:cs="宋体"/>
                <w:b/>
                <w:bCs/>
                <w:szCs w:val="21"/>
              </w:rPr>
              <w:t>（20分）</w:t>
            </w:r>
          </w:p>
          <w:p>
            <w:pPr>
              <w:spacing w:line="280" w:lineRule="exact"/>
              <w:rPr>
                <w:rFonts w:ascii="宋体" w:hAnsi="宋体" w:cs="宋体"/>
                <w:b/>
                <w:bCs/>
                <w:szCs w:val="21"/>
              </w:rPr>
            </w:pPr>
          </w:p>
          <w:p>
            <w:pPr>
              <w:spacing w:line="280" w:lineRule="exact"/>
              <w:rPr>
                <w:rFonts w:ascii="宋体" w:hAnsi="宋体" w:cs="宋体"/>
                <w:b/>
                <w:bCs/>
                <w:szCs w:val="21"/>
              </w:rPr>
            </w:pPr>
          </w:p>
          <w:p>
            <w:pPr>
              <w:spacing w:line="280" w:lineRule="exact"/>
              <w:rPr>
                <w:rFonts w:ascii="宋体" w:hAnsi="宋体" w:cs="宋体"/>
                <w:b/>
                <w:bCs/>
                <w:szCs w:val="21"/>
              </w:rPr>
            </w:pPr>
          </w:p>
          <w:p>
            <w:pPr>
              <w:spacing w:line="280" w:lineRule="exact"/>
              <w:rPr>
                <w:rFonts w:ascii="宋体" w:hAnsi="宋体" w:cs="宋体"/>
                <w:b/>
                <w:bCs/>
                <w:szCs w:val="21"/>
              </w:rPr>
            </w:pPr>
          </w:p>
        </w:tc>
        <w:tc>
          <w:tcPr>
            <w:tcW w:w="2409" w:type="dxa"/>
          </w:tcPr>
          <w:p>
            <w:pPr>
              <w:spacing w:line="280" w:lineRule="exact"/>
              <w:rPr>
                <w:rFonts w:ascii="宋体" w:hAnsi="宋体" w:cs="宋体"/>
                <w:szCs w:val="21"/>
              </w:rPr>
            </w:pPr>
            <w:r>
              <w:rPr>
                <w:rFonts w:hint="eastAsia" w:ascii="宋体" w:hAnsi="宋体" w:cs="宋体"/>
                <w:szCs w:val="21"/>
              </w:rPr>
              <w:t>1.企业发生生产安全事故后，应迅速启动应急救援预案，企业负责人直接指挥，积极组织抢救，妥善处理，以防止事故的蔓延扩大，减少人员伤亡和财产损失。安全、技术、设备、动力、生产、消防、保卫等部门应协助做好现场抢救和警戒工作，保护事故现场。</w:t>
            </w:r>
          </w:p>
        </w:tc>
        <w:tc>
          <w:tcPr>
            <w:tcW w:w="2268" w:type="dxa"/>
          </w:tcPr>
          <w:p>
            <w:pPr>
              <w:spacing w:line="280" w:lineRule="exact"/>
              <w:rPr>
                <w:rFonts w:ascii="宋体" w:hAnsi="宋体" w:cs="宋体"/>
                <w:szCs w:val="21"/>
              </w:rPr>
            </w:pPr>
            <w:r>
              <w:rPr>
                <w:rFonts w:hint="eastAsia" w:ascii="宋体" w:hAnsi="宋体" w:cs="宋体"/>
                <w:szCs w:val="21"/>
              </w:rPr>
              <w:t>1.发生生产安全事故后，迅速启动应急救援预案；</w:t>
            </w:r>
          </w:p>
          <w:p>
            <w:pPr>
              <w:spacing w:line="280" w:lineRule="exact"/>
              <w:rPr>
                <w:rFonts w:ascii="宋体" w:hAnsi="宋体" w:cs="宋体"/>
                <w:szCs w:val="21"/>
              </w:rPr>
            </w:pPr>
            <w:r>
              <w:rPr>
                <w:rFonts w:hint="eastAsia" w:ascii="宋体" w:hAnsi="宋体" w:cs="宋体"/>
                <w:szCs w:val="21"/>
              </w:rPr>
              <w:t>2.企业负责人直接指挥抢救，妥善处理，减少人员伤亡和财产损失；</w:t>
            </w:r>
          </w:p>
          <w:p>
            <w:pPr>
              <w:spacing w:line="280" w:lineRule="exact"/>
              <w:rPr>
                <w:rFonts w:ascii="宋体" w:hAnsi="宋体" w:cs="宋体"/>
                <w:szCs w:val="21"/>
              </w:rPr>
            </w:pPr>
            <w:r>
              <w:rPr>
                <w:rFonts w:hint="eastAsia" w:ascii="宋体" w:hAnsi="宋体" w:cs="宋体"/>
                <w:szCs w:val="21"/>
              </w:rPr>
              <w:t>3.相关部门协助现场抢救和警戒工作，保护事故现场。</w:t>
            </w:r>
          </w:p>
        </w:tc>
        <w:tc>
          <w:tcPr>
            <w:tcW w:w="2268" w:type="dxa"/>
          </w:tcPr>
          <w:p>
            <w:pPr>
              <w:spacing w:line="280" w:lineRule="exact"/>
              <w:rPr>
                <w:rFonts w:ascii="宋体" w:hAnsi="宋体" w:cs="宋体"/>
                <w:szCs w:val="21"/>
              </w:rPr>
            </w:pPr>
            <w:r>
              <w:rPr>
                <w:rFonts w:hint="eastAsia" w:ascii="宋体" w:hAnsi="宋体" w:cs="宋体"/>
                <w:szCs w:val="21"/>
              </w:rPr>
              <w:t>查文件：</w:t>
            </w:r>
          </w:p>
          <w:p>
            <w:pPr>
              <w:spacing w:line="280" w:lineRule="exact"/>
              <w:rPr>
                <w:rFonts w:ascii="宋体" w:hAnsi="宋体" w:cs="宋体"/>
                <w:szCs w:val="21"/>
              </w:rPr>
            </w:pPr>
            <w:r>
              <w:rPr>
                <w:rFonts w:hint="eastAsia" w:ascii="宋体" w:hAnsi="宋体" w:cs="宋体"/>
                <w:szCs w:val="21"/>
              </w:rPr>
              <w:t>1.应急预案；</w:t>
            </w:r>
          </w:p>
          <w:p>
            <w:pPr>
              <w:spacing w:line="280" w:lineRule="exact"/>
              <w:rPr>
                <w:rFonts w:ascii="宋体" w:hAnsi="宋体" w:cs="宋体"/>
                <w:szCs w:val="21"/>
              </w:rPr>
            </w:pPr>
            <w:r>
              <w:rPr>
                <w:rFonts w:hint="eastAsia" w:ascii="宋体" w:hAnsi="宋体" w:cs="宋体"/>
                <w:szCs w:val="21"/>
              </w:rPr>
              <w:t>2.事故台账和调查报告；</w:t>
            </w:r>
          </w:p>
          <w:p>
            <w:pPr>
              <w:spacing w:line="280" w:lineRule="exact"/>
              <w:rPr>
                <w:rFonts w:ascii="宋体" w:hAnsi="宋体" w:cs="宋体"/>
                <w:szCs w:val="21"/>
              </w:rPr>
            </w:pPr>
            <w:r>
              <w:rPr>
                <w:rFonts w:hint="eastAsia" w:ascii="宋体" w:hAnsi="宋体" w:cs="宋体"/>
                <w:szCs w:val="21"/>
              </w:rPr>
              <w:t>3.事故或事件后，对预案评审的报告。</w:t>
            </w:r>
          </w:p>
          <w:p>
            <w:pPr>
              <w:spacing w:line="280" w:lineRule="exact"/>
              <w:rPr>
                <w:rFonts w:ascii="宋体" w:hAnsi="宋体" w:cs="宋体"/>
                <w:szCs w:val="21"/>
              </w:rPr>
            </w:pPr>
            <w:r>
              <w:rPr>
                <w:rFonts w:hint="eastAsia" w:ascii="宋体" w:hAnsi="宋体" w:cs="宋体"/>
                <w:szCs w:val="21"/>
              </w:rPr>
              <w:t>询问：</w:t>
            </w:r>
          </w:p>
          <w:p>
            <w:pPr>
              <w:spacing w:line="280" w:lineRule="exact"/>
              <w:rPr>
                <w:rFonts w:ascii="宋体" w:hAnsi="宋体" w:cs="宋体"/>
                <w:szCs w:val="21"/>
              </w:rPr>
            </w:pPr>
            <w:r>
              <w:rPr>
                <w:rFonts w:hint="eastAsia" w:ascii="宋体" w:hAnsi="宋体" w:cs="宋体"/>
                <w:szCs w:val="21"/>
              </w:rPr>
              <w:t>企业负责人、各职能部门负责人是否了解事故时各自的职责。</w:t>
            </w:r>
          </w:p>
        </w:tc>
        <w:tc>
          <w:tcPr>
            <w:tcW w:w="1701" w:type="dxa"/>
          </w:tcPr>
          <w:p>
            <w:pPr>
              <w:spacing w:line="280" w:lineRule="exact"/>
              <w:rPr>
                <w:rFonts w:ascii="宋体" w:hAnsi="宋体" w:cs="宋体"/>
                <w:szCs w:val="21"/>
              </w:rPr>
            </w:pPr>
          </w:p>
        </w:tc>
        <w:tc>
          <w:tcPr>
            <w:tcW w:w="2268" w:type="dxa"/>
          </w:tcPr>
          <w:p>
            <w:pPr>
              <w:spacing w:line="280" w:lineRule="exact"/>
              <w:rPr>
                <w:rFonts w:ascii="宋体" w:hAnsi="宋体" w:cs="宋体"/>
                <w:szCs w:val="21"/>
              </w:rPr>
            </w:pPr>
            <w:r>
              <w:rPr>
                <w:rFonts w:hint="eastAsia" w:ascii="宋体" w:hAnsi="宋体" w:cs="宋体"/>
                <w:szCs w:val="21"/>
              </w:rPr>
              <w:t xml:space="preserve">1.未明确企业有关人员职责，一项扣1分； </w:t>
            </w:r>
          </w:p>
          <w:p>
            <w:pPr>
              <w:spacing w:line="280" w:lineRule="exact"/>
              <w:rPr>
                <w:rFonts w:ascii="宋体" w:hAnsi="宋体" w:cs="宋体"/>
                <w:szCs w:val="21"/>
              </w:rPr>
            </w:pPr>
            <w:r>
              <w:rPr>
                <w:rFonts w:hint="eastAsia" w:ascii="宋体" w:hAnsi="宋体" w:cs="宋体"/>
                <w:szCs w:val="21"/>
              </w:rPr>
              <w:t>2.相关人员不了解应急职责，1人次扣1分。</w:t>
            </w:r>
          </w:p>
        </w:tc>
        <w:tc>
          <w:tcPr>
            <w:tcW w:w="1165" w:type="dxa"/>
            <w:vAlign w:val="center"/>
          </w:tcPr>
          <w:p>
            <w:pPr>
              <w:spacing w:line="280" w:lineRule="exact"/>
              <w:jc w:val="center"/>
              <w:rPr>
                <w:rFonts w:ascii="宋体" w:hAnsi="宋体" w:cs="宋体"/>
                <w:szCs w:val="21"/>
              </w:rPr>
            </w:pPr>
            <w:r>
              <w:rPr>
                <w:rFonts w:hint="eastAsia" w:ascii="宋体" w:hAnsi="宋体" w:cs="宋体"/>
                <w:szCs w:val="21"/>
              </w:rPr>
              <w:t>不涉及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771" w:type="dxa"/>
            <w:vMerge w:val="continue"/>
          </w:tcPr>
          <w:p>
            <w:pPr>
              <w:spacing w:line="280" w:lineRule="exact"/>
              <w:rPr>
                <w:rFonts w:ascii="宋体" w:hAnsi="宋体" w:cs="宋体"/>
                <w:b/>
                <w:bCs/>
                <w:szCs w:val="21"/>
              </w:rPr>
            </w:pPr>
          </w:p>
        </w:tc>
        <w:tc>
          <w:tcPr>
            <w:tcW w:w="709" w:type="dxa"/>
            <w:vMerge w:val="continue"/>
          </w:tcPr>
          <w:p>
            <w:pPr>
              <w:spacing w:line="280" w:lineRule="exact"/>
              <w:rPr>
                <w:rFonts w:ascii="宋体" w:hAnsi="宋体" w:cs="宋体"/>
                <w:b/>
                <w:bCs/>
                <w:szCs w:val="21"/>
              </w:rPr>
            </w:pPr>
          </w:p>
        </w:tc>
        <w:tc>
          <w:tcPr>
            <w:tcW w:w="2409" w:type="dxa"/>
          </w:tcPr>
          <w:p>
            <w:pPr>
              <w:spacing w:line="280" w:lineRule="exact"/>
              <w:rPr>
                <w:rFonts w:ascii="宋体" w:hAnsi="宋体" w:cs="宋体"/>
                <w:szCs w:val="21"/>
              </w:rPr>
            </w:pPr>
            <w:r>
              <w:rPr>
                <w:rFonts w:hint="eastAsia" w:ascii="宋体" w:hAnsi="宋体" w:cs="宋体"/>
                <w:szCs w:val="21"/>
              </w:rPr>
              <w:t>2.企业发生有害物大量外泄事故或火灾爆炸事故应设警戒线。</w:t>
            </w:r>
          </w:p>
        </w:tc>
        <w:tc>
          <w:tcPr>
            <w:tcW w:w="2268" w:type="dxa"/>
          </w:tcPr>
          <w:p>
            <w:pPr>
              <w:spacing w:line="280" w:lineRule="exact"/>
              <w:rPr>
                <w:rFonts w:ascii="宋体" w:hAnsi="宋体" w:cs="宋体"/>
                <w:szCs w:val="21"/>
              </w:rPr>
            </w:pPr>
            <w:r>
              <w:rPr>
                <w:rFonts w:hint="eastAsia" w:ascii="宋体" w:hAnsi="宋体" w:cs="宋体"/>
                <w:szCs w:val="21"/>
              </w:rPr>
              <w:t>发生有害物大量泄漏事故或火灾爆炸事故时，及时设置警戒线。</w:t>
            </w:r>
          </w:p>
        </w:tc>
        <w:tc>
          <w:tcPr>
            <w:tcW w:w="2268" w:type="dxa"/>
          </w:tcPr>
          <w:p>
            <w:pPr>
              <w:spacing w:line="280" w:lineRule="exact"/>
              <w:rPr>
                <w:rFonts w:ascii="宋体" w:hAnsi="宋体" w:cs="宋体"/>
                <w:szCs w:val="21"/>
              </w:rPr>
            </w:pPr>
            <w:r>
              <w:rPr>
                <w:rFonts w:hint="eastAsia" w:ascii="宋体" w:hAnsi="宋体" w:cs="宋体"/>
                <w:szCs w:val="21"/>
              </w:rPr>
              <w:t>查文件：</w:t>
            </w:r>
          </w:p>
          <w:p>
            <w:pPr>
              <w:spacing w:line="280" w:lineRule="exact"/>
              <w:rPr>
                <w:rFonts w:ascii="宋体" w:hAnsi="宋体" w:cs="宋体"/>
                <w:szCs w:val="21"/>
              </w:rPr>
            </w:pPr>
            <w:r>
              <w:rPr>
                <w:rFonts w:hint="eastAsia" w:ascii="宋体" w:hAnsi="宋体" w:cs="宋体"/>
                <w:szCs w:val="21"/>
              </w:rPr>
              <w:t>事故调查报告。</w:t>
            </w:r>
          </w:p>
          <w:p>
            <w:pPr>
              <w:spacing w:line="280" w:lineRule="exact"/>
              <w:rPr>
                <w:rFonts w:ascii="宋体" w:hAnsi="宋体" w:cs="宋体"/>
                <w:szCs w:val="21"/>
              </w:rPr>
            </w:pPr>
            <w:r>
              <w:rPr>
                <w:rFonts w:hint="eastAsia" w:ascii="宋体" w:hAnsi="宋体" w:cs="宋体"/>
                <w:szCs w:val="21"/>
              </w:rPr>
              <w:t>询问：</w:t>
            </w:r>
          </w:p>
          <w:p>
            <w:pPr>
              <w:spacing w:line="280" w:lineRule="exact"/>
              <w:rPr>
                <w:rFonts w:ascii="宋体" w:hAnsi="宋体" w:cs="宋体"/>
                <w:szCs w:val="21"/>
              </w:rPr>
            </w:pPr>
            <w:r>
              <w:rPr>
                <w:rFonts w:hint="eastAsia" w:ascii="宋体" w:hAnsi="宋体" w:cs="宋体"/>
                <w:szCs w:val="21"/>
              </w:rPr>
              <w:t>相关人员是否了解有发生害物大量外泄事故或火灾爆炸事故时应采取的措施。</w:t>
            </w:r>
          </w:p>
        </w:tc>
        <w:tc>
          <w:tcPr>
            <w:tcW w:w="1701" w:type="dxa"/>
          </w:tcPr>
          <w:p>
            <w:pPr>
              <w:spacing w:line="280" w:lineRule="exact"/>
              <w:rPr>
                <w:rFonts w:ascii="宋体" w:hAnsi="宋体" w:cs="宋体"/>
                <w:szCs w:val="21"/>
              </w:rPr>
            </w:pPr>
          </w:p>
        </w:tc>
        <w:tc>
          <w:tcPr>
            <w:tcW w:w="2268" w:type="dxa"/>
          </w:tcPr>
          <w:p>
            <w:pPr>
              <w:spacing w:line="280" w:lineRule="exact"/>
              <w:rPr>
                <w:rFonts w:ascii="宋体" w:hAnsi="宋体" w:cs="宋体"/>
                <w:szCs w:val="21"/>
              </w:rPr>
            </w:pPr>
            <w:r>
              <w:rPr>
                <w:rFonts w:hint="eastAsia" w:ascii="宋体" w:hAnsi="宋体" w:cs="宋体"/>
                <w:szCs w:val="21"/>
              </w:rPr>
              <w:t>相关人员不了解应设警戒线的措施，1人次扣1分。</w:t>
            </w:r>
          </w:p>
        </w:tc>
        <w:tc>
          <w:tcPr>
            <w:tcW w:w="1165" w:type="dxa"/>
            <w:vAlign w:val="center"/>
          </w:tcPr>
          <w:p>
            <w:pPr>
              <w:spacing w:line="280" w:lineRule="exact"/>
              <w:jc w:val="center"/>
              <w:rPr>
                <w:rFonts w:ascii="宋体" w:hAnsi="宋体" w:cs="宋体"/>
                <w:szCs w:val="21"/>
              </w:rPr>
            </w:pPr>
            <w:r>
              <w:rPr>
                <w:rFonts w:hint="eastAsia" w:ascii="宋体" w:hAnsi="宋体" w:cs="宋体"/>
                <w:szCs w:val="21"/>
              </w:rPr>
              <w:t>不涉及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771" w:type="dxa"/>
            <w:vMerge w:val="continue"/>
          </w:tcPr>
          <w:p>
            <w:pPr>
              <w:spacing w:line="280" w:lineRule="exact"/>
              <w:rPr>
                <w:rFonts w:ascii="宋体" w:hAnsi="宋体" w:cs="宋体"/>
                <w:b/>
                <w:bCs/>
                <w:szCs w:val="21"/>
              </w:rPr>
            </w:pPr>
          </w:p>
        </w:tc>
        <w:tc>
          <w:tcPr>
            <w:tcW w:w="709" w:type="dxa"/>
            <w:vMerge w:val="continue"/>
          </w:tcPr>
          <w:p>
            <w:pPr>
              <w:spacing w:line="280" w:lineRule="exact"/>
              <w:rPr>
                <w:rFonts w:ascii="宋体" w:hAnsi="宋体" w:cs="宋体"/>
                <w:b/>
                <w:bCs/>
                <w:szCs w:val="21"/>
              </w:rPr>
            </w:pPr>
          </w:p>
        </w:tc>
        <w:tc>
          <w:tcPr>
            <w:tcW w:w="2409" w:type="dxa"/>
          </w:tcPr>
          <w:p>
            <w:pPr>
              <w:spacing w:line="280" w:lineRule="exact"/>
              <w:rPr>
                <w:rFonts w:ascii="宋体" w:hAnsi="宋体" w:cs="宋体"/>
                <w:szCs w:val="21"/>
              </w:rPr>
            </w:pPr>
            <w:r>
              <w:rPr>
                <w:rFonts w:hint="eastAsia" w:ascii="宋体" w:hAnsi="宋体" w:cs="宋体"/>
                <w:szCs w:val="21"/>
              </w:rPr>
              <w:t>3.企业抢救人员应佩戴好相应的防护器具，对伤亡人员及时进行抢救处理。</w:t>
            </w:r>
          </w:p>
        </w:tc>
        <w:tc>
          <w:tcPr>
            <w:tcW w:w="2268" w:type="dxa"/>
          </w:tcPr>
          <w:p>
            <w:pPr>
              <w:spacing w:line="280" w:lineRule="exact"/>
              <w:rPr>
                <w:rFonts w:ascii="宋体" w:hAnsi="宋体" w:cs="宋体"/>
                <w:szCs w:val="21"/>
              </w:rPr>
            </w:pPr>
            <w:r>
              <w:rPr>
                <w:rFonts w:hint="eastAsia" w:ascii="宋体" w:hAnsi="宋体" w:cs="宋体"/>
                <w:szCs w:val="21"/>
              </w:rPr>
              <w:t>1.抢救人员应熟练使用相关防护器具；</w:t>
            </w:r>
          </w:p>
          <w:p>
            <w:pPr>
              <w:spacing w:line="280" w:lineRule="exact"/>
              <w:rPr>
                <w:rFonts w:ascii="宋体" w:hAnsi="宋体" w:cs="宋体"/>
                <w:szCs w:val="21"/>
              </w:rPr>
            </w:pPr>
            <w:r>
              <w:rPr>
                <w:rFonts w:hint="eastAsia" w:ascii="宋体" w:hAnsi="宋体" w:cs="宋体"/>
                <w:szCs w:val="21"/>
              </w:rPr>
              <w:t>2.抢救人员应掌握必要的急救知识，并经过急救技能培训。</w:t>
            </w:r>
          </w:p>
        </w:tc>
        <w:tc>
          <w:tcPr>
            <w:tcW w:w="2268" w:type="dxa"/>
          </w:tcPr>
          <w:p>
            <w:pPr>
              <w:spacing w:line="280" w:lineRule="exact"/>
              <w:rPr>
                <w:rFonts w:ascii="宋体" w:hAnsi="宋体" w:cs="宋体"/>
                <w:szCs w:val="21"/>
              </w:rPr>
            </w:pPr>
            <w:r>
              <w:rPr>
                <w:rFonts w:hint="eastAsia" w:ascii="宋体" w:hAnsi="宋体" w:cs="宋体"/>
                <w:szCs w:val="21"/>
              </w:rPr>
              <w:t>查文件：</w:t>
            </w:r>
          </w:p>
          <w:p>
            <w:pPr>
              <w:spacing w:line="280" w:lineRule="exact"/>
              <w:rPr>
                <w:rFonts w:ascii="宋体" w:hAnsi="宋体" w:cs="宋体"/>
                <w:szCs w:val="21"/>
              </w:rPr>
            </w:pPr>
            <w:r>
              <w:rPr>
                <w:rFonts w:hint="eastAsia" w:ascii="宋体" w:hAnsi="宋体" w:cs="宋体"/>
                <w:szCs w:val="21"/>
              </w:rPr>
              <w:t>事故调查报告。</w:t>
            </w:r>
          </w:p>
          <w:p>
            <w:pPr>
              <w:spacing w:line="280" w:lineRule="exact"/>
              <w:rPr>
                <w:rFonts w:ascii="宋体" w:hAnsi="宋体" w:cs="宋体"/>
                <w:szCs w:val="21"/>
              </w:rPr>
            </w:pPr>
            <w:r>
              <w:rPr>
                <w:rFonts w:hint="eastAsia" w:ascii="宋体" w:hAnsi="宋体" w:cs="宋体"/>
                <w:szCs w:val="21"/>
              </w:rPr>
              <w:t>询问：</w:t>
            </w:r>
          </w:p>
          <w:p>
            <w:pPr>
              <w:spacing w:line="280" w:lineRule="exact"/>
              <w:rPr>
                <w:rFonts w:ascii="宋体" w:hAnsi="宋体" w:cs="宋体"/>
                <w:szCs w:val="21"/>
              </w:rPr>
            </w:pPr>
            <w:r>
              <w:rPr>
                <w:rFonts w:hint="eastAsia" w:ascii="宋体" w:hAnsi="宋体" w:cs="宋体"/>
                <w:szCs w:val="21"/>
              </w:rPr>
              <w:t>事故抢救人员是否了解事故现场防护器具的配备、使用规定及抢救知识。</w:t>
            </w:r>
          </w:p>
        </w:tc>
        <w:tc>
          <w:tcPr>
            <w:tcW w:w="1701" w:type="dxa"/>
          </w:tcPr>
          <w:p>
            <w:pPr>
              <w:spacing w:line="280" w:lineRule="exact"/>
              <w:rPr>
                <w:rFonts w:ascii="宋体" w:hAnsi="宋体" w:cs="宋体"/>
                <w:szCs w:val="21"/>
              </w:rPr>
            </w:pPr>
          </w:p>
        </w:tc>
        <w:tc>
          <w:tcPr>
            <w:tcW w:w="2268" w:type="dxa"/>
          </w:tcPr>
          <w:p>
            <w:pPr>
              <w:spacing w:line="280" w:lineRule="exact"/>
              <w:rPr>
                <w:rFonts w:ascii="宋体" w:hAnsi="宋体" w:cs="宋体"/>
                <w:szCs w:val="21"/>
              </w:rPr>
            </w:pPr>
            <w:r>
              <w:rPr>
                <w:rFonts w:hint="eastAsia" w:ascii="宋体" w:hAnsi="宋体" w:cs="宋体"/>
                <w:szCs w:val="21"/>
              </w:rPr>
              <w:t>1.抢救人员不会使用防护器具，1人扣2分；</w:t>
            </w:r>
          </w:p>
          <w:p>
            <w:pPr>
              <w:spacing w:line="280" w:lineRule="exact"/>
              <w:rPr>
                <w:rFonts w:ascii="宋体" w:hAnsi="宋体" w:cs="宋体"/>
                <w:szCs w:val="21"/>
              </w:rPr>
            </w:pPr>
            <w:r>
              <w:rPr>
                <w:rFonts w:hint="eastAsia" w:ascii="宋体" w:hAnsi="宋体" w:cs="宋体"/>
                <w:szCs w:val="21"/>
              </w:rPr>
              <w:t>2.抢救人员不了解抢救知识，1人次扣2分。</w:t>
            </w:r>
          </w:p>
        </w:tc>
        <w:tc>
          <w:tcPr>
            <w:tcW w:w="1165" w:type="dxa"/>
            <w:vAlign w:val="center"/>
          </w:tcPr>
          <w:p>
            <w:pPr>
              <w:spacing w:line="280" w:lineRule="exact"/>
              <w:jc w:val="center"/>
              <w:rPr>
                <w:rFonts w:ascii="宋体" w:hAnsi="宋体" w:cs="宋体"/>
                <w:szCs w:val="21"/>
              </w:rPr>
            </w:pPr>
            <w:r>
              <w:rPr>
                <w:rFonts w:hint="eastAsia" w:ascii="宋体" w:hAnsi="宋体" w:cs="宋体"/>
                <w:szCs w:val="21"/>
              </w:rPr>
              <w:t>不涉及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771" w:type="dxa"/>
            <w:vMerge w:val="continue"/>
          </w:tcPr>
          <w:p>
            <w:pPr>
              <w:spacing w:line="280" w:lineRule="exact"/>
              <w:rPr>
                <w:rFonts w:ascii="宋体" w:hAnsi="宋体" w:cs="宋体"/>
                <w:b/>
                <w:bCs/>
                <w:szCs w:val="21"/>
              </w:rPr>
            </w:pPr>
          </w:p>
        </w:tc>
        <w:tc>
          <w:tcPr>
            <w:tcW w:w="709" w:type="dxa"/>
            <w:vMerge w:val="restart"/>
          </w:tcPr>
          <w:p>
            <w:pPr>
              <w:spacing w:line="280" w:lineRule="exact"/>
              <w:rPr>
                <w:rFonts w:ascii="宋体" w:hAnsi="宋体" w:cs="宋体"/>
                <w:b/>
                <w:bCs/>
                <w:szCs w:val="21"/>
              </w:rPr>
            </w:pPr>
            <w:r>
              <w:rPr>
                <w:rFonts w:hint="eastAsia" w:ascii="宋体" w:hAnsi="宋体" w:cs="宋体"/>
                <w:b/>
                <w:bCs/>
                <w:szCs w:val="21"/>
              </w:rPr>
              <w:t>10.5</w:t>
            </w:r>
          </w:p>
          <w:p>
            <w:pPr>
              <w:spacing w:line="280" w:lineRule="exact"/>
              <w:rPr>
                <w:rFonts w:ascii="宋体" w:hAnsi="宋体" w:cs="宋体"/>
                <w:b/>
                <w:bCs/>
                <w:szCs w:val="21"/>
              </w:rPr>
            </w:pPr>
            <w:r>
              <w:rPr>
                <w:rFonts w:hint="eastAsia" w:ascii="宋体" w:hAnsi="宋体" w:cs="宋体"/>
                <w:b/>
                <w:bCs/>
                <w:szCs w:val="21"/>
              </w:rPr>
              <w:t>事故报告</w:t>
            </w:r>
          </w:p>
          <w:p>
            <w:pPr>
              <w:spacing w:line="280" w:lineRule="exact"/>
              <w:rPr>
                <w:rFonts w:ascii="宋体" w:hAnsi="宋体" w:cs="宋体"/>
                <w:b/>
                <w:bCs/>
                <w:szCs w:val="21"/>
              </w:rPr>
            </w:pPr>
            <w:r>
              <w:rPr>
                <w:rFonts w:hint="eastAsia" w:ascii="宋体" w:hAnsi="宋体" w:cs="宋体"/>
                <w:b/>
                <w:bCs/>
                <w:szCs w:val="21"/>
              </w:rPr>
              <w:t>（15分）</w:t>
            </w:r>
          </w:p>
          <w:p>
            <w:pPr>
              <w:spacing w:line="280" w:lineRule="exact"/>
              <w:rPr>
                <w:rFonts w:ascii="宋体" w:hAnsi="宋体" w:cs="宋体"/>
                <w:b/>
                <w:bCs/>
                <w:szCs w:val="21"/>
              </w:rPr>
            </w:pPr>
          </w:p>
        </w:tc>
        <w:tc>
          <w:tcPr>
            <w:tcW w:w="2409" w:type="dxa"/>
          </w:tcPr>
          <w:p>
            <w:pPr>
              <w:spacing w:line="280" w:lineRule="exact"/>
              <w:rPr>
                <w:rFonts w:ascii="宋体" w:hAnsi="宋体" w:cs="宋体"/>
                <w:szCs w:val="21"/>
              </w:rPr>
            </w:pPr>
            <w:r>
              <w:rPr>
                <w:rFonts w:hint="eastAsia" w:ascii="宋体" w:hAnsi="宋体" w:cs="宋体"/>
                <w:szCs w:val="21"/>
              </w:rPr>
              <w:t>1.企业应明确事故报告程序。发生生产安全事故后，事故现场有关人员除立即采取应急措施外，应按规定和程序报告本单位负责人及有关部门。情况紧急时，事故现场有关人员可以直接向事故发生地县级以上人民政府安全生产监督管理部门和负有安全生产监督管理职责的有关部门报告。</w:t>
            </w:r>
          </w:p>
        </w:tc>
        <w:tc>
          <w:tcPr>
            <w:tcW w:w="2268" w:type="dxa"/>
          </w:tcPr>
          <w:p>
            <w:pPr>
              <w:spacing w:line="280" w:lineRule="exact"/>
              <w:rPr>
                <w:rFonts w:ascii="宋体" w:hAnsi="宋体" w:cs="宋体"/>
                <w:szCs w:val="21"/>
              </w:rPr>
            </w:pPr>
            <w:r>
              <w:rPr>
                <w:rFonts w:hint="eastAsia" w:ascii="宋体" w:hAnsi="宋体" w:cs="宋体"/>
                <w:szCs w:val="21"/>
              </w:rPr>
              <w:t>1.明确事故报告程序和事故报告的责任部门、责任人；</w:t>
            </w:r>
          </w:p>
          <w:p>
            <w:pPr>
              <w:spacing w:line="280" w:lineRule="exact"/>
              <w:rPr>
                <w:rFonts w:ascii="宋体" w:hAnsi="宋体" w:cs="宋体"/>
                <w:szCs w:val="21"/>
              </w:rPr>
            </w:pPr>
            <w:r>
              <w:rPr>
                <w:rFonts w:hint="eastAsia" w:ascii="宋体" w:hAnsi="宋体" w:cs="宋体"/>
                <w:szCs w:val="21"/>
              </w:rPr>
              <w:t>2.发生事故，现场人员立即采取应急措施；</w:t>
            </w:r>
          </w:p>
          <w:p>
            <w:pPr>
              <w:spacing w:line="280" w:lineRule="exact"/>
              <w:rPr>
                <w:rFonts w:ascii="宋体" w:hAnsi="宋体" w:cs="宋体"/>
                <w:szCs w:val="21"/>
              </w:rPr>
            </w:pPr>
            <w:r>
              <w:rPr>
                <w:rFonts w:hint="eastAsia" w:ascii="宋体" w:hAnsi="宋体" w:cs="宋体"/>
                <w:szCs w:val="21"/>
              </w:rPr>
              <w:t>3.发生事故后按程序报告；</w:t>
            </w:r>
          </w:p>
          <w:p>
            <w:pPr>
              <w:spacing w:line="280" w:lineRule="exact"/>
              <w:rPr>
                <w:rFonts w:ascii="宋体" w:hAnsi="宋体" w:cs="宋体"/>
                <w:szCs w:val="21"/>
              </w:rPr>
            </w:pPr>
            <w:r>
              <w:rPr>
                <w:rFonts w:hint="eastAsia" w:ascii="宋体" w:hAnsi="宋体" w:cs="宋体"/>
                <w:szCs w:val="21"/>
              </w:rPr>
              <w:t>4.情况紧急时，事故现场人员可以直接向有关部门报告。</w:t>
            </w:r>
          </w:p>
        </w:tc>
        <w:tc>
          <w:tcPr>
            <w:tcW w:w="2268" w:type="dxa"/>
          </w:tcPr>
          <w:p>
            <w:pPr>
              <w:spacing w:line="280" w:lineRule="exact"/>
              <w:rPr>
                <w:rFonts w:ascii="宋体" w:hAnsi="宋体" w:cs="宋体"/>
                <w:szCs w:val="21"/>
              </w:rPr>
            </w:pPr>
            <w:r>
              <w:rPr>
                <w:rFonts w:hint="eastAsia" w:ascii="宋体" w:hAnsi="宋体" w:cs="宋体"/>
                <w:szCs w:val="21"/>
              </w:rPr>
              <w:t>查文件：</w:t>
            </w:r>
          </w:p>
          <w:p>
            <w:pPr>
              <w:spacing w:line="280" w:lineRule="exact"/>
              <w:rPr>
                <w:rFonts w:ascii="宋体" w:hAnsi="宋体" w:cs="宋体"/>
                <w:szCs w:val="21"/>
              </w:rPr>
            </w:pPr>
            <w:r>
              <w:rPr>
                <w:rFonts w:hint="eastAsia" w:ascii="宋体" w:hAnsi="宋体" w:cs="宋体"/>
                <w:szCs w:val="21"/>
              </w:rPr>
              <w:t>1.事故管理制度；</w:t>
            </w:r>
          </w:p>
          <w:p>
            <w:pPr>
              <w:spacing w:line="280" w:lineRule="exact"/>
              <w:rPr>
                <w:rFonts w:ascii="宋体" w:hAnsi="宋体" w:cs="宋体"/>
                <w:szCs w:val="21"/>
              </w:rPr>
            </w:pPr>
            <w:r>
              <w:rPr>
                <w:rFonts w:hint="eastAsia" w:ascii="宋体" w:hAnsi="宋体" w:cs="宋体"/>
                <w:szCs w:val="21"/>
              </w:rPr>
              <w:t>2.事故调查报告。</w:t>
            </w:r>
          </w:p>
          <w:p>
            <w:pPr>
              <w:spacing w:line="280" w:lineRule="exact"/>
              <w:rPr>
                <w:rFonts w:ascii="宋体" w:hAnsi="宋体" w:cs="宋体"/>
                <w:szCs w:val="21"/>
              </w:rPr>
            </w:pPr>
            <w:r>
              <w:rPr>
                <w:rFonts w:hint="eastAsia" w:ascii="宋体" w:hAnsi="宋体" w:cs="宋体"/>
                <w:szCs w:val="21"/>
              </w:rPr>
              <w:t>询问：</w:t>
            </w:r>
          </w:p>
          <w:p>
            <w:pPr>
              <w:spacing w:line="280" w:lineRule="exact"/>
              <w:rPr>
                <w:rFonts w:ascii="宋体" w:hAnsi="宋体" w:cs="宋体"/>
                <w:szCs w:val="21"/>
              </w:rPr>
            </w:pPr>
            <w:r>
              <w:rPr>
                <w:rFonts w:hint="eastAsia" w:ascii="宋体" w:hAnsi="宋体" w:cs="宋体"/>
                <w:szCs w:val="21"/>
              </w:rPr>
              <w:t>1.从业人员是否了解事故报告程序；</w:t>
            </w:r>
          </w:p>
          <w:p>
            <w:pPr>
              <w:spacing w:line="280" w:lineRule="exact"/>
              <w:rPr>
                <w:rFonts w:ascii="宋体" w:hAnsi="宋体" w:cs="宋体"/>
                <w:szCs w:val="21"/>
              </w:rPr>
            </w:pPr>
            <w:r>
              <w:rPr>
                <w:rFonts w:hint="eastAsia" w:ascii="宋体" w:hAnsi="宋体" w:cs="宋体"/>
                <w:szCs w:val="21"/>
              </w:rPr>
              <w:t>2.从业人员是否了解应急措施。</w:t>
            </w:r>
          </w:p>
        </w:tc>
        <w:tc>
          <w:tcPr>
            <w:tcW w:w="1701" w:type="dxa"/>
          </w:tcPr>
          <w:p>
            <w:pPr>
              <w:spacing w:line="280" w:lineRule="exact"/>
              <w:rPr>
                <w:rFonts w:ascii="宋体" w:hAnsi="宋体" w:cs="宋体"/>
                <w:szCs w:val="21"/>
              </w:rPr>
            </w:pPr>
          </w:p>
        </w:tc>
        <w:tc>
          <w:tcPr>
            <w:tcW w:w="2268" w:type="dxa"/>
          </w:tcPr>
          <w:p>
            <w:pPr>
              <w:spacing w:line="280" w:lineRule="exact"/>
              <w:rPr>
                <w:rFonts w:ascii="宋体" w:hAnsi="宋体" w:cs="宋体"/>
                <w:szCs w:val="21"/>
              </w:rPr>
            </w:pPr>
            <w:r>
              <w:rPr>
                <w:rFonts w:hint="eastAsia" w:ascii="宋体" w:hAnsi="宋体" w:cs="宋体"/>
                <w:szCs w:val="21"/>
              </w:rPr>
              <w:t>1.未明确事故报告程序、责任部门、责任人，一项不符合扣3分；</w:t>
            </w:r>
          </w:p>
          <w:p>
            <w:pPr>
              <w:spacing w:line="280" w:lineRule="exact"/>
              <w:rPr>
                <w:rFonts w:ascii="宋体" w:hAnsi="宋体" w:cs="宋体"/>
                <w:szCs w:val="21"/>
              </w:rPr>
            </w:pPr>
            <w:r>
              <w:rPr>
                <w:rFonts w:hint="eastAsia" w:ascii="宋体" w:hAnsi="宋体" w:cs="宋体"/>
                <w:szCs w:val="21"/>
              </w:rPr>
              <w:t>2.从业人员不了解事故报告程序或事故现场应采取的措施，1人次扣2分。</w:t>
            </w:r>
          </w:p>
        </w:tc>
        <w:tc>
          <w:tcPr>
            <w:tcW w:w="1165" w:type="dxa"/>
            <w:vAlign w:val="center"/>
          </w:tcPr>
          <w:p>
            <w:pPr>
              <w:spacing w:line="280" w:lineRule="exact"/>
              <w:jc w:val="center"/>
              <w:rPr>
                <w:rFonts w:ascii="宋体" w:hAnsi="宋体" w:cs="宋体"/>
                <w:szCs w:val="21"/>
              </w:rPr>
            </w:pPr>
            <w:r>
              <w:rPr>
                <w:rFonts w:hint="eastAsia" w:ascii="宋体" w:hAnsi="宋体" w:cs="宋体"/>
                <w:szCs w:val="21"/>
              </w:rPr>
              <w:t>岗位人员不完全了解事故报告程序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771" w:type="dxa"/>
            <w:vMerge w:val="continue"/>
          </w:tcPr>
          <w:p>
            <w:pPr>
              <w:spacing w:line="280" w:lineRule="exact"/>
              <w:rPr>
                <w:rFonts w:ascii="宋体" w:hAnsi="宋体" w:cs="宋体"/>
                <w:b/>
                <w:bCs/>
                <w:szCs w:val="21"/>
              </w:rPr>
            </w:pPr>
          </w:p>
        </w:tc>
        <w:tc>
          <w:tcPr>
            <w:tcW w:w="709" w:type="dxa"/>
            <w:vMerge w:val="continue"/>
          </w:tcPr>
          <w:p>
            <w:pPr>
              <w:spacing w:line="280" w:lineRule="exact"/>
              <w:rPr>
                <w:rFonts w:ascii="宋体" w:hAnsi="宋体" w:cs="宋体"/>
                <w:b/>
                <w:bCs/>
                <w:szCs w:val="21"/>
              </w:rPr>
            </w:pPr>
          </w:p>
        </w:tc>
        <w:tc>
          <w:tcPr>
            <w:tcW w:w="2409" w:type="dxa"/>
          </w:tcPr>
          <w:p>
            <w:pPr>
              <w:spacing w:line="280" w:lineRule="exact"/>
              <w:rPr>
                <w:rFonts w:ascii="宋体" w:hAnsi="宋体" w:cs="宋体"/>
                <w:szCs w:val="21"/>
              </w:rPr>
            </w:pPr>
            <w:r>
              <w:rPr>
                <w:rFonts w:hint="eastAsia" w:ascii="宋体" w:hAnsi="宋体" w:cs="宋体"/>
                <w:szCs w:val="21"/>
              </w:rPr>
              <w:t>2.企业负责人接到事故报告后，应当于1小时内向事故发生地县级以上人民政府安全生产监督管理部门和负有安全生产监督管理职责的有关部门报告。</w:t>
            </w:r>
          </w:p>
        </w:tc>
        <w:tc>
          <w:tcPr>
            <w:tcW w:w="2268" w:type="dxa"/>
          </w:tcPr>
          <w:p>
            <w:pPr>
              <w:spacing w:line="280" w:lineRule="exact"/>
              <w:rPr>
                <w:rFonts w:ascii="宋体" w:hAnsi="宋体" w:cs="宋体"/>
                <w:szCs w:val="21"/>
              </w:rPr>
            </w:pPr>
            <w:r>
              <w:rPr>
                <w:rFonts w:hint="eastAsia" w:ascii="宋体" w:hAnsi="宋体" w:cs="宋体"/>
                <w:szCs w:val="21"/>
              </w:rPr>
              <w:t>企业负责人接到事故报告后，应当于1小时内向有关部门报告。</w:t>
            </w:r>
          </w:p>
        </w:tc>
        <w:tc>
          <w:tcPr>
            <w:tcW w:w="2268" w:type="dxa"/>
          </w:tcPr>
          <w:p>
            <w:pPr>
              <w:spacing w:line="280" w:lineRule="exact"/>
              <w:rPr>
                <w:rFonts w:ascii="宋体" w:hAnsi="宋体" w:cs="宋体"/>
                <w:szCs w:val="21"/>
              </w:rPr>
            </w:pPr>
            <w:r>
              <w:rPr>
                <w:rFonts w:hint="eastAsia" w:ascii="宋体" w:hAnsi="宋体" w:cs="宋体"/>
                <w:szCs w:val="21"/>
              </w:rPr>
              <w:t>查文件：</w:t>
            </w:r>
          </w:p>
          <w:p>
            <w:pPr>
              <w:spacing w:line="280" w:lineRule="exact"/>
              <w:rPr>
                <w:rFonts w:ascii="宋体" w:hAnsi="宋体" w:cs="宋体"/>
                <w:szCs w:val="21"/>
              </w:rPr>
            </w:pPr>
            <w:r>
              <w:rPr>
                <w:rFonts w:hint="eastAsia" w:ascii="宋体" w:hAnsi="宋体" w:cs="宋体"/>
                <w:szCs w:val="21"/>
              </w:rPr>
              <w:t>事故台账和调查报告。</w:t>
            </w:r>
          </w:p>
          <w:p>
            <w:pPr>
              <w:spacing w:line="280" w:lineRule="exact"/>
              <w:rPr>
                <w:rFonts w:ascii="宋体" w:hAnsi="宋体" w:cs="宋体"/>
                <w:szCs w:val="21"/>
              </w:rPr>
            </w:pPr>
            <w:r>
              <w:rPr>
                <w:rFonts w:hint="eastAsia" w:ascii="宋体" w:hAnsi="宋体" w:cs="宋体"/>
                <w:szCs w:val="21"/>
              </w:rPr>
              <w:t>询问：</w:t>
            </w:r>
          </w:p>
          <w:p>
            <w:pPr>
              <w:spacing w:line="280" w:lineRule="exact"/>
              <w:rPr>
                <w:rFonts w:ascii="宋体" w:hAnsi="宋体" w:cs="宋体"/>
                <w:szCs w:val="21"/>
              </w:rPr>
            </w:pPr>
            <w:r>
              <w:rPr>
                <w:rFonts w:hint="eastAsia" w:ascii="宋体" w:hAnsi="宋体" w:cs="宋体"/>
                <w:szCs w:val="21"/>
              </w:rPr>
              <w:t>企业负责人是否了解事故报告职责和时限。</w:t>
            </w:r>
          </w:p>
        </w:tc>
        <w:tc>
          <w:tcPr>
            <w:tcW w:w="1701" w:type="dxa"/>
          </w:tcPr>
          <w:p>
            <w:pPr>
              <w:spacing w:line="280" w:lineRule="exact"/>
              <w:rPr>
                <w:rFonts w:ascii="宋体" w:hAnsi="宋体" w:cs="宋体"/>
                <w:szCs w:val="21"/>
              </w:rPr>
            </w:pPr>
            <w:r>
              <w:rPr>
                <w:rFonts w:hint="eastAsia" w:ascii="宋体" w:hAnsi="宋体" w:cs="宋体"/>
                <w:szCs w:val="21"/>
              </w:rPr>
              <w:t>存在事故瞒报、谎报、拖延不报现象的，扣100分(A级要素否决项)。</w:t>
            </w:r>
          </w:p>
        </w:tc>
        <w:tc>
          <w:tcPr>
            <w:tcW w:w="2268" w:type="dxa"/>
          </w:tcPr>
          <w:p>
            <w:pPr>
              <w:spacing w:line="280" w:lineRule="exact"/>
              <w:rPr>
                <w:rFonts w:ascii="宋体" w:hAnsi="宋体" w:cs="宋体"/>
                <w:szCs w:val="21"/>
              </w:rPr>
            </w:pPr>
            <w:r>
              <w:rPr>
                <w:rFonts w:hint="eastAsia" w:ascii="宋体" w:hAnsi="宋体" w:cs="宋体"/>
                <w:szCs w:val="21"/>
              </w:rPr>
              <w:t>企业负责人不了解事故报告的职责和时限，扣5分。</w:t>
            </w:r>
          </w:p>
        </w:tc>
        <w:tc>
          <w:tcPr>
            <w:tcW w:w="1165" w:type="dxa"/>
            <w:vAlign w:val="center"/>
          </w:tcPr>
          <w:p>
            <w:pPr>
              <w:spacing w:line="280" w:lineRule="exact"/>
              <w:jc w:val="center"/>
              <w:rPr>
                <w:rFonts w:ascii="宋体" w:hAnsi="宋体" w:cs="宋体"/>
                <w:szCs w:val="21"/>
              </w:rPr>
            </w:pPr>
            <w:r>
              <w:rPr>
                <w:rFonts w:hint="eastAsia" w:ascii="宋体" w:hAnsi="宋体" w:cs="宋体"/>
                <w:szCs w:val="21"/>
              </w:rPr>
              <w:t>不涉及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771" w:type="dxa"/>
            <w:vMerge w:val="continue"/>
          </w:tcPr>
          <w:p>
            <w:pPr>
              <w:spacing w:line="280" w:lineRule="exact"/>
              <w:rPr>
                <w:rFonts w:ascii="宋体" w:hAnsi="宋体" w:cs="宋体"/>
                <w:b/>
                <w:bCs/>
                <w:szCs w:val="21"/>
              </w:rPr>
            </w:pPr>
          </w:p>
        </w:tc>
        <w:tc>
          <w:tcPr>
            <w:tcW w:w="709" w:type="dxa"/>
            <w:vMerge w:val="continue"/>
          </w:tcPr>
          <w:p>
            <w:pPr>
              <w:spacing w:line="280" w:lineRule="exact"/>
              <w:rPr>
                <w:rFonts w:ascii="宋体" w:hAnsi="宋体" w:cs="宋体"/>
                <w:b/>
                <w:bCs/>
                <w:szCs w:val="21"/>
              </w:rPr>
            </w:pPr>
          </w:p>
        </w:tc>
        <w:tc>
          <w:tcPr>
            <w:tcW w:w="2409" w:type="dxa"/>
          </w:tcPr>
          <w:p>
            <w:pPr>
              <w:spacing w:line="280" w:lineRule="exact"/>
              <w:rPr>
                <w:rFonts w:ascii="宋体" w:hAnsi="宋体" w:cs="宋体"/>
                <w:szCs w:val="21"/>
              </w:rPr>
            </w:pPr>
            <w:r>
              <w:rPr>
                <w:rFonts w:hint="eastAsia" w:ascii="宋体" w:hAnsi="宋体" w:cs="宋体"/>
                <w:szCs w:val="21"/>
              </w:rPr>
              <w:t>3.企业在事故报告后出现新情况时，应按有关规定及时补报。</w:t>
            </w:r>
          </w:p>
        </w:tc>
        <w:tc>
          <w:tcPr>
            <w:tcW w:w="2268" w:type="dxa"/>
          </w:tcPr>
          <w:p>
            <w:pPr>
              <w:spacing w:line="280" w:lineRule="exact"/>
              <w:rPr>
                <w:rFonts w:ascii="宋体" w:hAnsi="宋体" w:cs="宋体"/>
                <w:szCs w:val="21"/>
              </w:rPr>
            </w:pPr>
            <w:r>
              <w:rPr>
                <w:rFonts w:hint="eastAsia" w:ascii="宋体" w:hAnsi="宋体" w:cs="宋体"/>
                <w:szCs w:val="21"/>
              </w:rPr>
              <w:t>事故报告后出现新情况时及时补报。</w:t>
            </w:r>
          </w:p>
        </w:tc>
        <w:tc>
          <w:tcPr>
            <w:tcW w:w="2268" w:type="dxa"/>
          </w:tcPr>
          <w:p>
            <w:pPr>
              <w:spacing w:line="280" w:lineRule="exact"/>
              <w:rPr>
                <w:rFonts w:ascii="宋体" w:hAnsi="宋体" w:cs="宋体"/>
                <w:szCs w:val="21"/>
              </w:rPr>
            </w:pPr>
            <w:r>
              <w:rPr>
                <w:rFonts w:hint="eastAsia" w:ascii="宋体" w:hAnsi="宋体" w:cs="宋体"/>
                <w:szCs w:val="21"/>
              </w:rPr>
              <w:t>查文件：</w:t>
            </w:r>
          </w:p>
          <w:p>
            <w:pPr>
              <w:spacing w:line="280" w:lineRule="exact"/>
              <w:rPr>
                <w:rFonts w:ascii="宋体" w:hAnsi="宋体" w:cs="宋体"/>
                <w:szCs w:val="21"/>
              </w:rPr>
            </w:pPr>
            <w:r>
              <w:rPr>
                <w:rFonts w:hint="eastAsia" w:ascii="宋体" w:hAnsi="宋体" w:cs="宋体"/>
                <w:szCs w:val="21"/>
              </w:rPr>
              <w:t>事故台账和调查报告。</w:t>
            </w:r>
          </w:p>
          <w:p>
            <w:pPr>
              <w:spacing w:line="280" w:lineRule="exact"/>
              <w:rPr>
                <w:rFonts w:ascii="宋体" w:hAnsi="宋体" w:cs="宋体"/>
                <w:szCs w:val="21"/>
              </w:rPr>
            </w:pPr>
            <w:r>
              <w:rPr>
                <w:rFonts w:hint="eastAsia" w:ascii="宋体" w:hAnsi="宋体" w:cs="宋体"/>
                <w:szCs w:val="21"/>
              </w:rPr>
              <w:t>询问：</w:t>
            </w:r>
          </w:p>
          <w:p>
            <w:pPr>
              <w:spacing w:line="280" w:lineRule="exact"/>
              <w:rPr>
                <w:rFonts w:ascii="宋体" w:hAnsi="宋体" w:cs="宋体"/>
                <w:szCs w:val="21"/>
              </w:rPr>
            </w:pPr>
            <w:r>
              <w:rPr>
                <w:rFonts w:hint="eastAsia" w:ascii="宋体" w:hAnsi="宋体" w:cs="宋体"/>
                <w:szCs w:val="21"/>
              </w:rPr>
              <w:t>企业负责人是否了解事故报告补报的要求和内容。</w:t>
            </w:r>
          </w:p>
        </w:tc>
        <w:tc>
          <w:tcPr>
            <w:tcW w:w="1701" w:type="dxa"/>
          </w:tcPr>
          <w:p>
            <w:pPr>
              <w:spacing w:line="280" w:lineRule="exact"/>
              <w:rPr>
                <w:rFonts w:ascii="宋体" w:hAnsi="宋体" w:cs="宋体"/>
                <w:szCs w:val="21"/>
              </w:rPr>
            </w:pPr>
          </w:p>
        </w:tc>
        <w:tc>
          <w:tcPr>
            <w:tcW w:w="2268" w:type="dxa"/>
          </w:tcPr>
          <w:p>
            <w:pPr>
              <w:spacing w:line="280" w:lineRule="exact"/>
              <w:rPr>
                <w:rFonts w:ascii="宋体" w:hAnsi="宋体" w:cs="宋体"/>
                <w:szCs w:val="21"/>
              </w:rPr>
            </w:pPr>
            <w:r>
              <w:rPr>
                <w:rFonts w:hint="eastAsia" w:ascii="宋体" w:hAnsi="宋体" w:cs="宋体"/>
                <w:szCs w:val="21"/>
              </w:rPr>
              <w:t>1.企业负责人不了解有关事故补报要求，扣5分；</w:t>
            </w:r>
          </w:p>
          <w:p>
            <w:pPr>
              <w:spacing w:line="280" w:lineRule="exact"/>
              <w:rPr>
                <w:rFonts w:ascii="宋体" w:hAnsi="宋体" w:cs="宋体"/>
                <w:szCs w:val="21"/>
              </w:rPr>
            </w:pPr>
            <w:r>
              <w:rPr>
                <w:rFonts w:hint="eastAsia" w:ascii="宋体" w:hAnsi="宋体" w:cs="宋体"/>
                <w:szCs w:val="21"/>
              </w:rPr>
              <w:t>2.事故报告后出现新情况时，未按规定及时补报，扣5分。</w:t>
            </w:r>
          </w:p>
        </w:tc>
        <w:tc>
          <w:tcPr>
            <w:tcW w:w="1165" w:type="dxa"/>
            <w:vAlign w:val="center"/>
          </w:tcPr>
          <w:p>
            <w:pPr>
              <w:spacing w:line="280" w:lineRule="exact"/>
              <w:jc w:val="center"/>
              <w:rPr>
                <w:rFonts w:ascii="宋体" w:hAnsi="宋体" w:cs="宋体"/>
                <w:szCs w:val="21"/>
              </w:rPr>
            </w:pPr>
            <w:r>
              <w:rPr>
                <w:rFonts w:hint="eastAsia" w:ascii="宋体" w:hAnsi="宋体" w:cs="宋体"/>
                <w:szCs w:val="21"/>
              </w:rPr>
              <w:t>不涉及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771" w:type="dxa"/>
            <w:vMerge w:val="continue"/>
          </w:tcPr>
          <w:p>
            <w:pPr>
              <w:spacing w:line="280" w:lineRule="exact"/>
              <w:rPr>
                <w:rFonts w:ascii="宋体" w:hAnsi="宋体" w:cs="宋体"/>
                <w:b/>
                <w:bCs/>
                <w:szCs w:val="21"/>
              </w:rPr>
            </w:pPr>
          </w:p>
        </w:tc>
        <w:tc>
          <w:tcPr>
            <w:tcW w:w="709" w:type="dxa"/>
            <w:vMerge w:val="restart"/>
          </w:tcPr>
          <w:p>
            <w:pPr>
              <w:spacing w:line="280" w:lineRule="exact"/>
              <w:rPr>
                <w:rFonts w:ascii="宋体" w:hAnsi="宋体" w:cs="宋体"/>
                <w:b/>
                <w:bCs/>
                <w:szCs w:val="21"/>
              </w:rPr>
            </w:pPr>
            <w:r>
              <w:rPr>
                <w:rFonts w:hint="eastAsia" w:ascii="宋体" w:hAnsi="宋体" w:cs="宋体"/>
                <w:b/>
                <w:bCs/>
                <w:szCs w:val="21"/>
              </w:rPr>
              <w:t>10.6</w:t>
            </w:r>
          </w:p>
          <w:p>
            <w:pPr>
              <w:spacing w:line="280" w:lineRule="exact"/>
              <w:rPr>
                <w:rFonts w:ascii="宋体" w:hAnsi="宋体" w:cs="宋体"/>
                <w:b/>
                <w:bCs/>
                <w:szCs w:val="21"/>
              </w:rPr>
            </w:pPr>
            <w:r>
              <w:rPr>
                <w:rFonts w:hint="eastAsia" w:ascii="宋体" w:hAnsi="宋体" w:cs="宋体"/>
                <w:b/>
                <w:bCs/>
                <w:szCs w:val="21"/>
              </w:rPr>
              <w:t>事故调查</w:t>
            </w:r>
          </w:p>
          <w:p>
            <w:pPr>
              <w:spacing w:line="280" w:lineRule="exact"/>
              <w:rPr>
                <w:rFonts w:ascii="宋体" w:hAnsi="宋体" w:cs="宋体"/>
                <w:b/>
                <w:bCs/>
                <w:szCs w:val="21"/>
              </w:rPr>
            </w:pPr>
            <w:r>
              <w:rPr>
                <w:rFonts w:hint="eastAsia" w:ascii="宋体" w:hAnsi="宋体" w:cs="宋体"/>
                <w:b/>
                <w:bCs/>
                <w:szCs w:val="21"/>
              </w:rPr>
              <w:t>（15分）</w:t>
            </w:r>
          </w:p>
          <w:p>
            <w:pPr>
              <w:spacing w:line="280" w:lineRule="exact"/>
              <w:rPr>
                <w:rFonts w:ascii="宋体" w:hAnsi="宋体" w:cs="宋体"/>
                <w:b/>
                <w:bCs/>
                <w:szCs w:val="21"/>
              </w:rPr>
            </w:pPr>
          </w:p>
        </w:tc>
        <w:tc>
          <w:tcPr>
            <w:tcW w:w="2409" w:type="dxa"/>
          </w:tcPr>
          <w:p>
            <w:pPr>
              <w:spacing w:line="280" w:lineRule="exact"/>
              <w:rPr>
                <w:rFonts w:ascii="宋体" w:hAnsi="宋体" w:cs="宋体"/>
                <w:szCs w:val="21"/>
              </w:rPr>
            </w:pPr>
            <w:r>
              <w:rPr>
                <w:rFonts w:hint="eastAsia" w:ascii="宋体" w:hAnsi="宋体" w:cs="宋体"/>
                <w:szCs w:val="21"/>
              </w:rPr>
              <w:t>1.企业发生生产安全事故后，应积极配合各级人民政府组织的事故调查，负责人和有关人员在事故调查期间不得擅离职守，应当随时接受事故调查组的询问，如实提供有关情况。</w:t>
            </w:r>
          </w:p>
        </w:tc>
        <w:tc>
          <w:tcPr>
            <w:tcW w:w="2268" w:type="dxa"/>
          </w:tcPr>
          <w:p>
            <w:pPr>
              <w:spacing w:line="280" w:lineRule="exact"/>
              <w:rPr>
                <w:rFonts w:ascii="宋体" w:hAnsi="宋体" w:cs="宋体"/>
                <w:szCs w:val="21"/>
              </w:rPr>
            </w:pPr>
            <w:r>
              <w:rPr>
                <w:rFonts w:hint="eastAsia" w:ascii="宋体" w:hAnsi="宋体" w:cs="宋体"/>
                <w:szCs w:val="21"/>
              </w:rPr>
              <w:t>1.发生事故，积极配合政府组织的事故调查；</w:t>
            </w:r>
          </w:p>
          <w:p>
            <w:pPr>
              <w:spacing w:line="280" w:lineRule="exact"/>
              <w:rPr>
                <w:rFonts w:ascii="宋体" w:hAnsi="宋体" w:cs="宋体"/>
                <w:szCs w:val="21"/>
              </w:rPr>
            </w:pPr>
            <w:r>
              <w:rPr>
                <w:rFonts w:hint="eastAsia" w:ascii="宋体" w:hAnsi="宋体" w:cs="宋体"/>
                <w:szCs w:val="21"/>
              </w:rPr>
              <w:t>2.负责人和有关人员在事故调查期间不得擅离职守，应当随时接受事故调查组的调查，如实提供有关情况。</w:t>
            </w:r>
          </w:p>
        </w:tc>
        <w:tc>
          <w:tcPr>
            <w:tcW w:w="2268" w:type="dxa"/>
          </w:tcPr>
          <w:p>
            <w:pPr>
              <w:spacing w:line="280" w:lineRule="exact"/>
              <w:rPr>
                <w:rFonts w:ascii="宋体" w:hAnsi="宋体" w:cs="宋体"/>
                <w:szCs w:val="21"/>
              </w:rPr>
            </w:pPr>
            <w:r>
              <w:rPr>
                <w:rFonts w:hint="eastAsia" w:ascii="宋体" w:hAnsi="宋体" w:cs="宋体"/>
                <w:szCs w:val="21"/>
              </w:rPr>
              <w:t>查文件：</w:t>
            </w:r>
          </w:p>
          <w:p>
            <w:pPr>
              <w:spacing w:line="280" w:lineRule="exact"/>
              <w:rPr>
                <w:rFonts w:ascii="宋体" w:hAnsi="宋体" w:cs="宋体"/>
                <w:szCs w:val="21"/>
              </w:rPr>
            </w:pPr>
            <w:r>
              <w:rPr>
                <w:rFonts w:hint="eastAsia" w:ascii="宋体" w:hAnsi="宋体" w:cs="宋体"/>
                <w:szCs w:val="21"/>
              </w:rPr>
              <w:t>事故调查报告。</w:t>
            </w:r>
          </w:p>
          <w:p>
            <w:pPr>
              <w:spacing w:line="280" w:lineRule="exact"/>
              <w:rPr>
                <w:rFonts w:ascii="宋体" w:hAnsi="宋体" w:cs="宋体"/>
                <w:szCs w:val="21"/>
              </w:rPr>
            </w:pPr>
            <w:r>
              <w:rPr>
                <w:rFonts w:hint="eastAsia" w:ascii="宋体" w:hAnsi="宋体" w:cs="宋体"/>
                <w:szCs w:val="21"/>
              </w:rPr>
              <w:t>询问：</w:t>
            </w:r>
          </w:p>
          <w:p>
            <w:pPr>
              <w:spacing w:line="280" w:lineRule="exact"/>
              <w:rPr>
                <w:rFonts w:ascii="宋体" w:hAnsi="宋体" w:cs="宋体"/>
                <w:szCs w:val="21"/>
              </w:rPr>
            </w:pPr>
            <w:r>
              <w:rPr>
                <w:rFonts w:hint="eastAsia" w:ascii="宋体" w:hAnsi="宋体" w:cs="宋体"/>
                <w:szCs w:val="21"/>
              </w:rPr>
              <w:t>有关人员如何配合事故调查。</w:t>
            </w:r>
          </w:p>
        </w:tc>
        <w:tc>
          <w:tcPr>
            <w:tcW w:w="1701" w:type="dxa"/>
          </w:tcPr>
          <w:p>
            <w:pPr>
              <w:spacing w:line="280" w:lineRule="exact"/>
              <w:rPr>
                <w:rFonts w:ascii="宋体" w:hAnsi="宋体" w:cs="宋体"/>
                <w:szCs w:val="21"/>
              </w:rPr>
            </w:pPr>
          </w:p>
        </w:tc>
        <w:tc>
          <w:tcPr>
            <w:tcW w:w="2268" w:type="dxa"/>
          </w:tcPr>
          <w:p>
            <w:pPr>
              <w:spacing w:line="280" w:lineRule="exact"/>
              <w:rPr>
                <w:rFonts w:ascii="宋体" w:hAnsi="宋体" w:cs="宋体"/>
                <w:szCs w:val="21"/>
              </w:rPr>
            </w:pPr>
            <w:r>
              <w:rPr>
                <w:rFonts w:hint="eastAsia" w:ascii="宋体" w:hAnsi="宋体" w:cs="宋体"/>
                <w:szCs w:val="21"/>
              </w:rPr>
              <w:t>1.发生事故时，未积极配合政府组织的事故调查，扣2分；</w:t>
            </w:r>
          </w:p>
          <w:p>
            <w:pPr>
              <w:spacing w:line="280" w:lineRule="exact"/>
              <w:rPr>
                <w:rFonts w:ascii="宋体" w:hAnsi="宋体" w:cs="宋体"/>
                <w:szCs w:val="21"/>
              </w:rPr>
            </w:pPr>
            <w:r>
              <w:rPr>
                <w:rFonts w:hint="eastAsia" w:ascii="宋体" w:hAnsi="宋体" w:cs="宋体"/>
                <w:szCs w:val="21"/>
              </w:rPr>
              <w:t>2.事故调查期间，负责人和有关人员擅离职守，1人次扣4分；</w:t>
            </w:r>
          </w:p>
          <w:p>
            <w:pPr>
              <w:spacing w:line="280" w:lineRule="exact"/>
              <w:rPr>
                <w:rFonts w:ascii="宋体" w:hAnsi="宋体" w:cs="宋体"/>
                <w:szCs w:val="21"/>
              </w:rPr>
            </w:pPr>
            <w:r>
              <w:rPr>
                <w:rFonts w:hint="eastAsia" w:ascii="宋体" w:hAnsi="宋体" w:cs="宋体"/>
                <w:szCs w:val="21"/>
              </w:rPr>
              <w:t xml:space="preserve">3.有关人员不清楚如何配合，1人次扣2分。 </w:t>
            </w:r>
          </w:p>
        </w:tc>
        <w:tc>
          <w:tcPr>
            <w:tcW w:w="1165" w:type="dxa"/>
            <w:vAlign w:val="center"/>
          </w:tcPr>
          <w:p>
            <w:pPr>
              <w:spacing w:line="280" w:lineRule="exact"/>
              <w:jc w:val="center"/>
              <w:rPr>
                <w:rFonts w:ascii="宋体" w:hAnsi="宋体" w:cs="宋体"/>
                <w:szCs w:val="21"/>
              </w:rPr>
            </w:pPr>
            <w:r>
              <w:rPr>
                <w:rFonts w:hint="eastAsia" w:ascii="宋体" w:hAnsi="宋体" w:cs="宋体"/>
                <w:szCs w:val="21"/>
              </w:rPr>
              <w:t>不涉及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771" w:type="dxa"/>
            <w:vMerge w:val="continue"/>
          </w:tcPr>
          <w:p>
            <w:pPr>
              <w:spacing w:line="280" w:lineRule="exact"/>
              <w:rPr>
                <w:rFonts w:ascii="宋体" w:hAnsi="宋体" w:cs="宋体"/>
                <w:b/>
                <w:bCs/>
                <w:szCs w:val="21"/>
              </w:rPr>
            </w:pPr>
          </w:p>
        </w:tc>
        <w:tc>
          <w:tcPr>
            <w:tcW w:w="709" w:type="dxa"/>
            <w:vMerge w:val="continue"/>
          </w:tcPr>
          <w:p>
            <w:pPr>
              <w:spacing w:line="280" w:lineRule="exact"/>
              <w:rPr>
                <w:rFonts w:ascii="宋体" w:hAnsi="宋体" w:cs="宋体"/>
                <w:b/>
                <w:bCs/>
                <w:szCs w:val="21"/>
              </w:rPr>
            </w:pPr>
          </w:p>
        </w:tc>
        <w:tc>
          <w:tcPr>
            <w:tcW w:w="2409" w:type="dxa"/>
          </w:tcPr>
          <w:p>
            <w:pPr>
              <w:spacing w:line="280" w:lineRule="exact"/>
              <w:rPr>
                <w:rFonts w:ascii="宋体" w:hAnsi="宋体" w:cs="宋体"/>
                <w:szCs w:val="21"/>
              </w:rPr>
            </w:pPr>
            <w:r>
              <w:rPr>
                <w:rFonts w:hint="eastAsia" w:ascii="宋体" w:hAnsi="宋体" w:cs="宋体"/>
                <w:szCs w:val="21"/>
              </w:rPr>
              <w:t>2.未造成人员伤亡的一般事故，县级人民政府委托企业负责组织调查的，企业应按规定成立事故调查组组织调查，按时提交事故调查报告。</w:t>
            </w:r>
          </w:p>
        </w:tc>
        <w:tc>
          <w:tcPr>
            <w:tcW w:w="2268" w:type="dxa"/>
          </w:tcPr>
          <w:p>
            <w:pPr>
              <w:spacing w:line="280" w:lineRule="exact"/>
              <w:rPr>
                <w:rFonts w:ascii="宋体" w:hAnsi="宋体" w:cs="宋体"/>
                <w:szCs w:val="21"/>
              </w:rPr>
            </w:pPr>
            <w:r>
              <w:rPr>
                <w:rFonts w:hint="eastAsia" w:ascii="宋体" w:hAnsi="宋体" w:cs="宋体"/>
                <w:szCs w:val="21"/>
              </w:rPr>
              <w:t>1.按规定成立事故调查组，必要时请外部专家参加事故调查组；</w:t>
            </w:r>
          </w:p>
          <w:p>
            <w:pPr>
              <w:spacing w:line="280" w:lineRule="exact"/>
              <w:rPr>
                <w:rFonts w:ascii="宋体" w:hAnsi="宋体" w:cs="宋体"/>
                <w:szCs w:val="21"/>
              </w:rPr>
            </w:pPr>
            <w:r>
              <w:rPr>
                <w:rFonts w:hint="eastAsia" w:ascii="宋体" w:hAnsi="宋体" w:cs="宋体"/>
                <w:szCs w:val="21"/>
              </w:rPr>
              <w:t>2.认真组织一般事故调查，按时提交事故调查报告。</w:t>
            </w:r>
          </w:p>
        </w:tc>
        <w:tc>
          <w:tcPr>
            <w:tcW w:w="2268" w:type="dxa"/>
          </w:tcPr>
          <w:p>
            <w:pPr>
              <w:spacing w:line="280" w:lineRule="exact"/>
              <w:rPr>
                <w:rFonts w:ascii="宋体" w:hAnsi="宋体" w:cs="宋体"/>
                <w:szCs w:val="21"/>
              </w:rPr>
            </w:pPr>
            <w:r>
              <w:rPr>
                <w:rFonts w:hint="eastAsia" w:ascii="宋体" w:hAnsi="宋体" w:cs="宋体"/>
                <w:szCs w:val="21"/>
              </w:rPr>
              <w:t>查文件：</w:t>
            </w:r>
          </w:p>
          <w:p>
            <w:pPr>
              <w:spacing w:line="280" w:lineRule="exact"/>
              <w:rPr>
                <w:rFonts w:ascii="宋体" w:hAnsi="宋体" w:cs="宋体"/>
                <w:szCs w:val="21"/>
              </w:rPr>
            </w:pPr>
            <w:r>
              <w:rPr>
                <w:rFonts w:hint="eastAsia" w:ascii="宋体" w:hAnsi="宋体" w:cs="宋体"/>
                <w:szCs w:val="21"/>
              </w:rPr>
              <w:t>1.事故管理规定；</w:t>
            </w:r>
          </w:p>
          <w:p>
            <w:pPr>
              <w:spacing w:line="280" w:lineRule="exact"/>
              <w:rPr>
                <w:rFonts w:ascii="宋体" w:hAnsi="宋体" w:cs="宋体"/>
                <w:szCs w:val="21"/>
              </w:rPr>
            </w:pPr>
            <w:r>
              <w:rPr>
                <w:rFonts w:hint="eastAsia" w:ascii="宋体" w:hAnsi="宋体" w:cs="宋体"/>
                <w:szCs w:val="21"/>
              </w:rPr>
              <w:t>2.事故调查报告。</w:t>
            </w:r>
          </w:p>
          <w:p>
            <w:pPr>
              <w:spacing w:line="280" w:lineRule="exact"/>
              <w:rPr>
                <w:rFonts w:ascii="宋体" w:hAnsi="宋体" w:cs="宋体"/>
                <w:szCs w:val="21"/>
              </w:rPr>
            </w:pPr>
            <w:r>
              <w:rPr>
                <w:rFonts w:hint="eastAsia" w:ascii="宋体" w:hAnsi="宋体" w:cs="宋体"/>
                <w:szCs w:val="21"/>
              </w:rPr>
              <w:t>询问：</w:t>
            </w:r>
          </w:p>
          <w:p>
            <w:pPr>
              <w:spacing w:line="280" w:lineRule="exact"/>
              <w:rPr>
                <w:rFonts w:ascii="宋体" w:hAnsi="宋体" w:cs="宋体"/>
                <w:szCs w:val="21"/>
              </w:rPr>
            </w:pPr>
            <w:r>
              <w:rPr>
                <w:rFonts w:hint="eastAsia" w:ascii="宋体" w:hAnsi="宋体" w:cs="宋体"/>
                <w:szCs w:val="21"/>
              </w:rPr>
              <w:t>相关人员是否了解事故调查组要求、职责、一般事故调查程序。</w:t>
            </w:r>
          </w:p>
        </w:tc>
        <w:tc>
          <w:tcPr>
            <w:tcW w:w="1701" w:type="dxa"/>
          </w:tcPr>
          <w:p>
            <w:pPr>
              <w:spacing w:line="280" w:lineRule="exact"/>
              <w:rPr>
                <w:rFonts w:ascii="宋体" w:hAnsi="宋体" w:cs="宋体"/>
                <w:szCs w:val="21"/>
              </w:rPr>
            </w:pPr>
          </w:p>
        </w:tc>
        <w:tc>
          <w:tcPr>
            <w:tcW w:w="2268" w:type="dxa"/>
          </w:tcPr>
          <w:p>
            <w:pPr>
              <w:spacing w:line="280" w:lineRule="exact"/>
              <w:rPr>
                <w:rFonts w:ascii="宋体" w:hAnsi="宋体" w:cs="宋体"/>
                <w:szCs w:val="21"/>
              </w:rPr>
            </w:pPr>
            <w:r>
              <w:rPr>
                <w:rFonts w:hint="eastAsia" w:ascii="宋体" w:hAnsi="宋体" w:cs="宋体"/>
                <w:szCs w:val="21"/>
              </w:rPr>
              <w:t>1.未按规定成立事故调查组，一项扣2分；</w:t>
            </w:r>
          </w:p>
          <w:p>
            <w:pPr>
              <w:spacing w:line="280" w:lineRule="exact"/>
              <w:rPr>
                <w:rFonts w:ascii="宋体" w:hAnsi="宋体" w:cs="宋体"/>
                <w:szCs w:val="21"/>
              </w:rPr>
            </w:pPr>
            <w:r>
              <w:rPr>
                <w:rFonts w:hint="eastAsia" w:ascii="宋体" w:hAnsi="宋体" w:cs="宋体"/>
                <w:szCs w:val="21"/>
              </w:rPr>
              <w:t>2.未按“四不放过”原则进行事故调查、处理，一项扣2分；</w:t>
            </w:r>
          </w:p>
          <w:p>
            <w:pPr>
              <w:spacing w:line="280" w:lineRule="exact"/>
              <w:rPr>
                <w:rFonts w:ascii="宋体" w:hAnsi="宋体" w:cs="宋体"/>
                <w:szCs w:val="21"/>
              </w:rPr>
            </w:pPr>
            <w:r>
              <w:rPr>
                <w:rFonts w:hint="eastAsia" w:ascii="宋体" w:hAnsi="宋体" w:cs="宋体"/>
                <w:szCs w:val="21"/>
              </w:rPr>
              <w:t>3.未及时提交事故调查报告，扣2分；</w:t>
            </w:r>
          </w:p>
          <w:p>
            <w:pPr>
              <w:spacing w:line="280" w:lineRule="exact"/>
              <w:rPr>
                <w:rFonts w:ascii="宋体" w:hAnsi="宋体" w:cs="宋体"/>
                <w:szCs w:val="21"/>
              </w:rPr>
            </w:pPr>
            <w:r>
              <w:rPr>
                <w:rFonts w:hint="eastAsia" w:ascii="宋体" w:hAnsi="宋体" w:cs="宋体"/>
                <w:szCs w:val="21"/>
              </w:rPr>
              <w:t>4．相关人员不清楚调查要求，1人次扣1分。</w:t>
            </w:r>
          </w:p>
        </w:tc>
        <w:tc>
          <w:tcPr>
            <w:tcW w:w="1165" w:type="dxa"/>
            <w:vAlign w:val="center"/>
          </w:tcPr>
          <w:p>
            <w:pPr>
              <w:spacing w:line="280" w:lineRule="exact"/>
              <w:jc w:val="center"/>
              <w:rPr>
                <w:rFonts w:ascii="宋体" w:hAnsi="宋体" w:cs="宋体"/>
                <w:szCs w:val="21"/>
              </w:rPr>
            </w:pPr>
            <w:r>
              <w:rPr>
                <w:rFonts w:hint="eastAsia" w:ascii="宋体" w:hAnsi="宋体" w:cs="宋体"/>
                <w:szCs w:val="21"/>
              </w:rPr>
              <w:t>不涉及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771" w:type="dxa"/>
            <w:vMerge w:val="continue"/>
          </w:tcPr>
          <w:p>
            <w:pPr>
              <w:spacing w:line="280" w:lineRule="exact"/>
              <w:rPr>
                <w:rFonts w:ascii="宋体" w:hAnsi="宋体" w:cs="宋体"/>
                <w:b/>
                <w:bCs/>
                <w:szCs w:val="21"/>
              </w:rPr>
            </w:pPr>
          </w:p>
        </w:tc>
        <w:tc>
          <w:tcPr>
            <w:tcW w:w="709" w:type="dxa"/>
            <w:vMerge w:val="continue"/>
          </w:tcPr>
          <w:p>
            <w:pPr>
              <w:spacing w:line="280" w:lineRule="exact"/>
              <w:rPr>
                <w:rFonts w:ascii="宋体" w:hAnsi="宋体" w:cs="宋体"/>
                <w:b/>
                <w:bCs/>
                <w:szCs w:val="21"/>
              </w:rPr>
            </w:pPr>
          </w:p>
        </w:tc>
        <w:tc>
          <w:tcPr>
            <w:tcW w:w="2409" w:type="dxa"/>
          </w:tcPr>
          <w:p>
            <w:pPr>
              <w:spacing w:line="280" w:lineRule="exact"/>
              <w:rPr>
                <w:rFonts w:ascii="宋体" w:hAnsi="宋体" w:cs="宋体"/>
                <w:szCs w:val="21"/>
              </w:rPr>
            </w:pPr>
            <w:r>
              <w:rPr>
                <w:rFonts w:hint="eastAsia" w:ascii="宋体" w:hAnsi="宋体" w:cs="宋体"/>
                <w:szCs w:val="21"/>
              </w:rPr>
              <w:t>3.企业应落实事故整改和预防措施，防止事故再次发生。整改和预防措施应包括：</w:t>
            </w:r>
          </w:p>
          <w:p>
            <w:pPr>
              <w:spacing w:line="280" w:lineRule="exact"/>
              <w:rPr>
                <w:rFonts w:ascii="宋体" w:hAnsi="宋体" w:cs="宋体"/>
                <w:szCs w:val="21"/>
              </w:rPr>
            </w:pPr>
            <w:r>
              <w:rPr>
                <w:rFonts w:hint="eastAsia" w:ascii="宋体" w:hAnsi="宋体" w:cs="宋体"/>
                <w:szCs w:val="21"/>
              </w:rPr>
              <w:t>（1）工程技术措施；</w:t>
            </w:r>
          </w:p>
          <w:p>
            <w:pPr>
              <w:spacing w:line="280" w:lineRule="exact"/>
              <w:rPr>
                <w:rFonts w:ascii="宋体" w:hAnsi="宋体" w:cs="宋体"/>
                <w:szCs w:val="21"/>
              </w:rPr>
            </w:pPr>
            <w:r>
              <w:rPr>
                <w:rFonts w:hint="eastAsia" w:ascii="宋体" w:hAnsi="宋体" w:cs="宋体"/>
                <w:szCs w:val="21"/>
              </w:rPr>
              <w:t>（2）培训教育措施；</w:t>
            </w:r>
          </w:p>
          <w:p>
            <w:pPr>
              <w:spacing w:line="280" w:lineRule="exact"/>
              <w:rPr>
                <w:rFonts w:ascii="宋体" w:hAnsi="宋体" w:cs="宋体"/>
                <w:szCs w:val="21"/>
              </w:rPr>
            </w:pPr>
            <w:r>
              <w:rPr>
                <w:rFonts w:hint="eastAsia" w:ascii="宋体" w:hAnsi="宋体" w:cs="宋体"/>
                <w:szCs w:val="21"/>
              </w:rPr>
              <w:t>（3）管理措施。</w:t>
            </w:r>
          </w:p>
        </w:tc>
        <w:tc>
          <w:tcPr>
            <w:tcW w:w="2268" w:type="dxa"/>
          </w:tcPr>
          <w:p>
            <w:pPr>
              <w:spacing w:line="280" w:lineRule="exact"/>
              <w:rPr>
                <w:rFonts w:ascii="宋体" w:hAnsi="宋体" w:cs="宋体"/>
                <w:szCs w:val="21"/>
              </w:rPr>
            </w:pPr>
            <w:r>
              <w:rPr>
                <w:rFonts w:hint="eastAsia" w:ascii="宋体" w:hAnsi="宋体" w:cs="宋体"/>
                <w:szCs w:val="21"/>
              </w:rPr>
              <w:t>1.制定并落实事故整改和预防措施；</w:t>
            </w:r>
          </w:p>
          <w:p>
            <w:pPr>
              <w:spacing w:line="280" w:lineRule="exact"/>
              <w:rPr>
                <w:rFonts w:ascii="宋体" w:hAnsi="宋体" w:cs="宋体"/>
                <w:szCs w:val="21"/>
              </w:rPr>
            </w:pPr>
            <w:r>
              <w:rPr>
                <w:rFonts w:hint="eastAsia" w:ascii="宋体" w:hAnsi="宋体" w:cs="宋体"/>
                <w:szCs w:val="21"/>
              </w:rPr>
              <w:t>2.事故整改和预防措施要具体，有针对性和可操作性；</w:t>
            </w:r>
          </w:p>
          <w:p>
            <w:pPr>
              <w:spacing w:line="280" w:lineRule="exact"/>
              <w:rPr>
                <w:rFonts w:ascii="宋体" w:hAnsi="宋体" w:cs="宋体"/>
                <w:szCs w:val="21"/>
              </w:rPr>
            </w:pPr>
            <w:r>
              <w:rPr>
                <w:rFonts w:hint="eastAsia" w:ascii="宋体" w:hAnsi="宋体" w:cs="宋体"/>
                <w:szCs w:val="21"/>
              </w:rPr>
              <w:t>3.检查事故整改情况和预防措施落实情况。</w:t>
            </w:r>
          </w:p>
        </w:tc>
        <w:tc>
          <w:tcPr>
            <w:tcW w:w="2268" w:type="dxa"/>
          </w:tcPr>
          <w:p>
            <w:pPr>
              <w:spacing w:line="280" w:lineRule="exact"/>
              <w:rPr>
                <w:rFonts w:ascii="宋体" w:hAnsi="宋体" w:cs="宋体"/>
                <w:szCs w:val="21"/>
              </w:rPr>
            </w:pPr>
            <w:r>
              <w:rPr>
                <w:rFonts w:hint="eastAsia" w:ascii="宋体" w:hAnsi="宋体" w:cs="宋体"/>
                <w:szCs w:val="21"/>
              </w:rPr>
              <w:t>查文件：</w:t>
            </w:r>
          </w:p>
          <w:p>
            <w:pPr>
              <w:spacing w:line="280" w:lineRule="exact"/>
              <w:rPr>
                <w:rFonts w:ascii="宋体" w:hAnsi="宋体" w:cs="宋体"/>
                <w:szCs w:val="21"/>
              </w:rPr>
            </w:pPr>
            <w:r>
              <w:rPr>
                <w:rFonts w:hint="eastAsia" w:ascii="宋体" w:hAnsi="宋体" w:cs="宋体"/>
                <w:szCs w:val="21"/>
              </w:rPr>
              <w:t>事故调查报告。</w:t>
            </w:r>
          </w:p>
          <w:p>
            <w:pPr>
              <w:spacing w:line="280" w:lineRule="exact"/>
              <w:rPr>
                <w:rFonts w:ascii="宋体" w:hAnsi="宋体" w:cs="宋体"/>
                <w:szCs w:val="21"/>
              </w:rPr>
            </w:pPr>
            <w:r>
              <w:rPr>
                <w:rFonts w:hint="eastAsia" w:ascii="宋体" w:hAnsi="宋体" w:cs="宋体"/>
                <w:szCs w:val="21"/>
              </w:rPr>
              <w:t>现场检查：</w:t>
            </w:r>
          </w:p>
          <w:p>
            <w:pPr>
              <w:spacing w:line="280" w:lineRule="exact"/>
              <w:rPr>
                <w:rFonts w:ascii="宋体" w:hAnsi="宋体" w:cs="宋体"/>
                <w:szCs w:val="21"/>
              </w:rPr>
            </w:pPr>
            <w:r>
              <w:rPr>
                <w:rFonts w:hint="eastAsia" w:ascii="宋体" w:hAnsi="宋体" w:cs="宋体"/>
                <w:szCs w:val="21"/>
              </w:rPr>
              <w:t>有关事故整改和预防措施的落实情况。</w:t>
            </w:r>
          </w:p>
        </w:tc>
        <w:tc>
          <w:tcPr>
            <w:tcW w:w="1701" w:type="dxa"/>
          </w:tcPr>
          <w:p>
            <w:pPr>
              <w:spacing w:line="280" w:lineRule="exact"/>
              <w:rPr>
                <w:rFonts w:ascii="宋体" w:hAnsi="宋体" w:cs="宋体"/>
                <w:szCs w:val="21"/>
              </w:rPr>
            </w:pPr>
          </w:p>
        </w:tc>
        <w:tc>
          <w:tcPr>
            <w:tcW w:w="2268" w:type="dxa"/>
          </w:tcPr>
          <w:p>
            <w:pPr>
              <w:spacing w:line="280" w:lineRule="exact"/>
              <w:rPr>
                <w:rFonts w:ascii="宋体" w:hAnsi="宋体" w:cs="宋体"/>
                <w:szCs w:val="21"/>
              </w:rPr>
            </w:pPr>
            <w:r>
              <w:rPr>
                <w:rFonts w:hint="eastAsia" w:ascii="宋体" w:hAnsi="宋体" w:cs="宋体"/>
                <w:szCs w:val="21"/>
              </w:rPr>
              <w:t>1.未制定或未落实事故整改和预防措施，一项扣2分；</w:t>
            </w:r>
          </w:p>
          <w:p>
            <w:pPr>
              <w:spacing w:line="280" w:lineRule="exact"/>
              <w:rPr>
                <w:rFonts w:ascii="宋体" w:hAnsi="宋体" w:cs="宋体"/>
                <w:szCs w:val="21"/>
              </w:rPr>
            </w:pPr>
            <w:r>
              <w:rPr>
                <w:rFonts w:hint="eastAsia" w:ascii="宋体" w:hAnsi="宋体" w:cs="宋体"/>
                <w:szCs w:val="21"/>
              </w:rPr>
              <w:t>2.事故整改、预防措施不具体，缺乏针对性和可操作性，一项扣1分。</w:t>
            </w:r>
          </w:p>
        </w:tc>
        <w:tc>
          <w:tcPr>
            <w:tcW w:w="1165" w:type="dxa"/>
            <w:vAlign w:val="center"/>
          </w:tcPr>
          <w:p>
            <w:pPr>
              <w:spacing w:line="280" w:lineRule="exact"/>
              <w:jc w:val="center"/>
              <w:rPr>
                <w:rFonts w:ascii="宋体" w:hAnsi="宋体" w:cs="宋体"/>
                <w:szCs w:val="21"/>
              </w:rPr>
            </w:pPr>
            <w:r>
              <w:rPr>
                <w:rFonts w:hint="eastAsia" w:ascii="宋体" w:hAnsi="宋体" w:cs="宋体"/>
                <w:szCs w:val="21"/>
              </w:rPr>
              <w:t>符合要求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771" w:type="dxa"/>
            <w:vMerge w:val="continue"/>
          </w:tcPr>
          <w:p>
            <w:pPr>
              <w:spacing w:line="280" w:lineRule="exact"/>
              <w:rPr>
                <w:rFonts w:ascii="宋体" w:hAnsi="宋体" w:cs="宋体"/>
                <w:b/>
                <w:bCs/>
                <w:szCs w:val="21"/>
              </w:rPr>
            </w:pPr>
          </w:p>
        </w:tc>
        <w:tc>
          <w:tcPr>
            <w:tcW w:w="709" w:type="dxa"/>
            <w:vMerge w:val="continue"/>
          </w:tcPr>
          <w:p>
            <w:pPr>
              <w:spacing w:line="280" w:lineRule="exact"/>
              <w:rPr>
                <w:rFonts w:ascii="宋体" w:hAnsi="宋体" w:cs="宋体"/>
                <w:b/>
                <w:bCs/>
                <w:szCs w:val="21"/>
              </w:rPr>
            </w:pPr>
          </w:p>
        </w:tc>
        <w:tc>
          <w:tcPr>
            <w:tcW w:w="2409" w:type="dxa"/>
            <w:vMerge w:val="restart"/>
          </w:tcPr>
          <w:p>
            <w:pPr>
              <w:spacing w:line="280" w:lineRule="exact"/>
              <w:rPr>
                <w:rFonts w:ascii="宋体" w:hAnsi="宋体" w:cs="宋体"/>
                <w:szCs w:val="21"/>
              </w:rPr>
            </w:pPr>
            <w:r>
              <w:rPr>
                <w:rFonts w:hint="eastAsia" w:ascii="宋体" w:hAnsi="宋体" w:cs="宋体"/>
                <w:szCs w:val="21"/>
              </w:rPr>
              <w:t>4.企业应建立事故档案和事故管理台账。</w:t>
            </w:r>
          </w:p>
          <w:p>
            <w:pPr>
              <w:spacing w:line="280" w:lineRule="exact"/>
              <w:rPr>
                <w:rFonts w:ascii="宋体" w:hAnsi="宋体" w:cs="宋体"/>
                <w:szCs w:val="21"/>
              </w:rPr>
            </w:pPr>
          </w:p>
        </w:tc>
        <w:tc>
          <w:tcPr>
            <w:tcW w:w="2268" w:type="dxa"/>
          </w:tcPr>
          <w:p>
            <w:pPr>
              <w:spacing w:line="280" w:lineRule="exact"/>
              <w:rPr>
                <w:rFonts w:ascii="宋体" w:hAnsi="宋体" w:cs="宋体"/>
                <w:szCs w:val="21"/>
              </w:rPr>
            </w:pPr>
            <w:r>
              <w:rPr>
                <w:rFonts w:hint="eastAsia" w:ascii="宋体" w:hAnsi="宋体" w:cs="宋体"/>
                <w:szCs w:val="21"/>
              </w:rPr>
              <w:t>1.建立事故管理台账，包括未遂事故；</w:t>
            </w:r>
          </w:p>
          <w:p>
            <w:pPr>
              <w:spacing w:line="280" w:lineRule="exact"/>
              <w:rPr>
                <w:rFonts w:ascii="宋体" w:hAnsi="宋体" w:cs="宋体"/>
                <w:szCs w:val="21"/>
              </w:rPr>
            </w:pPr>
            <w:r>
              <w:rPr>
                <w:rFonts w:hint="eastAsia" w:ascii="宋体" w:hAnsi="宋体" w:cs="宋体"/>
                <w:szCs w:val="21"/>
              </w:rPr>
              <w:t>2.建立事故档案。</w:t>
            </w:r>
          </w:p>
        </w:tc>
        <w:tc>
          <w:tcPr>
            <w:tcW w:w="2268" w:type="dxa"/>
          </w:tcPr>
          <w:p>
            <w:pPr>
              <w:spacing w:line="280" w:lineRule="exact"/>
              <w:rPr>
                <w:rFonts w:ascii="宋体" w:hAnsi="宋体" w:cs="宋体"/>
                <w:szCs w:val="21"/>
              </w:rPr>
            </w:pPr>
            <w:r>
              <w:rPr>
                <w:rFonts w:hint="eastAsia" w:ascii="宋体" w:hAnsi="宋体" w:cs="宋体"/>
                <w:szCs w:val="21"/>
              </w:rPr>
              <w:t>查文件：</w:t>
            </w:r>
          </w:p>
          <w:p>
            <w:pPr>
              <w:spacing w:line="280" w:lineRule="exact"/>
              <w:rPr>
                <w:rFonts w:ascii="宋体" w:hAnsi="宋体" w:cs="宋体"/>
                <w:szCs w:val="21"/>
              </w:rPr>
            </w:pPr>
            <w:r>
              <w:rPr>
                <w:rFonts w:hint="eastAsia" w:ascii="宋体" w:hAnsi="宋体" w:cs="宋体"/>
                <w:szCs w:val="21"/>
              </w:rPr>
              <w:t>1.事故管理台账；</w:t>
            </w:r>
          </w:p>
          <w:p>
            <w:pPr>
              <w:spacing w:line="280" w:lineRule="exact"/>
              <w:rPr>
                <w:rFonts w:ascii="宋体" w:hAnsi="宋体" w:cs="宋体"/>
                <w:szCs w:val="21"/>
              </w:rPr>
            </w:pPr>
            <w:r>
              <w:rPr>
                <w:rFonts w:hint="eastAsia" w:ascii="宋体" w:hAnsi="宋体" w:cs="宋体"/>
                <w:szCs w:val="21"/>
              </w:rPr>
              <w:t>2.事故档案；</w:t>
            </w:r>
          </w:p>
          <w:p>
            <w:pPr>
              <w:spacing w:line="280" w:lineRule="exact"/>
              <w:rPr>
                <w:rFonts w:ascii="宋体" w:hAnsi="宋体" w:cs="宋体"/>
                <w:szCs w:val="21"/>
              </w:rPr>
            </w:pPr>
            <w:r>
              <w:rPr>
                <w:rFonts w:hint="eastAsia" w:ascii="宋体" w:hAnsi="宋体" w:cs="宋体"/>
                <w:szCs w:val="21"/>
              </w:rPr>
              <w:t>询问：</w:t>
            </w:r>
          </w:p>
          <w:p>
            <w:pPr>
              <w:spacing w:line="280" w:lineRule="exact"/>
              <w:rPr>
                <w:rFonts w:ascii="宋体" w:hAnsi="宋体" w:cs="宋体"/>
                <w:szCs w:val="21"/>
              </w:rPr>
            </w:pPr>
            <w:r>
              <w:rPr>
                <w:rFonts w:hint="eastAsia" w:ascii="宋体" w:hAnsi="宋体" w:cs="宋体"/>
                <w:szCs w:val="21"/>
              </w:rPr>
              <w:t>了解企业发生的事故与台账、档案是否相符。</w:t>
            </w:r>
          </w:p>
        </w:tc>
        <w:tc>
          <w:tcPr>
            <w:tcW w:w="1701" w:type="dxa"/>
          </w:tcPr>
          <w:p>
            <w:pPr>
              <w:spacing w:line="280" w:lineRule="exact"/>
              <w:rPr>
                <w:rFonts w:ascii="宋体" w:hAnsi="宋体" w:cs="宋体"/>
                <w:szCs w:val="21"/>
              </w:rPr>
            </w:pPr>
          </w:p>
        </w:tc>
        <w:tc>
          <w:tcPr>
            <w:tcW w:w="2268" w:type="dxa"/>
          </w:tcPr>
          <w:p>
            <w:pPr>
              <w:spacing w:line="280" w:lineRule="exact"/>
              <w:rPr>
                <w:rFonts w:ascii="宋体" w:hAnsi="宋体" w:cs="宋体"/>
                <w:szCs w:val="21"/>
              </w:rPr>
            </w:pPr>
            <w:r>
              <w:rPr>
                <w:rFonts w:hint="eastAsia" w:ascii="宋体" w:hAnsi="宋体" w:cs="宋体"/>
                <w:szCs w:val="21"/>
              </w:rPr>
              <w:t>1.未建立事故管理台账，扣5分；内容不符合要求，一项扣1分；</w:t>
            </w:r>
          </w:p>
          <w:p>
            <w:pPr>
              <w:spacing w:line="280" w:lineRule="exact"/>
              <w:rPr>
                <w:rFonts w:ascii="宋体" w:hAnsi="宋体" w:cs="宋体"/>
                <w:szCs w:val="21"/>
              </w:rPr>
            </w:pPr>
            <w:r>
              <w:rPr>
                <w:rFonts w:hint="eastAsia" w:ascii="宋体" w:hAnsi="宋体" w:cs="宋体"/>
                <w:szCs w:val="21"/>
              </w:rPr>
              <w:t>2.未建立事故管理档案，扣5分；内容不符合要求，扣1分；</w:t>
            </w:r>
          </w:p>
          <w:p>
            <w:pPr>
              <w:spacing w:line="280" w:lineRule="exact"/>
              <w:rPr>
                <w:rFonts w:ascii="宋体" w:hAnsi="宋体" w:cs="宋体"/>
                <w:szCs w:val="21"/>
              </w:rPr>
            </w:pPr>
            <w:r>
              <w:rPr>
                <w:rFonts w:hint="eastAsia" w:ascii="宋体" w:hAnsi="宋体" w:cs="宋体"/>
                <w:szCs w:val="21"/>
              </w:rPr>
              <w:t>3.发生的事故与台账、档案不相符，一项扣2分。</w:t>
            </w:r>
          </w:p>
        </w:tc>
        <w:tc>
          <w:tcPr>
            <w:tcW w:w="1165" w:type="dxa"/>
            <w:vAlign w:val="center"/>
          </w:tcPr>
          <w:p>
            <w:pPr>
              <w:spacing w:line="280" w:lineRule="exact"/>
              <w:jc w:val="center"/>
              <w:rPr>
                <w:rFonts w:ascii="宋体" w:hAnsi="宋体" w:cs="宋体"/>
                <w:szCs w:val="21"/>
              </w:rPr>
            </w:pPr>
            <w:r>
              <w:rPr>
                <w:rFonts w:hint="eastAsia" w:ascii="宋体" w:hAnsi="宋体" w:cs="宋体"/>
                <w:szCs w:val="21"/>
              </w:rPr>
              <w:t>符合要求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0" w:hRule="atLeast"/>
          <w:jc w:val="center"/>
        </w:trPr>
        <w:tc>
          <w:tcPr>
            <w:tcW w:w="771" w:type="dxa"/>
            <w:vMerge w:val="continue"/>
          </w:tcPr>
          <w:p>
            <w:pPr>
              <w:spacing w:line="280" w:lineRule="exact"/>
              <w:rPr>
                <w:rFonts w:ascii="宋体" w:hAnsi="宋体" w:cs="宋体"/>
                <w:b/>
                <w:bCs/>
                <w:szCs w:val="21"/>
              </w:rPr>
            </w:pPr>
          </w:p>
        </w:tc>
        <w:tc>
          <w:tcPr>
            <w:tcW w:w="709" w:type="dxa"/>
            <w:vMerge w:val="continue"/>
          </w:tcPr>
          <w:p>
            <w:pPr>
              <w:spacing w:line="280" w:lineRule="exact"/>
              <w:rPr>
                <w:rFonts w:ascii="宋体" w:hAnsi="宋体" w:cs="宋体"/>
                <w:b/>
                <w:bCs/>
                <w:szCs w:val="21"/>
              </w:rPr>
            </w:pPr>
          </w:p>
        </w:tc>
        <w:tc>
          <w:tcPr>
            <w:tcW w:w="2409" w:type="dxa"/>
            <w:vMerge w:val="continue"/>
          </w:tcPr>
          <w:p>
            <w:pPr>
              <w:spacing w:line="280" w:lineRule="exact"/>
              <w:rPr>
                <w:rFonts w:ascii="宋体" w:hAnsi="宋体" w:cs="宋体"/>
                <w:b/>
                <w:bCs/>
                <w:szCs w:val="21"/>
              </w:rPr>
            </w:pPr>
          </w:p>
        </w:tc>
        <w:tc>
          <w:tcPr>
            <w:tcW w:w="2268" w:type="dxa"/>
          </w:tcPr>
          <w:p>
            <w:pPr>
              <w:spacing w:line="280" w:lineRule="exact"/>
              <w:rPr>
                <w:rFonts w:ascii="宋体" w:hAnsi="宋体" w:cs="宋体"/>
                <w:szCs w:val="21"/>
              </w:rPr>
            </w:pPr>
            <w:r>
              <w:rPr>
                <w:rFonts w:hint="eastAsia" w:ascii="宋体" w:hAnsi="宋体" w:cs="宋体"/>
                <w:szCs w:val="21"/>
              </w:rPr>
              <w:t>对涉险事故、未遂事故等安全事件（如事故征兆、非计划停工、异常工况、泄漏等），按照重大、较大、一般等级别，进行分级管理，制定整改措施。</w:t>
            </w:r>
          </w:p>
        </w:tc>
        <w:tc>
          <w:tcPr>
            <w:tcW w:w="2268" w:type="dxa"/>
          </w:tcPr>
          <w:p>
            <w:pPr>
              <w:spacing w:line="280" w:lineRule="exact"/>
              <w:rPr>
                <w:rFonts w:ascii="宋体" w:hAnsi="宋体" w:cs="宋体"/>
                <w:szCs w:val="21"/>
              </w:rPr>
            </w:pPr>
            <w:r>
              <w:rPr>
                <w:rFonts w:hint="eastAsia" w:ascii="宋体" w:hAnsi="宋体" w:cs="宋体"/>
                <w:szCs w:val="21"/>
              </w:rPr>
              <w:t>查文件：</w:t>
            </w:r>
          </w:p>
          <w:p>
            <w:pPr>
              <w:spacing w:line="280" w:lineRule="exact"/>
              <w:rPr>
                <w:rFonts w:ascii="宋体" w:hAnsi="宋体" w:cs="宋体"/>
                <w:szCs w:val="21"/>
              </w:rPr>
            </w:pPr>
            <w:r>
              <w:rPr>
                <w:rFonts w:hint="eastAsia" w:ascii="宋体" w:hAnsi="宋体" w:cs="宋体"/>
                <w:szCs w:val="21"/>
              </w:rPr>
              <w:t>1.事故管理制度；</w:t>
            </w:r>
          </w:p>
          <w:p>
            <w:pPr>
              <w:spacing w:line="280" w:lineRule="exact"/>
              <w:rPr>
                <w:rFonts w:ascii="宋体" w:hAnsi="宋体" w:cs="宋体"/>
                <w:szCs w:val="21"/>
              </w:rPr>
            </w:pPr>
            <w:r>
              <w:rPr>
                <w:rFonts w:hint="eastAsia" w:ascii="宋体" w:hAnsi="宋体" w:cs="宋体"/>
                <w:szCs w:val="21"/>
              </w:rPr>
              <w:t>2.事故管理台账；</w:t>
            </w:r>
          </w:p>
          <w:p>
            <w:pPr>
              <w:spacing w:line="280" w:lineRule="exact"/>
              <w:rPr>
                <w:rFonts w:ascii="宋体" w:hAnsi="宋体" w:cs="宋体"/>
                <w:szCs w:val="21"/>
              </w:rPr>
            </w:pPr>
            <w:r>
              <w:rPr>
                <w:rFonts w:hint="eastAsia" w:ascii="宋体" w:hAnsi="宋体" w:cs="宋体"/>
                <w:szCs w:val="21"/>
              </w:rPr>
              <w:t>3.已发生事件的调查处理报告。</w:t>
            </w:r>
          </w:p>
        </w:tc>
        <w:tc>
          <w:tcPr>
            <w:tcW w:w="1701" w:type="dxa"/>
          </w:tcPr>
          <w:p>
            <w:pPr>
              <w:spacing w:line="280" w:lineRule="exact"/>
              <w:rPr>
                <w:rFonts w:ascii="宋体" w:hAnsi="宋体" w:cs="宋体"/>
                <w:szCs w:val="21"/>
              </w:rPr>
            </w:pPr>
          </w:p>
        </w:tc>
        <w:tc>
          <w:tcPr>
            <w:tcW w:w="2268" w:type="dxa"/>
          </w:tcPr>
          <w:p>
            <w:pPr>
              <w:spacing w:line="280" w:lineRule="exact"/>
              <w:rPr>
                <w:rFonts w:ascii="宋体" w:hAnsi="宋体" w:cs="宋体"/>
                <w:szCs w:val="21"/>
              </w:rPr>
            </w:pPr>
            <w:r>
              <w:rPr>
                <w:rFonts w:hint="eastAsia" w:ascii="宋体" w:hAnsi="宋体" w:cs="宋体"/>
                <w:szCs w:val="21"/>
              </w:rPr>
              <w:t>1.没有建立事件台账（扣分在台账及制度部分）。</w:t>
            </w:r>
          </w:p>
          <w:p>
            <w:pPr>
              <w:spacing w:line="280" w:lineRule="exact"/>
              <w:rPr>
                <w:rFonts w:ascii="宋体" w:hAnsi="宋体" w:cs="宋体"/>
                <w:szCs w:val="21"/>
              </w:rPr>
            </w:pPr>
            <w:r>
              <w:rPr>
                <w:rFonts w:hint="eastAsia" w:ascii="宋体" w:hAnsi="宋体" w:cs="宋体"/>
                <w:szCs w:val="21"/>
              </w:rPr>
              <w:t>2.对事件没有进行调查，一项扣5分。</w:t>
            </w:r>
          </w:p>
        </w:tc>
        <w:tc>
          <w:tcPr>
            <w:tcW w:w="1165" w:type="dxa"/>
            <w:vAlign w:val="center"/>
          </w:tcPr>
          <w:p>
            <w:pPr>
              <w:spacing w:line="280" w:lineRule="exact"/>
              <w:jc w:val="center"/>
              <w:rPr>
                <w:rFonts w:ascii="宋体" w:hAnsi="宋体" w:cs="宋体"/>
                <w:szCs w:val="21"/>
              </w:rPr>
            </w:pPr>
            <w:r>
              <w:rPr>
                <w:rFonts w:hint="eastAsia" w:ascii="宋体" w:hAnsi="宋体" w:cs="宋体"/>
                <w:szCs w:val="21"/>
              </w:rPr>
              <w:t>符合要求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6" w:hRule="atLeast"/>
          <w:jc w:val="center"/>
        </w:trPr>
        <w:tc>
          <w:tcPr>
            <w:tcW w:w="771" w:type="dxa"/>
            <w:vMerge w:val="continue"/>
          </w:tcPr>
          <w:p>
            <w:pPr>
              <w:spacing w:line="280" w:lineRule="exact"/>
              <w:rPr>
                <w:rFonts w:ascii="宋体" w:hAnsi="宋体" w:cs="宋体"/>
                <w:b/>
                <w:bCs/>
                <w:szCs w:val="21"/>
              </w:rPr>
            </w:pPr>
          </w:p>
        </w:tc>
        <w:tc>
          <w:tcPr>
            <w:tcW w:w="709" w:type="dxa"/>
            <w:vMerge w:val="continue"/>
          </w:tcPr>
          <w:p>
            <w:pPr>
              <w:spacing w:line="280" w:lineRule="exact"/>
              <w:rPr>
                <w:rFonts w:ascii="宋体" w:hAnsi="宋体" w:cs="宋体"/>
                <w:b/>
                <w:bCs/>
                <w:szCs w:val="21"/>
              </w:rPr>
            </w:pPr>
          </w:p>
        </w:tc>
        <w:tc>
          <w:tcPr>
            <w:tcW w:w="2409" w:type="dxa"/>
            <w:vMerge w:val="continue"/>
          </w:tcPr>
          <w:p>
            <w:pPr>
              <w:spacing w:line="280" w:lineRule="exact"/>
              <w:rPr>
                <w:rFonts w:ascii="宋体" w:hAnsi="宋体" w:cs="宋体"/>
                <w:b/>
                <w:bCs/>
                <w:szCs w:val="21"/>
              </w:rPr>
            </w:pPr>
          </w:p>
        </w:tc>
        <w:tc>
          <w:tcPr>
            <w:tcW w:w="2268" w:type="dxa"/>
          </w:tcPr>
          <w:p>
            <w:pPr>
              <w:spacing w:line="280" w:lineRule="exact"/>
              <w:rPr>
                <w:rFonts w:ascii="宋体" w:hAnsi="宋体" w:cs="宋体"/>
                <w:szCs w:val="21"/>
              </w:rPr>
            </w:pPr>
            <w:r>
              <w:rPr>
                <w:rFonts w:hint="eastAsia" w:ascii="宋体" w:hAnsi="宋体" w:cs="宋体"/>
                <w:szCs w:val="21"/>
              </w:rPr>
              <w:t>二级企业已把承包商事故纳入本企业事故管理。</w:t>
            </w:r>
          </w:p>
        </w:tc>
        <w:tc>
          <w:tcPr>
            <w:tcW w:w="2268" w:type="dxa"/>
          </w:tcPr>
          <w:p>
            <w:pPr>
              <w:spacing w:line="280" w:lineRule="exact"/>
              <w:rPr>
                <w:rFonts w:ascii="宋体" w:hAnsi="宋体" w:cs="宋体"/>
                <w:szCs w:val="21"/>
              </w:rPr>
            </w:pPr>
            <w:r>
              <w:rPr>
                <w:rFonts w:hint="eastAsia" w:ascii="宋体" w:hAnsi="宋体" w:cs="宋体"/>
                <w:szCs w:val="21"/>
              </w:rPr>
              <w:t>查文件：</w:t>
            </w:r>
          </w:p>
          <w:p>
            <w:pPr>
              <w:spacing w:line="280" w:lineRule="exact"/>
              <w:rPr>
                <w:rFonts w:ascii="宋体" w:hAnsi="宋体" w:cs="宋体"/>
                <w:szCs w:val="21"/>
              </w:rPr>
            </w:pPr>
            <w:r>
              <w:rPr>
                <w:rFonts w:hint="eastAsia" w:ascii="宋体" w:hAnsi="宋体" w:cs="宋体"/>
                <w:szCs w:val="21"/>
              </w:rPr>
              <w:t>1.事故管理台账；</w:t>
            </w:r>
          </w:p>
          <w:p>
            <w:pPr>
              <w:spacing w:line="280" w:lineRule="exact"/>
              <w:rPr>
                <w:rFonts w:ascii="宋体" w:hAnsi="宋体" w:cs="宋体"/>
                <w:szCs w:val="21"/>
              </w:rPr>
            </w:pPr>
            <w:r>
              <w:rPr>
                <w:rFonts w:hint="eastAsia" w:ascii="宋体" w:hAnsi="宋体" w:cs="宋体"/>
                <w:szCs w:val="21"/>
              </w:rPr>
              <w:t>2.已发生事件的调查处理报告。</w:t>
            </w:r>
          </w:p>
        </w:tc>
        <w:tc>
          <w:tcPr>
            <w:tcW w:w="1701" w:type="dxa"/>
          </w:tcPr>
          <w:p>
            <w:pPr>
              <w:spacing w:line="280" w:lineRule="exact"/>
              <w:rPr>
                <w:rFonts w:ascii="宋体" w:hAnsi="宋体" w:cs="宋体"/>
                <w:szCs w:val="21"/>
              </w:rPr>
            </w:pPr>
            <w:r>
              <w:rPr>
                <w:rFonts w:hint="eastAsia" w:ascii="宋体" w:hAnsi="宋体" w:cs="宋体"/>
                <w:szCs w:val="21"/>
              </w:rPr>
              <w:t>未将承包商事故纳入本企业事故管理，扣100分（A级要素否决项）。</w:t>
            </w:r>
          </w:p>
        </w:tc>
        <w:tc>
          <w:tcPr>
            <w:tcW w:w="2268" w:type="dxa"/>
          </w:tcPr>
          <w:p>
            <w:pPr>
              <w:spacing w:line="280" w:lineRule="exact"/>
              <w:rPr>
                <w:rFonts w:ascii="宋体" w:hAnsi="宋体" w:cs="宋体"/>
                <w:szCs w:val="21"/>
              </w:rPr>
            </w:pPr>
          </w:p>
        </w:tc>
        <w:tc>
          <w:tcPr>
            <w:tcW w:w="1165" w:type="dxa"/>
            <w:vAlign w:val="center"/>
          </w:tcPr>
          <w:p>
            <w:pPr>
              <w:spacing w:line="280" w:lineRule="exact"/>
              <w:jc w:val="center"/>
              <w:rPr>
                <w:rFonts w:ascii="宋体" w:hAnsi="宋体" w:cs="宋体"/>
                <w:szCs w:val="21"/>
              </w:rPr>
            </w:pPr>
            <w:r>
              <w:rPr>
                <w:rFonts w:hint="eastAsia" w:ascii="宋体" w:hAnsi="宋体" w:cs="宋体"/>
                <w:szCs w:val="21"/>
              </w:rPr>
              <w:t>不涉及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771" w:type="dxa"/>
            <w:vMerge w:val="restart"/>
          </w:tcPr>
          <w:p>
            <w:pPr>
              <w:spacing w:line="280" w:lineRule="exact"/>
              <w:rPr>
                <w:rFonts w:ascii="宋体" w:hAnsi="宋体" w:cs="宋体"/>
                <w:b/>
                <w:bCs/>
                <w:szCs w:val="21"/>
              </w:rPr>
            </w:pPr>
            <w:r>
              <w:rPr>
                <w:rFonts w:hint="eastAsia" w:ascii="宋体" w:hAnsi="宋体" w:cs="宋体"/>
                <w:b/>
                <w:bCs/>
                <w:szCs w:val="21"/>
              </w:rPr>
              <w:t>11检查与自评</w:t>
            </w:r>
          </w:p>
          <w:p>
            <w:pPr>
              <w:spacing w:line="280" w:lineRule="exact"/>
              <w:rPr>
                <w:rFonts w:ascii="宋体" w:hAnsi="宋体" w:cs="宋体"/>
                <w:b/>
                <w:bCs/>
                <w:szCs w:val="21"/>
              </w:rPr>
            </w:pPr>
            <w:r>
              <w:rPr>
                <w:rFonts w:hint="eastAsia" w:ascii="宋体" w:hAnsi="宋体" w:cs="宋体"/>
                <w:b/>
                <w:bCs/>
                <w:szCs w:val="21"/>
              </w:rPr>
              <w:t>（100分）</w:t>
            </w:r>
          </w:p>
        </w:tc>
        <w:tc>
          <w:tcPr>
            <w:tcW w:w="709" w:type="dxa"/>
            <w:vMerge w:val="restart"/>
          </w:tcPr>
          <w:p>
            <w:pPr>
              <w:spacing w:line="280" w:lineRule="exact"/>
              <w:rPr>
                <w:rFonts w:ascii="宋体" w:hAnsi="宋体" w:cs="宋体"/>
                <w:b/>
                <w:bCs/>
                <w:szCs w:val="21"/>
              </w:rPr>
            </w:pPr>
            <w:r>
              <w:rPr>
                <w:rFonts w:hint="eastAsia" w:ascii="宋体" w:hAnsi="宋体" w:cs="宋体"/>
                <w:b/>
                <w:bCs/>
                <w:szCs w:val="21"/>
              </w:rPr>
              <w:t>11.1</w:t>
            </w:r>
          </w:p>
          <w:p>
            <w:pPr>
              <w:spacing w:line="280" w:lineRule="exact"/>
              <w:rPr>
                <w:rFonts w:ascii="宋体" w:hAnsi="宋体" w:cs="宋体"/>
                <w:b/>
                <w:bCs/>
                <w:szCs w:val="21"/>
              </w:rPr>
            </w:pPr>
            <w:r>
              <w:rPr>
                <w:rFonts w:hint="eastAsia" w:ascii="宋体" w:hAnsi="宋体" w:cs="宋体"/>
                <w:b/>
                <w:bCs/>
                <w:szCs w:val="21"/>
              </w:rPr>
              <w:t>安全检查</w:t>
            </w:r>
          </w:p>
          <w:p>
            <w:pPr>
              <w:spacing w:line="280" w:lineRule="exact"/>
              <w:rPr>
                <w:rFonts w:ascii="宋体" w:hAnsi="宋体" w:cs="宋体"/>
                <w:b/>
                <w:bCs/>
                <w:szCs w:val="21"/>
              </w:rPr>
            </w:pPr>
            <w:r>
              <w:rPr>
                <w:rFonts w:hint="eastAsia" w:ascii="宋体" w:hAnsi="宋体" w:cs="宋体"/>
                <w:b/>
                <w:bCs/>
                <w:szCs w:val="21"/>
              </w:rPr>
              <w:t>（25分）</w:t>
            </w:r>
          </w:p>
        </w:tc>
        <w:tc>
          <w:tcPr>
            <w:tcW w:w="2409" w:type="dxa"/>
          </w:tcPr>
          <w:p>
            <w:pPr>
              <w:spacing w:line="280" w:lineRule="exact"/>
              <w:rPr>
                <w:rFonts w:ascii="宋体" w:hAnsi="宋体" w:cs="宋体"/>
                <w:szCs w:val="21"/>
              </w:rPr>
            </w:pPr>
            <w:r>
              <w:rPr>
                <w:rFonts w:hint="eastAsia" w:ascii="宋体" w:hAnsi="宋体" w:cs="宋体"/>
                <w:szCs w:val="21"/>
              </w:rPr>
              <w:t>1.企业应严格执行安全检查管理制度，定期或不定期进行安全检查，保证安全标准化有效实施。</w:t>
            </w:r>
          </w:p>
        </w:tc>
        <w:tc>
          <w:tcPr>
            <w:tcW w:w="2268" w:type="dxa"/>
          </w:tcPr>
          <w:p>
            <w:pPr>
              <w:spacing w:line="280" w:lineRule="exact"/>
              <w:rPr>
                <w:rFonts w:ascii="宋体" w:hAnsi="宋体" w:cs="宋体"/>
                <w:szCs w:val="21"/>
              </w:rPr>
            </w:pPr>
            <w:r>
              <w:rPr>
                <w:rFonts w:hint="eastAsia" w:ascii="宋体" w:hAnsi="宋体" w:cs="宋体"/>
                <w:szCs w:val="21"/>
              </w:rPr>
              <w:t>明确各种安全检查的内容、频次和要求，开展安全检查。</w:t>
            </w:r>
          </w:p>
        </w:tc>
        <w:tc>
          <w:tcPr>
            <w:tcW w:w="2268" w:type="dxa"/>
          </w:tcPr>
          <w:p>
            <w:pPr>
              <w:spacing w:line="280" w:lineRule="exact"/>
              <w:rPr>
                <w:rFonts w:ascii="宋体" w:hAnsi="宋体" w:cs="宋体"/>
                <w:szCs w:val="21"/>
              </w:rPr>
            </w:pPr>
            <w:r>
              <w:rPr>
                <w:rFonts w:hint="eastAsia" w:ascii="宋体" w:hAnsi="宋体" w:cs="宋体"/>
                <w:szCs w:val="21"/>
              </w:rPr>
              <w:t>查文件：</w:t>
            </w:r>
          </w:p>
          <w:p>
            <w:pPr>
              <w:spacing w:line="280" w:lineRule="exact"/>
              <w:rPr>
                <w:rFonts w:ascii="宋体" w:hAnsi="宋体" w:cs="宋体"/>
                <w:szCs w:val="21"/>
              </w:rPr>
            </w:pPr>
            <w:r>
              <w:rPr>
                <w:rFonts w:hint="eastAsia" w:ascii="宋体" w:hAnsi="宋体" w:cs="宋体"/>
                <w:szCs w:val="21"/>
              </w:rPr>
              <w:t>安全检查管理制度。</w:t>
            </w:r>
          </w:p>
        </w:tc>
        <w:tc>
          <w:tcPr>
            <w:tcW w:w="1701" w:type="dxa"/>
          </w:tcPr>
          <w:p>
            <w:pPr>
              <w:spacing w:line="280" w:lineRule="exact"/>
              <w:rPr>
                <w:rFonts w:ascii="宋体" w:hAnsi="宋体" w:cs="宋体"/>
                <w:szCs w:val="21"/>
              </w:rPr>
            </w:pPr>
          </w:p>
        </w:tc>
        <w:tc>
          <w:tcPr>
            <w:tcW w:w="2268" w:type="dxa"/>
          </w:tcPr>
          <w:p>
            <w:pPr>
              <w:spacing w:line="280" w:lineRule="exact"/>
              <w:rPr>
                <w:rFonts w:ascii="宋体" w:hAnsi="宋体" w:cs="宋体"/>
                <w:szCs w:val="21"/>
              </w:rPr>
            </w:pPr>
            <w:r>
              <w:rPr>
                <w:rFonts w:hint="eastAsia" w:ascii="宋体" w:hAnsi="宋体" w:cs="宋体"/>
                <w:szCs w:val="21"/>
              </w:rPr>
              <w:t>未明确各种安全检查的内容、频次和要求，缺少一项扣1分。</w:t>
            </w:r>
          </w:p>
        </w:tc>
        <w:tc>
          <w:tcPr>
            <w:tcW w:w="1165" w:type="dxa"/>
            <w:vAlign w:val="center"/>
          </w:tcPr>
          <w:p>
            <w:pPr>
              <w:spacing w:line="280" w:lineRule="exact"/>
              <w:jc w:val="center"/>
              <w:rPr>
                <w:rFonts w:ascii="宋体" w:hAnsi="宋体" w:cs="宋体"/>
                <w:szCs w:val="21"/>
              </w:rPr>
            </w:pPr>
            <w:r>
              <w:rPr>
                <w:rFonts w:hint="eastAsia" w:ascii="宋体" w:hAnsi="宋体" w:cs="宋体"/>
                <w:szCs w:val="21"/>
              </w:rPr>
              <w:t>符合要求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771" w:type="dxa"/>
            <w:vMerge w:val="continue"/>
          </w:tcPr>
          <w:p>
            <w:pPr>
              <w:spacing w:line="280" w:lineRule="exact"/>
              <w:rPr>
                <w:rFonts w:ascii="宋体" w:hAnsi="宋体" w:cs="宋体"/>
                <w:b/>
                <w:bCs/>
                <w:szCs w:val="21"/>
              </w:rPr>
            </w:pPr>
          </w:p>
        </w:tc>
        <w:tc>
          <w:tcPr>
            <w:tcW w:w="709" w:type="dxa"/>
            <w:vMerge w:val="continue"/>
          </w:tcPr>
          <w:p>
            <w:pPr>
              <w:spacing w:line="280" w:lineRule="exact"/>
              <w:rPr>
                <w:rFonts w:ascii="宋体" w:hAnsi="宋体" w:cs="宋体"/>
                <w:b/>
                <w:bCs/>
                <w:szCs w:val="21"/>
              </w:rPr>
            </w:pPr>
          </w:p>
        </w:tc>
        <w:tc>
          <w:tcPr>
            <w:tcW w:w="2409" w:type="dxa"/>
          </w:tcPr>
          <w:p>
            <w:pPr>
              <w:spacing w:line="280" w:lineRule="exact"/>
              <w:rPr>
                <w:rFonts w:ascii="宋体" w:hAnsi="宋体" w:cs="宋体"/>
                <w:szCs w:val="21"/>
              </w:rPr>
            </w:pPr>
            <w:r>
              <w:rPr>
                <w:rFonts w:hint="eastAsia" w:ascii="宋体" w:hAnsi="宋体" w:cs="宋体"/>
                <w:szCs w:val="21"/>
              </w:rPr>
              <w:t>2.企业安全检查应有明确的目的、要求、内容和计划。各种安全检查均应编制安全检查表，安全检查表应包括检查项目、检查内容、检查标准或依据、检查结果等内容。</w:t>
            </w:r>
          </w:p>
        </w:tc>
        <w:tc>
          <w:tcPr>
            <w:tcW w:w="2268" w:type="dxa"/>
          </w:tcPr>
          <w:p>
            <w:pPr>
              <w:spacing w:line="280" w:lineRule="exact"/>
              <w:rPr>
                <w:rFonts w:ascii="宋体" w:hAnsi="宋体" w:cs="宋体"/>
                <w:szCs w:val="21"/>
              </w:rPr>
            </w:pPr>
            <w:r>
              <w:rPr>
                <w:rFonts w:hint="eastAsia" w:ascii="宋体" w:hAnsi="宋体" w:cs="宋体"/>
                <w:szCs w:val="21"/>
              </w:rPr>
              <w:t>1.制定安全检查计划，明确各种检查的目的、要求、内容和负责人；</w:t>
            </w:r>
          </w:p>
          <w:p>
            <w:pPr>
              <w:spacing w:line="280" w:lineRule="exact"/>
              <w:rPr>
                <w:rFonts w:ascii="宋体" w:hAnsi="宋体" w:cs="宋体"/>
                <w:szCs w:val="21"/>
              </w:rPr>
            </w:pPr>
            <w:r>
              <w:rPr>
                <w:rFonts w:hint="eastAsia" w:ascii="宋体" w:hAnsi="宋体" w:cs="宋体"/>
                <w:szCs w:val="21"/>
              </w:rPr>
              <w:t>2.编制综合、专项、节假日、季节和日常安全检查表；</w:t>
            </w:r>
          </w:p>
          <w:p>
            <w:pPr>
              <w:spacing w:line="280" w:lineRule="exact"/>
              <w:rPr>
                <w:rFonts w:ascii="宋体" w:hAnsi="宋体" w:cs="宋体"/>
                <w:szCs w:val="21"/>
              </w:rPr>
            </w:pPr>
            <w:r>
              <w:rPr>
                <w:rFonts w:hint="eastAsia" w:ascii="宋体" w:hAnsi="宋体" w:cs="宋体"/>
                <w:szCs w:val="21"/>
              </w:rPr>
              <w:t>3.各种安全检查表内容全面。</w:t>
            </w:r>
          </w:p>
        </w:tc>
        <w:tc>
          <w:tcPr>
            <w:tcW w:w="2268" w:type="dxa"/>
          </w:tcPr>
          <w:p>
            <w:pPr>
              <w:spacing w:line="280" w:lineRule="exact"/>
              <w:rPr>
                <w:rFonts w:ascii="宋体" w:hAnsi="宋体" w:cs="宋体"/>
                <w:szCs w:val="21"/>
              </w:rPr>
            </w:pPr>
            <w:r>
              <w:rPr>
                <w:rFonts w:hint="eastAsia" w:ascii="宋体" w:hAnsi="宋体" w:cs="宋体"/>
                <w:szCs w:val="21"/>
              </w:rPr>
              <w:t>查文件：</w:t>
            </w:r>
          </w:p>
          <w:p>
            <w:pPr>
              <w:spacing w:line="280" w:lineRule="exact"/>
              <w:rPr>
                <w:rFonts w:ascii="宋体" w:hAnsi="宋体" w:cs="宋体"/>
                <w:szCs w:val="21"/>
              </w:rPr>
            </w:pPr>
            <w:r>
              <w:rPr>
                <w:rFonts w:hint="eastAsia" w:ascii="宋体" w:hAnsi="宋体" w:cs="宋体"/>
                <w:szCs w:val="21"/>
              </w:rPr>
              <w:t>1.安全检查计划；</w:t>
            </w:r>
          </w:p>
          <w:p>
            <w:pPr>
              <w:spacing w:line="280" w:lineRule="exact"/>
              <w:rPr>
                <w:rFonts w:ascii="宋体" w:hAnsi="宋体" w:cs="宋体"/>
                <w:szCs w:val="21"/>
              </w:rPr>
            </w:pPr>
            <w:r>
              <w:rPr>
                <w:rFonts w:hint="eastAsia" w:ascii="宋体" w:hAnsi="宋体" w:cs="宋体"/>
                <w:szCs w:val="21"/>
              </w:rPr>
              <w:t>2.各种安全检查表；</w:t>
            </w:r>
          </w:p>
          <w:p>
            <w:pPr>
              <w:spacing w:line="280" w:lineRule="exact"/>
              <w:rPr>
                <w:rFonts w:ascii="宋体" w:hAnsi="宋体" w:cs="宋体"/>
                <w:szCs w:val="21"/>
              </w:rPr>
            </w:pPr>
            <w:r>
              <w:rPr>
                <w:rFonts w:hint="eastAsia" w:ascii="宋体" w:hAnsi="宋体" w:cs="宋体"/>
                <w:szCs w:val="21"/>
              </w:rPr>
              <w:t>3.安全检查表应用培训记录。</w:t>
            </w:r>
          </w:p>
        </w:tc>
        <w:tc>
          <w:tcPr>
            <w:tcW w:w="1701" w:type="dxa"/>
          </w:tcPr>
          <w:p>
            <w:pPr>
              <w:spacing w:line="280" w:lineRule="exact"/>
              <w:rPr>
                <w:rFonts w:ascii="宋体" w:hAnsi="宋体" w:cs="宋体"/>
                <w:szCs w:val="21"/>
              </w:rPr>
            </w:pPr>
          </w:p>
        </w:tc>
        <w:tc>
          <w:tcPr>
            <w:tcW w:w="2268" w:type="dxa"/>
          </w:tcPr>
          <w:p>
            <w:pPr>
              <w:spacing w:line="280" w:lineRule="exact"/>
              <w:rPr>
                <w:rFonts w:ascii="宋体" w:hAnsi="宋体" w:cs="宋体"/>
                <w:szCs w:val="21"/>
              </w:rPr>
            </w:pPr>
            <w:r>
              <w:rPr>
                <w:rFonts w:hint="eastAsia" w:ascii="宋体" w:hAnsi="宋体" w:cs="宋体"/>
                <w:szCs w:val="21"/>
              </w:rPr>
              <w:t>1.未制定安全检查计划，扣2分；</w:t>
            </w:r>
          </w:p>
          <w:p>
            <w:pPr>
              <w:spacing w:line="280" w:lineRule="exact"/>
              <w:rPr>
                <w:rFonts w:ascii="宋体" w:hAnsi="宋体" w:cs="宋体"/>
                <w:szCs w:val="21"/>
              </w:rPr>
            </w:pPr>
            <w:r>
              <w:rPr>
                <w:rFonts w:hint="eastAsia" w:ascii="宋体" w:hAnsi="宋体" w:cs="宋体"/>
                <w:szCs w:val="21"/>
              </w:rPr>
              <w:t>2.安全检查表不全，缺少一种扣2分；</w:t>
            </w:r>
          </w:p>
          <w:p>
            <w:pPr>
              <w:spacing w:line="280" w:lineRule="exact"/>
              <w:rPr>
                <w:rFonts w:ascii="宋体" w:hAnsi="宋体" w:cs="宋体"/>
                <w:szCs w:val="21"/>
              </w:rPr>
            </w:pPr>
            <w:r>
              <w:rPr>
                <w:rFonts w:hint="eastAsia" w:ascii="宋体" w:hAnsi="宋体" w:cs="宋体"/>
                <w:szCs w:val="21"/>
              </w:rPr>
              <w:t>3.安全检查表内容不符合，一项扣1分；</w:t>
            </w:r>
          </w:p>
          <w:p>
            <w:pPr>
              <w:spacing w:line="280" w:lineRule="exact"/>
              <w:rPr>
                <w:rFonts w:ascii="宋体" w:hAnsi="宋体" w:cs="宋体"/>
                <w:szCs w:val="21"/>
              </w:rPr>
            </w:pPr>
            <w:r>
              <w:rPr>
                <w:rFonts w:hint="eastAsia" w:ascii="宋体" w:hAnsi="宋体" w:cs="宋体"/>
                <w:szCs w:val="21"/>
              </w:rPr>
              <w:t>4.未开展安全检查表应用培训，扣2分。</w:t>
            </w:r>
          </w:p>
        </w:tc>
        <w:tc>
          <w:tcPr>
            <w:tcW w:w="1165" w:type="dxa"/>
            <w:vAlign w:val="center"/>
          </w:tcPr>
          <w:p>
            <w:pPr>
              <w:spacing w:line="280" w:lineRule="exact"/>
              <w:jc w:val="center"/>
              <w:rPr>
                <w:rFonts w:ascii="宋体" w:hAnsi="宋体" w:cs="宋体"/>
                <w:szCs w:val="21"/>
              </w:rPr>
            </w:pPr>
            <w:r>
              <w:rPr>
                <w:rFonts w:hint="eastAsia" w:ascii="宋体" w:hAnsi="宋体" w:cs="宋体"/>
                <w:szCs w:val="21"/>
              </w:rPr>
              <w:t>符合要求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771" w:type="dxa"/>
            <w:vMerge w:val="continue"/>
          </w:tcPr>
          <w:p>
            <w:pPr>
              <w:spacing w:line="280" w:lineRule="exact"/>
              <w:rPr>
                <w:rFonts w:ascii="宋体" w:hAnsi="宋体" w:cs="宋体"/>
                <w:b/>
                <w:bCs/>
                <w:szCs w:val="21"/>
              </w:rPr>
            </w:pPr>
          </w:p>
        </w:tc>
        <w:tc>
          <w:tcPr>
            <w:tcW w:w="709" w:type="dxa"/>
            <w:vMerge w:val="continue"/>
          </w:tcPr>
          <w:p>
            <w:pPr>
              <w:spacing w:line="280" w:lineRule="exact"/>
              <w:rPr>
                <w:rFonts w:ascii="宋体" w:hAnsi="宋体" w:cs="宋体"/>
                <w:b/>
                <w:bCs/>
                <w:szCs w:val="21"/>
              </w:rPr>
            </w:pPr>
          </w:p>
        </w:tc>
        <w:tc>
          <w:tcPr>
            <w:tcW w:w="2409" w:type="dxa"/>
          </w:tcPr>
          <w:p>
            <w:pPr>
              <w:spacing w:line="280" w:lineRule="exact"/>
              <w:rPr>
                <w:rFonts w:ascii="宋体" w:hAnsi="宋体" w:cs="宋体"/>
                <w:szCs w:val="21"/>
              </w:rPr>
            </w:pPr>
            <w:r>
              <w:rPr>
                <w:rFonts w:hint="eastAsia" w:ascii="宋体" w:hAnsi="宋体" w:cs="宋体"/>
                <w:szCs w:val="21"/>
              </w:rPr>
              <w:t>3.企业各种安全检查表应作为企业有效文件，并在实际应用中不断完善。</w:t>
            </w:r>
          </w:p>
        </w:tc>
        <w:tc>
          <w:tcPr>
            <w:tcW w:w="2268" w:type="dxa"/>
          </w:tcPr>
          <w:p>
            <w:pPr>
              <w:spacing w:line="280" w:lineRule="exact"/>
              <w:rPr>
                <w:rFonts w:ascii="宋体" w:hAnsi="宋体" w:cs="宋体"/>
                <w:szCs w:val="21"/>
              </w:rPr>
            </w:pPr>
            <w:r>
              <w:rPr>
                <w:rFonts w:hint="eastAsia" w:ascii="宋体" w:hAnsi="宋体" w:cs="宋体"/>
                <w:szCs w:val="21"/>
              </w:rPr>
              <w:t>1.明确各种安全检查表的编制单位、审核人、批准人；</w:t>
            </w:r>
          </w:p>
          <w:p>
            <w:pPr>
              <w:spacing w:line="280" w:lineRule="exact"/>
              <w:rPr>
                <w:rFonts w:ascii="宋体" w:hAnsi="宋体" w:cs="宋体"/>
                <w:szCs w:val="21"/>
              </w:rPr>
            </w:pPr>
            <w:r>
              <w:rPr>
                <w:rFonts w:hint="eastAsia" w:ascii="宋体" w:hAnsi="宋体" w:cs="宋体"/>
                <w:szCs w:val="21"/>
              </w:rPr>
              <w:t>2.每年评审修订各种安全检查表。</w:t>
            </w:r>
          </w:p>
        </w:tc>
        <w:tc>
          <w:tcPr>
            <w:tcW w:w="2268" w:type="dxa"/>
          </w:tcPr>
          <w:p>
            <w:pPr>
              <w:spacing w:line="280" w:lineRule="exact"/>
              <w:rPr>
                <w:rFonts w:ascii="宋体" w:hAnsi="宋体" w:cs="宋体"/>
                <w:szCs w:val="21"/>
              </w:rPr>
            </w:pPr>
            <w:r>
              <w:rPr>
                <w:rFonts w:hint="eastAsia" w:ascii="宋体" w:hAnsi="宋体" w:cs="宋体"/>
                <w:szCs w:val="21"/>
              </w:rPr>
              <w:t>查文件：</w:t>
            </w:r>
          </w:p>
          <w:p>
            <w:pPr>
              <w:spacing w:line="280" w:lineRule="exact"/>
              <w:rPr>
                <w:rFonts w:ascii="宋体" w:hAnsi="宋体" w:cs="宋体"/>
                <w:szCs w:val="21"/>
              </w:rPr>
            </w:pPr>
            <w:r>
              <w:rPr>
                <w:rFonts w:hint="eastAsia" w:ascii="宋体" w:hAnsi="宋体" w:cs="宋体"/>
                <w:szCs w:val="21"/>
              </w:rPr>
              <w:t>1.各种安全检查表；</w:t>
            </w:r>
          </w:p>
          <w:p>
            <w:pPr>
              <w:spacing w:line="280" w:lineRule="exact"/>
              <w:rPr>
                <w:rFonts w:ascii="宋体" w:hAnsi="宋体" w:cs="宋体"/>
                <w:szCs w:val="21"/>
              </w:rPr>
            </w:pPr>
            <w:r>
              <w:rPr>
                <w:rFonts w:hint="eastAsia" w:ascii="宋体" w:hAnsi="宋体" w:cs="宋体"/>
                <w:szCs w:val="21"/>
              </w:rPr>
              <w:t>2.检查表评审修订记录。</w:t>
            </w:r>
          </w:p>
        </w:tc>
        <w:tc>
          <w:tcPr>
            <w:tcW w:w="1701" w:type="dxa"/>
          </w:tcPr>
          <w:p>
            <w:pPr>
              <w:spacing w:line="280" w:lineRule="exact"/>
              <w:rPr>
                <w:rFonts w:ascii="宋体" w:hAnsi="宋体" w:cs="宋体"/>
                <w:szCs w:val="21"/>
              </w:rPr>
            </w:pPr>
          </w:p>
        </w:tc>
        <w:tc>
          <w:tcPr>
            <w:tcW w:w="2268" w:type="dxa"/>
          </w:tcPr>
          <w:p>
            <w:pPr>
              <w:spacing w:line="280" w:lineRule="exact"/>
              <w:rPr>
                <w:rFonts w:ascii="宋体" w:hAnsi="宋体" w:cs="宋体"/>
                <w:szCs w:val="21"/>
              </w:rPr>
            </w:pPr>
            <w:r>
              <w:rPr>
                <w:rFonts w:hint="eastAsia" w:ascii="宋体" w:hAnsi="宋体" w:cs="宋体"/>
                <w:szCs w:val="21"/>
              </w:rPr>
              <w:t>1.安全检查表缺少编制单位、审核人、批准人，一项不符合扣1分；</w:t>
            </w:r>
          </w:p>
          <w:p>
            <w:pPr>
              <w:spacing w:line="280" w:lineRule="exact"/>
              <w:rPr>
                <w:rFonts w:ascii="宋体" w:hAnsi="宋体" w:cs="宋体"/>
                <w:szCs w:val="21"/>
              </w:rPr>
            </w:pPr>
            <w:r>
              <w:rPr>
                <w:rFonts w:hint="eastAsia" w:ascii="宋体" w:hAnsi="宋体" w:cs="宋体"/>
                <w:szCs w:val="21"/>
              </w:rPr>
              <w:t>2.安全检查表未定期评审修订，扣2分。</w:t>
            </w:r>
          </w:p>
        </w:tc>
        <w:tc>
          <w:tcPr>
            <w:tcW w:w="1165" w:type="dxa"/>
            <w:vAlign w:val="center"/>
          </w:tcPr>
          <w:p>
            <w:pPr>
              <w:spacing w:line="280" w:lineRule="exact"/>
              <w:jc w:val="center"/>
              <w:rPr>
                <w:rFonts w:ascii="宋体" w:hAnsi="宋体" w:cs="宋体"/>
                <w:szCs w:val="21"/>
              </w:rPr>
            </w:pPr>
            <w:r>
              <w:rPr>
                <w:rFonts w:hint="eastAsia" w:ascii="宋体" w:hAnsi="宋体" w:cs="宋体"/>
                <w:szCs w:val="21"/>
              </w:rPr>
              <w:t>安全检查表未定期评审修订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771" w:type="dxa"/>
            <w:vMerge w:val="continue"/>
          </w:tcPr>
          <w:p>
            <w:pPr>
              <w:spacing w:line="280" w:lineRule="exact"/>
              <w:rPr>
                <w:rFonts w:ascii="宋体" w:hAnsi="宋体" w:cs="宋体"/>
                <w:b/>
                <w:bCs/>
                <w:szCs w:val="21"/>
              </w:rPr>
            </w:pPr>
          </w:p>
        </w:tc>
        <w:tc>
          <w:tcPr>
            <w:tcW w:w="709" w:type="dxa"/>
            <w:vMerge w:val="restart"/>
          </w:tcPr>
          <w:p>
            <w:pPr>
              <w:spacing w:line="280" w:lineRule="exact"/>
              <w:rPr>
                <w:rFonts w:ascii="宋体" w:hAnsi="宋体" w:cs="宋体"/>
                <w:b/>
                <w:bCs/>
                <w:szCs w:val="21"/>
              </w:rPr>
            </w:pPr>
            <w:r>
              <w:rPr>
                <w:rFonts w:hint="eastAsia" w:ascii="宋体" w:hAnsi="宋体" w:cs="宋体"/>
                <w:b/>
                <w:bCs/>
                <w:szCs w:val="21"/>
              </w:rPr>
              <w:t>11.2</w:t>
            </w:r>
          </w:p>
          <w:p>
            <w:pPr>
              <w:spacing w:line="280" w:lineRule="exact"/>
              <w:rPr>
                <w:rFonts w:ascii="宋体" w:hAnsi="宋体" w:cs="宋体"/>
                <w:b/>
                <w:bCs/>
                <w:szCs w:val="21"/>
              </w:rPr>
            </w:pPr>
            <w:r>
              <w:rPr>
                <w:rFonts w:hint="eastAsia" w:ascii="宋体" w:hAnsi="宋体" w:cs="宋体"/>
                <w:b/>
                <w:bCs/>
                <w:szCs w:val="21"/>
              </w:rPr>
              <w:t>安全检查形式与内容</w:t>
            </w:r>
          </w:p>
          <w:p>
            <w:pPr>
              <w:spacing w:line="280" w:lineRule="exact"/>
              <w:rPr>
                <w:rFonts w:ascii="宋体" w:hAnsi="宋体" w:cs="宋体"/>
                <w:b/>
                <w:bCs/>
                <w:szCs w:val="21"/>
              </w:rPr>
            </w:pPr>
            <w:r>
              <w:rPr>
                <w:rFonts w:hint="eastAsia" w:ascii="宋体" w:hAnsi="宋体" w:cs="宋体"/>
                <w:b/>
                <w:bCs/>
                <w:szCs w:val="21"/>
              </w:rPr>
              <w:t>（25分）</w:t>
            </w:r>
          </w:p>
          <w:p>
            <w:pPr>
              <w:spacing w:line="280" w:lineRule="exact"/>
              <w:rPr>
                <w:rFonts w:ascii="宋体" w:hAnsi="宋体" w:cs="宋体"/>
                <w:b/>
                <w:bCs/>
                <w:szCs w:val="21"/>
              </w:rPr>
            </w:pPr>
          </w:p>
        </w:tc>
        <w:tc>
          <w:tcPr>
            <w:tcW w:w="2409" w:type="dxa"/>
          </w:tcPr>
          <w:p>
            <w:pPr>
              <w:spacing w:line="280" w:lineRule="exact"/>
              <w:rPr>
                <w:rFonts w:ascii="宋体" w:hAnsi="宋体" w:cs="宋体"/>
                <w:szCs w:val="21"/>
              </w:rPr>
            </w:pPr>
            <w:r>
              <w:rPr>
                <w:rFonts w:hint="eastAsia" w:ascii="宋体" w:hAnsi="宋体" w:cs="宋体"/>
                <w:szCs w:val="21"/>
              </w:rPr>
              <w:t>1.企业应根据安全检查计划，开展综合性检查、专业性检查、季节性检查、日常检查和节假日检查；各种安全检查均应按相应的安全检查表逐项检查，建立安全检查台账，并与责任制挂钩。</w:t>
            </w:r>
          </w:p>
        </w:tc>
        <w:tc>
          <w:tcPr>
            <w:tcW w:w="2268" w:type="dxa"/>
          </w:tcPr>
          <w:p>
            <w:pPr>
              <w:spacing w:line="280" w:lineRule="exact"/>
              <w:rPr>
                <w:rFonts w:ascii="宋体" w:hAnsi="宋体" w:cs="宋体"/>
                <w:szCs w:val="21"/>
              </w:rPr>
            </w:pPr>
            <w:r>
              <w:rPr>
                <w:rFonts w:hint="eastAsia" w:ascii="宋体" w:hAnsi="宋体" w:cs="宋体"/>
                <w:szCs w:val="21"/>
              </w:rPr>
              <w:t>1.根据安全检查计划，按相应检查表开展各种安全检查；</w:t>
            </w:r>
          </w:p>
          <w:p>
            <w:pPr>
              <w:spacing w:line="280" w:lineRule="exact"/>
              <w:rPr>
                <w:rFonts w:ascii="宋体" w:hAnsi="宋体" w:cs="宋体"/>
                <w:szCs w:val="21"/>
              </w:rPr>
            </w:pPr>
            <w:r>
              <w:rPr>
                <w:rFonts w:hint="eastAsia" w:ascii="宋体" w:hAnsi="宋体" w:cs="宋体"/>
                <w:szCs w:val="21"/>
              </w:rPr>
              <w:t>2.建立安全检查台账；</w:t>
            </w:r>
          </w:p>
          <w:p>
            <w:pPr>
              <w:spacing w:line="280" w:lineRule="exact"/>
              <w:rPr>
                <w:rFonts w:ascii="宋体" w:hAnsi="宋体" w:cs="宋体"/>
                <w:szCs w:val="21"/>
              </w:rPr>
            </w:pPr>
            <w:r>
              <w:rPr>
                <w:rFonts w:hint="eastAsia" w:ascii="宋体" w:hAnsi="宋体" w:cs="宋体"/>
                <w:szCs w:val="21"/>
              </w:rPr>
              <w:t>3.检查结果与责任制挂钩。</w:t>
            </w:r>
          </w:p>
        </w:tc>
        <w:tc>
          <w:tcPr>
            <w:tcW w:w="2268" w:type="dxa"/>
          </w:tcPr>
          <w:p>
            <w:pPr>
              <w:spacing w:line="280" w:lineRule="exact"/>
              <w:rPr>
                <w:rFonts w:ascii="宋体" w:hAnsi="宋体" w:cs="宋体"/>
                <w:szCs w:val="21"/>
              </w:rPr>
            </w:pPr>
            <w:r>
              <w:rPr>
                <w:rFonts w:hint="eastAsia" w:ascii="宋体" w:hAnsi="宋体" w:cs="宋体"/>
                <w:szCs w:val="21"/>
              </w:rPr>
              <w:t>查文件：</w:t>
            </w:r>
          </w:p>
          <w:p>
            <w:pPr>
              <w:spacing w:line="280" w:lineRule="exact"/>
              <w:rPr>
                <w:rFonts w:ascii="宋体" w:hAnsi="宋体" w:cs="宋体"/>
                <w:szCs w:val="21"/>
              </w:rPr>
            </w:pPr>
            <w:r>
              <w:rPr>
                <w:rFonts w:hint="eastAsia" w:ascii="宋体" w:hAnsi="宋体" w:cs="宋体"/>
                <w:szCs w:val="21"/>
              </w:rPr>
              <w:t>1.安全检查台账；</w:t>
            </w:r>
          </w:p>
          <w:p>
            <w:pPr>
              <w:spacing w:line="280" w:lineRule="exact"/>
              <w:rPr>
                <w:rFonts w:ascii="宋体" w:hAnsi="宋体" w:cs="宋体"/>
                <w:szCs w:val="21"/>
              </w:rPr>
            </w:pPr>
            <w:r>
              <w:rPr>
                <w:rFonts w:hint="eastAsia" w:ascii="宋体" w:hAnsi="宋体" w:cs="宋体"/>
                <w:szCs w:val="21"/>
              </w:rPr>
              <w:t>2.检查考核记录。</w:t>
            </w:r>
          </w:p>
        </w:tc>
        <w:tc>
          <w:tcPr>
            <w:tcW w:w="1701" w:type="dxa"/>
          </w:tcPr>
          <w:p>
            <w:pPr>
              <w:spacing w:line="280" w:lineRule="exact"/>
              <w:rPr>
                <w:rFonts w:ascii="宋体" w:hAnsi="宋体" w:cs="宋体"/>
                <w:szCs w:val="21"/>
              </w:rPr>
            </w:pPr>
          </w:p>
        </w:tc>
        <w:tc>
          <w:tcPr>
            <w:tcW w:w="2268" w:type="dxa"/>
          </w:tcPr>
          <w:p>
            <w:pPr>
              <w:spacing w:line="280" w:lineRule="exact"/>
              <w:rPr>
                <w:rFonts w:ascii="宋体" w:hAnsi="宋体" w:cs="宋体"/>
                <w:szCs w:val="21"/>
              </w:rPr>
            </w:pPr>
            <w:r>
              <w:rPr>
                <w:rFonts w:hint="eastAsia" w:ascii="宋体" w:hAnsi="宋体" w:cs="宋体"/>
                <w:szCs w:val="21"/>
              </w:rPr>
              <w:t>1.未按规定开展安全检查，扣2分；</w:t>
            </w:r>
          </w:p>
          <w:p>
            <w:pPr>
              <w:spacing w:line="280" w:lineRule="exact"/>
              <w:rPr>
                <w:rFonts w:ascii="宋体" w:hAnsi="宋体" w:cs="宋体"/>
                <w:szCs w:val="21"/>
              </w:rPr>
            </w:pPr>
            <w:r>
              <w:rPr>
                <w:rFonts w:hint="eastAsia" w:ascii="宋体" w:hAnsi="宋体" w:cs="宋体"/>
                <w:szCs w:val="21"/>
              </w:rPr>
              <w:t>2.未建立安全检查台账，扣2分；内容一项不符合扣1分；</w:t>
            </w:r>
          </w:p>
          <w:p>
            <w:pPr>
              <w:spacing w:line="280" w:lineRule="exact"/>
              <w:rPr>
                <w:rFonts w:ascii="宋体" w:hAnsi="宋体" w:cs="宋体"/>
                <w:szCs w:val="21"/>
              </w:rPr>
            </w:pPr>
            <w:r>
              <w:rPr>
                <w:rFonts w:hint="eastAsia" w:ascii="宋体" w:hAnsi="宋体" w:cs="宋体"/>
                <w:szCs w:val="21"/>
              </w:rPr>
              <w:t>3.检查结果未与责任制挂钩，一项不符合扣1分。</w:t>
            </w:r>
          </w:p>
        </w:tc>
        <w:tc>
          <w:tcPr>
            <w:tcW w:w="1165" w:type="dxa"/>
            <w:vAlign w:val="center"/>
          </w:tcPr>
          <w:p>
            <w:pPr>
              <w:spacing w:line="280" w:lineRule="exact"/>
              <w:jc w:val="center"/>
              <w:rPr>
                <w:rFonts w:ascii="宋体" w:hAnsi="宋体" w:cs="宋体"/>
                <w:szCs w:val="21"/>
              </w:rPr>
            </w:pPr>
            <w:r>
              <w:rPr>
                <w:rFonts w:hint="eastAsia" w:ascii="宋体" w:hAnsi="宋体" w:cs="宋体"/>
                <w:szCs w:val="21"/>
              </w:rPr>
              <w:t>符合要求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771" w:type="dxa"/>
            <w:vMerge w:val="continue"/>
          </w:tcPr>
          <w:p>
            <w:pPr>
              <w:spacing w:line="280" w:lineRule="exact"/>
              <w:rPr>
                <w:rFonts w:ascii="宋体" w:hAnsi="宋体" w:cs="宋体"/>
                <w:b/>
                <w:bCs/>
                <w:szCs w:val="21"/>
              </w:rPr>
            </w:pPr>
          </w:p>
        </w:tc>
        <w:tc>
          <w:tcPr>
            <w:tcW w:w="709" w:type="dxa"/>
            <w:vMerge w:val="continue"/>
          </w:tcPr>
          <w:p>
            <w:pPr>
              <w:spacing w:line="280" w:lineRule="exact"/>
              <w:rPr>
                <w:rFonts w:ascii="宋体" w:hAnsi="宋体" w:cs="宋体"/>
                <w:b/>
                <w:bCs/>
                <w:szCs w:val="21"/>
              </w:rPr>
            </w:pPr>
          </w:p>
        </w:tc>
        <w:tc>
          <w:tcPr>
            <w:tcW w:w="2409" w:type="dxa"/>
          </w:tcPr>
          <w:p>
            <w:pPr>
              <w:spacing w:line="280" w:lineRule="exact"/>
              <w:rPr>
                <w:rFonts w:ascii="宋体" w:hAnsi="宋体" w:cs="宋体"/>
                <w:szCs w:val="21"/>
              </w:rPr>
            </w:pPr>
            <w:r>
              <w:rPr>
                <w:rFonts w:hint="eastAsia" w:ascii="宋体" w:hAnsi="宋体" w:cs="宋体"/>
                <w:szCs w:val="21"/>
              </w:rPr>
              <w:t>2.企业安全检查形式和内容应满足：</w:t>
            </w:r>
          </w:p>
          <w:p>
            <w:pPr>
              <w:spacing w:line="280" w:lineRule="exact"/>
              <w:rPr>
                <w:rFonts w:ascii="宋体" w:hAnsi="宋体" w:cs="宋体"/>
                <w:szCs w:val="21"/>
              </w:rPr>
            </w:pPr>
            <w:r>
              <w:rPr>
                <w:rFonts w:hint="eastAsia" w:ascii="宋体" w:hAnsi="宋体" w:cs="宋体"/>
                <w:szCs w:val="21"/>
              </w:rPr>
              <w:t>（1）综合性检查应由相应级别的负责人负责组织，以落实岗位安全责任制为重点，各专业共同参与的全面安全检查。厂级综合性安全检查每季度不少于1次，车间级综合性安全检查每月不少于1次；</w:t>
            </w:r>
          </w:p>
          <w:p>
            <w:pPr>
              <w:spacing w:line="280" w:lineRule="exact"/>
              <w:rPr>
                <w:rFonts w:ascii="宋体" w:hAnsi="宋体" w:cs="宋体"/>
                <w:szCs w:val="21"/>
              </w:rPr>
            </w:pPr>
            <w:r>
              <w:rPr>
                <w:rFonts w:hint="eastAsia" w:ascii="宋体" w:hAnsi="宋体" w:cs="宋体"/>
                <w:szCs w:val="21"/>
              </w:rPr>
              <w:t>（2）专业检查分别由各专业部门的负责人组织本系统人员进行，主要是对锅炉、压力容器、危险物品、电气装置、机械设备、构建筑物、安全装置、防火防爆、防尘防毒、监测仪器等进行专业检查。专业检查每半年不少于1次；</w:t>
            </w:r>
          </w:p>
          <w:p>
            <w:pPr>
              <w:spacing w:line="280" w:lineRule="exact"/>
              <w:rPr>
                <w:rFonts w:ascii="宋体" w:hAnsi="宋体" w:cs="宋体"/>
                <w:szCs w:val="21"/>
              </w:rPr>
            </w:pPr>
            <w:r>
              <w:rPr>
                <w:rFonts w:hint="eastAsia" w:ascii="宋体" w:hAnsi="宋体" w:cs="宋体"/>
                <w:szCs w:val="21"/>
              </w:rPr>
              <w:t>（3）季节性检查由各业务部门的负责人组织本系统相关人员进行，是根据当地各季节特点对防火防爆、防雨防汛、防雷电、防暑降温、防风及防冻保暖工作等进行预防性季节检查。</w:t>
            </w:r>
          </w:p>
          <w:p>
            <w:pPr>
              <w:spacing w:line="280" w:lineRule="exact"/>
              <w:rPr>
                <w:rFonts w:ascii="宋体" w:hAnsi="宋体" w:cs="宋体"/>
                <w:szCs w:val="21"/>
              </w:rPr>
            </w:pPr>
            <w:r>
              <w:rPr>
                <w:rFonts w:hint="eastAsia" w:ascii="宋体" w:hAnsi="宋体" w:cs="宋体"/>
                <w:szCs w:val="21"/>
              </w:rPr>
              <w:t>（4）日常检查分岗位操作人员巡回检查和管理人员日常检查。岗位操作人员应认真履行岗位安全生产责任制，进行交接班检查和班中巡回检查，各级管理人员应在各自的业务范围内进行日常检查；</w:t>
            </w:r>
          </w:p>
          <w:p>
            <w:pPr>
              <w:spacing w:line="280" w:lineRule="exact"/>
              <w:rPr>
                <w:rFonts w:ascii="宋体" w:hAnsi="宋体" w:cs="宋体"/>
                <w:szCs w:val="21"/>
              </w:rPr>
            </w:pPr>
            <w:r>
              <w:rPr>
                <w:rFonts w:hint="eastAsia" w:ascii="宋体" w:hAnsi="宋体" w:cs="宋体"/>
                <w:szCs w:val="21"/>
              </w:rPr>
              <w:t>（5）节假日检查主要是对节假日前安全、保卫、消防、生产物资准备、备用设备、应急预案等方面进行的检查。</w:t>
            </w:r>
          </w:p>
        </w:tc>
        <w:tc>
          <w:tcPr>
            <w:tcW w:w="2268" w:type="dxa"/>
          </w:tcPr>
          <w:p>
            <w:pPr>
              <w:spacing w:line="280" w:lineRule="exact"/>
              <w:rPr>
                <w:rFonts w:ascii="宋体" w:hAnsi="宋体" w:cs="宋体"/>
                <w:szCs w:val="21"/>
              </w:rPr>
            </w:pPr>
            <w:r>
              <w:rPr>
                <w:rFonts w:hint="eastAsia" w:ascii="宋体" w:hAnsi="宋体" w:cs="宋体"/>
                <w:szCs w:val="21"/>
              </w:rPr>
              <w:t>企业安全检查形式和内容应满足：</w:t>
            </w:r>
          </w:p>
          <w:p>
            <w:pPr>
              <w:spacing w:line="280" w:lineRule="exact"/>
              <w:rPr>
                <w:rFonts w:ascii="宋体" w:hAnsi="宋体" w:cs="宋体"/>
                <w:szCs w:val="21"/>
              </w:rPr>
            </w:pPr>
            <w:r>
              <w:rPr>
                <w:rFonts w:hint="eastAsia" w:ascii="宋体" w:hAnsi="宋体" w:cs="宋体"/>
                <w:szCs w:val="21"/>
              </w:rPr>
              <w:t>（1）综合性检查应由相应级别的负责人负责组织，以落实岗位安全责任制为重点，各专业共同参与的全面安全检查。厂级综合性安全检查每季度不少于1次，车间级综合性安全检查每月不少于1次；</w:t>
            </w:r>
          </w:p>
          <w:p>
            <w:pPr>
              <w:spacing w:line="280" w:lineRule="exact"/>
              <w:rPr>
                <w:rFonts w:ascii="宋体" w:hAnsi="宋体" w:cs="宋体"/>
                <w:szCs w:val="21"/>
              </w:rPr>
            </w:pPr>
            <w:r>
              <w:rPr>
                <w:rFonts w:hint="eastAsia" w:ascii="宋体" w:hAnsi="宋体" w:cs="宋体"/>
                <w:szCs w:val="21"/>
              </w:rPr>
              <w:t>（2）专业检查分别由各专业部门的负责人组织本系统人员进行，主要是对特种设备、危险物品、电气装置、机械设备、构建筑物、安全装置、防火防爆、防尘防毒、监测仪器等进行专业检查。专业检查每半年不少于1次；</w:t>
            </w:r>
          </w:p>
          <w:p>
            <w:pPr>
              <w:spacing w:line="280" w:lineRule="exact"/>
              <w:rPr>
                <w:rFonts w:ascii="宋体" w:hAnsi="宋体" w:cs="宋体"/>
                <w:szCs w:val="21"/>
              </w:rPr>
            </w:pPr>
            <w:r>
              <w:rPr>
                <w:rFonts w:hint="eastAsia" w:ascii="宋体" w:hAnsi="宋体" w:cs="宋体"/>
                <w:szCs w:val="21"/>
              </w:rPr>
              <w:t>（3）季节性检查由各业务部门的负责人组织本系统相关人员进行，是根据当地各季节特点对防火防爆、防雨防汛、防雷电、防暑降温、防风及防冻保暖工作等进行预防性季节检查；</w:t>
            </w:r>
          </w:p>
          <w:p>
            <w:pPr>
              <w:spacing w:line="280" w:lineRule="exact"/>
              <w:rPr>
                <w:rFonts w:ascii="宋体" w:hAnsi="宋体" w:cs="宋体"/>
                <w:szCs w:val="21"/>
              </w:rPr>
            </w:pPr>
            <w:r>
              <w:rPr>
                <w:rFonts w:hint="eastAsia" w:ascii="宋体" w:hAnsi="宋体" w:cs="宋体"/>
                <w:szCs w:val="21"/>
              </w:rPr>
              <w:t>（4）日常检查分岗位操作人员巡回检查和管理人员日常检查。岗位操作人员应认真履行岗位安全生产责任制，进行交接班检查和班中巡回检查，各级管理人员应在各自的业务范围内进行日常检查；</w:t>
            </w:r>
          </w:p>
          <w:p>
            <w:pPr>
              <w:spacing w:line="280" w:lineRule="exact"/>
              <w:rPr>
                <w:rFonts w:ascii="宋体" w:hAnsi="宋体" w:cs="宋体"/>
                <w:szCs w:val="21"/>
              </w:rPr>
            </w:pPr>
            <w:r>
              <w:rPr>
                <w:rFonts w:hint="eastAsia" w:ascii="宋体" w:hAnsi="宋体" w:cs="宋体"/>
                <w:szCs w:val="21"/>
              </w:rPr>
              <w:t>（5）节假日检查主要是对节假日前安全、保卫、消防、生产物资准备、备用设备、应急预案等方面进行的检查。</w:t>
            </w:r>
          </w:p>
        </w:tc>
        <w:tc>
          <w:tcPr>
            <w:tcW w:w="2268" w:type="dxa"/>
          </w:tcPr>
          <w:p>
            <w:pPr>
              <w:spacing w:line="280" w:lineRule="exact"/>
              <w:rPr>
                <w:rFonts w:ascii="宋体" w:hAnsi="宋体" w:cs="宋体"/>
                <w:szCs w:val="21"/>
              </w:rPr>
            </w:pPr>
            <w:r>
              <w:rPr>
                <w:rFonts w:hint="eastAsia" w:ascii="宋体" w:hAnsi="宋体" w:cs="宋体"/>
                <w:szCs w:val="21"/>
              </w:rPr>
              <w:t>查文件：</w:t>
            </w:r>
          </w:p>
          <w:p>
            <w:pPr>
              <w:spacing w:line="280" w:lineRule="exact"/>
              <w:rPr>
                <w:rFonts w:ascii="宋体" w:hAnsi="宋体" w:cs="宋体"/>
                <w:szCs w:val="21"/>
              </w:rPr>
            </w:pPr>
            <w:r>
              <w:rPr>
                <w:rFonts w:hint="eastAsia" w:ascii="宋体" w:hAnsi="宋体" w:cs="宋体"/>
                <w:szCs w:val="21"/>
              </w:rPr>
              <w:t>各种安全检查记录。</w:t>
            </w:r>
          </w:p>
        </w:tc>
        <w:tc>
          <w:tcPr>
            <w:tcW w:w="1701" w:type="dxa"/>
          </w:tcPr>
          <w:p>
            <w:pPr>
              <w:spacing w:line="280" w:lineRule="exact"/>
              <w:rPr>
                <w:rFonts w:ascii="宋体" w:hAnsi="宋体" w:cs="宋体"/>
                <w:szCs w:val="21"/>
              </w:rPr>
            </w:pPr>
          </w:p>
        </w:tc>
        <w:tc>
          <w:tcPr>
            <w:tcW w:w="2268" w:type="dxa"/>
          </w:tcPr>
          <w:p>
            <w:pPr>
              <w:spacing w:line="280" w:lineRule="exact"/>
              <w:rPr>
                <w:rFonts w:ascii="宋体" w:hAnsi="宋体" w:cs="宋体"/>
                <w:szCs w:val="21"/>
              </w:rPr>
            </w:pPr>
            <w:r>
              <w:rPr>
                <w:rFonts w:hint="eastAsia" w:ascii="宋体" w:hAnsi="宋体" w:cs="宋体"/>
                <w:szCs w:val="21"/>
              </w:rPr>
              <w:t>各种安全检查不符合标准要求，一项扣2分。</w:t>
            </w:r>
          </w:p>
        </w:tc>
        <w:tc>
          <w:tcPr>
            <w:tcW w:w="1165" w:type="dxa"/>
            <w:vAlign w:val="center"/>
          </w:tcPr>
          <w:p>
            <w:pPr>
              <w:spacing w:line="280" w:lineRule="exact"/>
              <w:jc w:val="center"/>
              <w:rPr>
                <w:rFonts w:ascii="宋体" w:hAnsi="宋体" w:cs="宋体"/>
                <w:szCs w:val="21"/>
              </w:rPr>
            </w:pPr>
            <w:r>
              <w:rPr>
                <w:rFonts w:hint="eastAsia" w:ascii="宋体" w:hAnsi="宋体" w:cs="宋体"/>
                <w:szCs w:val="21"/>
              </w:rPr>
              <w:t>符合要求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771" w:type="dxa"/>
            <w:vMerge w:val="continue"/>
          </w:tcPr>
          <w:p>
            <w:pPr>
              <w:spacing w:line="280" w:lineRule="exact"/>
              <w:rPr>
                <w:rFonts w:ascii="宋体" w:hAnsi="宋体" w:cs="宋体"/>
                <w:b/>
                <w:bCs/>
                <w:szCs w:val="21"/>
              </w:rPr>
            </w:pPr>
          </w:p>
        </w:tc>
        <w:tc>
          <w:tcPr>
            <w:tcW w:w="709" w:type="dxa"/>
            <w:vMerge w:val="restart"/>
          </w:tcPr>
          <w:p>
            <w:pPr>
              <w:spacing w:line="280" w:lineRule="exact"/>
              <w:rPr>
                <w:rFonts w:ascii="宋体" w:hAnsi="宋体" w:cs="宋体"/>
                <w:b/>
                <w:bCs/>
                <w:szCs w:val="21"/>
              </w:rPr>
            </w:pPr>
            <w:r>
              <w:rPr>
                <w:rFonts w:hint="eastAsia" w:ascii="宋体" w:hAnsi="宋体" w:cs="宋体"/>
                <w:b/>
                <w:bCs/>
                <w:szCs w:val="21"/>
              </w:rPr>
              <w:t>11.3</w:t>
            </w:r>
          </w:p>
          <w:p>
            <w:pPr>
              <w:spacing w:line="280" w:lineRule="exact"/>
              <w:rPr>
                <w:rFonts w:ascii="宋体" w:hAnsi="宋体" w:cs="宋体"/>
                <w:b/>
                <w:bCs/>
                <w:szCs w:val="21"/>
              </w:rPr>
            </w:pPr>
            <w:r>
              <w:rPr>
                <w:rFonts w:hint="eastAsia" w:ascii="宋体" w:hAnsi="宋体" w:cs="宋体"/>
                <w:b/>
                <w:bCs/>
                <w:szCs w:val="21"/>
              </w:rPr>
              <w:t>整改</w:t>
            </w:r>
          </w:p>
          <w:p>
            <w:pPr>
              <w:spacing w:line="280" w:lineRule="exact"/>
              <w:rPr>
                <w:rFonts w:ascii="宋体" w:hAnsi="宋体" w:cs="宋体"/>
                <w:b/>
                <w:bCs/>
                <w:szCs w:val="21"/>
              </w:rPr>
            </w:pPr>
            <w:r>
              <w:rPr>
                <w:rFonts w:hint="eastAsia" w:ascii="宋体" w:hAnsi="宋体" w:cs="宋体"/>
                <w:b/>
                <w:bCs/>
                <w:szCs w:val="21"/>
              </w:rPr>
              <w:t>（20分）</w:t>
            </w:r>
          </w:p>
          <w:p>
            <w:pPr>
              <w:spacing w:line="280" w:lineRule="exact"/>
              <w:rPr>
                <w:rFonts w:ascii="宋体" w:hAnsi="宋体" w:cs="宋体"/>
                <w:b/>
                <w:bCs/>
                <w:szCs w:val="21"/>
              </w:rPr>
            </w:pPr>
          </w:p>
        </w:tc>
        <w:tc>
          <w:tcPr>
            <w:tcW w:w="2409" w:type="dxa"/>
          </w:tcPr>
          <w:p>
            <w:pPr>
              <w:spacing w:line="280" w:lineRule="exact"/>
              <w:rPr>
                <w:rFonts w:ascii="宋体" w:hAnsi="宋体" w:cs="宋体"/>
                <w:szCs w:val="21"/>
              </w:rPr>
            </w:pPr>
            <w:r>
              <w:rPr>
                <w:rFonts w:hint="eastAsia" w:ascii="宋体" w:hAnsi="宋体" w:cs="宋体"/>
                <w:szCs w:val="21"/>
              </w:rPr>
              <w:t>1.企业应对安全检查所查出的问题进行原因分析，制定整改措施，落实整改时间、责任人，并对整改情况进行验证，保存相应记录。</w:t>
            </w:r>
          </w:p>
        </w:tc>
        <w:tc>
          <w:tcPr>
            <w:tcW w:w="2268" w:type="dxa"/>
          </w:tcPr>
          <w:p>
            <w:pPr>
              <w:spacing w:line="280" w:lineRule="exact"/>
              <w:rPr>
                <w:rFonts w:ascii="宋体" w:hAnsi="宋体" w:cs="宋体"/>
                <w:szCs w:val="21"/>
              </w:rPr>
            </w:pPr>
            <w:r>
              <w:rPr>
                <w:rFonts w:hint="eastAsia" w:ascii="宋体" w:hAnsi="宋体" w:cs="宋体"/>
                <w:szCs w:val="21"/>
              </w:rPr>
              <w:t>1.对检查出的问题进行原因分析，及时进行整改；</w:t>
            </w:r>
          </w:p>
          <w:p>
            <w:pPr>
              <w:spacing w:line="280" w:lineRule="exact"/>
              <w:rPr>
                <w:rFonts w:ascii="宋体" w:hAnsi="宋体" w:cs="宋体"/>
                <w:szCs w:val="21"/>
              </w:rPr>
            </w:pPr>
            <w:r>
              <w:rPr>
                <w:rFonts w:hint="eastAsia" w:ascii="宋体" w:hAnsi="宋体" w:cs="宋体"/>
                <w:szCs w:val="21"/>
              </w:rPr>
              <w:t>2.对整改情况进行验证；</w:t>
            </w:r>
          </w:p>
          <w:p>
            <w:pPr>
              <w:spacing w:line="280" w:lineRule="exact"/>
              <w:rPr>
                <w:rFonts w:ascii="宋体" w:hAnsi="宋体" w:cs="宋体"/>
                <w:szCs w:val="21"/>
              </w:rPr>
            </w:pPr>
            <w:r>
              <w:rPr>
                <w:rFonts w:hint="eastAsia" w:ascii="宋体" w:hAnsi="宋体" w:cs="宋体"/>
                <w:szCs w:val="21"/>
              </w:rPr>
              <w:t>3.保存检查、整改和验证等相关记录。</w:t>
            </w:r>
          </w:p>
        </w:tc>
        <w:tc>
          <w:tcPr>
            <w:tcW w:w="2268" w:type="dxa"/>
          </w:tcPr>
          <w:p>
            <w:pPr>
              <w:spacing w:line="280" w:lineRule="exact"/>
              <w:rPr>
                <w:rFonts w:ascii="宋体" w:hAnsi="宋体" w:cs="宋体"/>
                <w:szCs w:val="21"/>
              </w:rPr>
            </w:pPr>
            <w:r>
              <w:rPr>
                <w:rFonts w:hint="eastAsia" w:ascii="宋体" w:hAnsi="宋体" w:cs="宋体"/>
                <w:szCs w:val="21"/>
              </w:rPr>
              <w:t>查文件：</w:t>
            </w:r>
          </w:p>
          <w:p>
            <w:pPr>
              <w:spacing w:line="280" w:lineRule="exact"/>
              <w:rPr>
                <w:rFonts w:ascii="宋体" w:hAnsi="宋体" w:cs="宋体"/>
                <w:szCs w:val="21"/>
              </w:rPr>
            </w:pPr>
            <w:r>
              <w:rPr>
                <w:rFonts w:hint="eastAsia" w:ascii="宋体" w:hAnsi="宋体" w:cs="宋体"/>
                <w:szCs w:val="21"/>
              </w:rPr>
              <w:t>1.安全检查台账；</w:t>
            </w:r>
          </w:p>
          <w:p>
            <w:pPr>
              <w:spacing w:line="280" w:lineRule="exact"/>
              <w:rPr>
                <w:rFonts w:ascii="宋体" w:hAnsi="宋体" w:cs="宋体"/>
                <w:szCs w:val="21"/>
              </w:rPr>
            </w:pPr>
            <w:r>
              <w:rPr>
                <w:rFonts w:hint="eastAsia" w:ascii="宋体" w:hAnsi="宋体" w:cs="宋体"/>
                <w:szCs w:val="21"/>
              </w:rPr>
              <w:t>2.检查问题整改记录。</w:t>
            </w:r>
          </w:p>
        </w:tc>
        <w:tc>
          <w:tcPr>
            <w:tcW w:w="1701" w:type="dxa"/>
          </w:tcPr>
          <w:p>
            <w:pPr>
              <w:spacing w:line="280" w:lineRule="exact"/>
              <w:rPr>
                <w:rFonts w:ascii="宋体" w:hAnsi="宋体" w:cs="宋体"/>
                <w:szCs w:val="21"/>
              </w:rPr>
            </w:pPr>
          </w:p>
        </w:tc>
        <w:tc>
          <w:tcPr>
            <w:tcW w:w="2268" w:type="dxa"/>
          </w:tcPr>
          <w:p>
            <w:pPr>
              <w:spacing w:line="280" w:lineRule="exact"/>
              <w:rPr>
                <w:rFonts w:ascii="宋体" w:hAnsi="宋体" w:cs="宋体"/>
                <w:szCs w:val="21"/>
              </w:rPr>
            </w:pPr>
            <w:r>
              <w:rPr>
                <w:rFonts w:hint="eastAsia" w:ascii="宋体" w:hAnsi="宋体" w:cs="宋体"/>
                <w:szCs w:val="21"/>
              </w:rPr>
              <w:t>1.未对安全检查所查出的问题进行原因分析，一项扣1分；</w:t>
            </w:r>
          </w:p>
          <w:p>
            <w:pPr>
              <w:spacing w:line="280" w:lineRule="exact"/>
              <w:rPr>
                <w:rFonts w:ascii="宋体" w:hAnsi="宋体" w:cs="宋体"/>
                <w:szCs w:val="21"/>
              </w:rPr>
            </w:pPr>
            <w:r>
              <w:rPr>
                <w:rFonts w:hint="eastAsia" w:ascii="宋体" w:hAnsi="宋体" w:cs="宋体"/>
                <w:szCs w:val="21"/>
              </w:rPr>
              <w:t>2.未对安全检查所查出的问题进行整改，一项扣2分；</w:t>
            </w:r>
          </w:p>
          <w:p>
            <w:pPr>
              <w:spacing w:line="280" w:lineRule="exact"/>
              <w:rPr>
                <w:rFonts w:ascii="宋体" w:hAnsi="宋体" w:cs="宋体"/>
                <w:szCs w:val="21"/>
              </w:rPr>
            </w:pPr>
            <w:r>
              <w:rPr>
                <w:rFonts w:hint="eastAsia" w:ascii="宋体" w:hAnsi="宋体" w:cs="宋体"/>
                <w:szCs w:val="21"/>
              </w:rPr>
              <w:t>3.未对整改情况进行验证，一项扣2分；</w:t>
            </w:r>
          </w:p>
          <w:p>
            <w:pPr>
              <w:spacing w:line="280" w:lineRule="exact"/>
              <w:rPr>
                <w:rFonts w:ascii="宋体" w:hAnsi="宋体" w:cs="宋体"/>
                <w:szCs w:val="21"/>
              </w:rPr>
            </w:pPr>
            <w:r>
              <w:rPr>
                <w:rFonts w:hint="eastAsia" w:ascii="宋体" w:hAnsi="宋体" w:cs="宋体"/>
                <w:szCs w:val="21"/>
              </w:rPr>
              <w:t>4.未保存相应记录，一项扣2分。</w:t>
            </w:r>
          </w:p>
        </w:tc>
        <w:tc>
          <w:tcPr>
            <w:tcW w:w="1165" w:type="dxa"/>
            <w:vAlign w:val="center"/>
          </w:tcPr>
          <w:p>
            <w:pPr>
              <w:spacing w:line="280" w:lineRule="exact"/>
              <w:jc w:val="center"/>
              <w:rPr>
                <w:rFonts w:ascii="宋体" w:hAnsi="宋体" w:cs="宋体"/>
                <w:szCs w:val="21"/>
              </w:rPr>
            </w:pPr>
            <w:r>
              <w:rPr>
                <w:rFonts w:hint="eastAsia" w:ascii="宋体" w:hAnsi="宋体" w:cs="宋体"/>
                <w:szCs w:val="21"/>
              </w:rPr>
              <w:t>符合要求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771" w:type="dxa"/>
            <w:vMerge w:val="continue"/>
          </w:tcPr>
          <w:p>
            <w:pPr>
              <w:spacing w:line="280" w:lineRule="exact"/>
              <w:rPr>
                <w:rFonts w:ascii="宋体" w:hAnsi="宋体" w:cs="宋体"/>
                <w:b/>
                <w:bCs/>
                <w:szCs w:val="21"/>
              </w:rPr>
            </w:pPr>
          </w:p>
        </w:tc>
        <w:tc>
          <w:tcPr>
            <w:tcW w:w="709" w:type="dxa"/>
            <w:vMerge w:val="continue"/>
          </w:tcPr>
          <w:p>
            <w:pPr>
              <w:spacing w:line="280" w:lineRule="exact"/>
              <w:rPr>
                <w:rFonts w:ascii="宋体" w:hAnsi="宋体" w:cs="宋体"/>
                <w:b/>
                <w:bCs/>
                <w:szCs w:val="21"/>
              </w:rPr>
            </w:pPr>
          </w:p>
        </w:tc>
        <w:tc>
          <w:tcPr>
            <w:tcW w:w="2409" w:type="dxa"/>
          </w:tcPr>
          <w:p>
            <w:pPr>
              <w:spacing w:line="280" w:lineRule="exact"/>
              <w:rPr>
                <w:rFonts w:ascii="宋体" w:hAnsi="宋体" w:cs="宋体"/>
                <w:szCs w:val="21"/>
              </w:rPr>
            </w:pPr>
            <w:r>
              <w:rPr>
                <w:rFonts w:hint="eastAsia" w:ascii="宋体" w:hAnsi="宋体" w:cs="宋体"/>
                <w:szCs w:val="21"/>
              </w:rPr>
              <w:t>2.企业各种检查的主管部门应对各级组织和人员检查出的问题和整改情况定期进行检查。</w:t>
            </w:r>
          </w:p>
        </w:tc>
        <w:tc>
          <w:tcPr>
            <w:tcW w:w="2268" w:type="dxa"/>
          </w:tcPr>
          <w:p>
            <w:pPr>
              <w:spacing w:line="280" w:lineRule="exact"/>
              <w:rPr>
                <w:rFonts w:ascii="宋体" w:hAnsi="宋体" w:cs="宋体"/>
                <w:szCs w:val="21"/>
              </w:rPr>
            </w:pPr>
            <w:r>
              <w:rPr>
                <w:rFonts w:hint="eastAsia" w:ascii="宋体" w:hAnsi="宋体" w:cs="宋体"/>
                <w:szCs w:val="21"/>
              </w:rPr>
              <w:t>各种检查的主管部门对各级组织检查出的问题和整改情况定期检查。</w:t>
            </w:r>
          </w:p>
        </w:tc>
        <w:tc>
          <w:tcPr>
            <w:tcW w:w="2268" w:type="dxa"/>
          </w:tcPr>
          <w:p>
            <w:pPr>
              <w:spacing w:line="280" w:lineRule="exact"/>
              <w:rPr>
                <w:rFonts w:ascii="宋体" w:hAnsi="宋体" w:cs="宋体"/>
                <w:szCs w:val="21"/>
              </w:rPr>
            </w:pPr>
            <w:r>
              <w:rPr>
                <w:rFonts w:hint="eastAsia" w:ascii="宋体" w:hAnsi="宋体" w:cs="宋体"/>
                <w:szCs w:val="21"/>
              </w:rPr>
              <w:t>查文件：</w:t>
            </w:r>
          </w:p>
          <w:p>
            <w:pPr>
              <w:spacing w:line="280" w:lineRule="exact"/>
              <w:rPr>
                <w:rFonts w:ascii="宋体" w:hAnsi="宋体" w:cs="宋体"/>
                <w:szCs w:val="21"/>
              </w:rPr>
            </w:pPr>
            <w:r>
              <w:rPr>
                <w:rFonts w:hint="eastAsia" w:ascii="宋体" w:hAnsi="宋体" w:cs="宋体"/>
                <w:szCs w:val="21"/>
              </w:rPr>
              <w:t>检查记录。</w:t>
            </w:r>
          </w:p>
        </w:tc>
        <w:tc>
          <w:tcPr>
            <w:tcW w:w="1701" w:type="dxa"/>
          </w:tcPr>
          <w:p>
            <w:pPr>
              <w:spacing w:line="280" w:lineRule="exact"/>
              <w:rPr>
                <w:rFonts w:ascii="宋体" w:hAnsi="宋体" w:cs="宋体"/>
                <w:szCs w:val="21"/>
              </w:rPr>
            </w:pPr>
          </w:p>
        </w:tc>
        <w:tc>
          <w:tcPr>
            <w:tcW w:w="2268" w:type="dxa"/>
          </w:tcPr>
          <w:p>
            <w:pPr>
              <w:spacing w:line="280" w:lineRule="exact"/>
              <w:rPr>
                <w:rFonts w:ascii="宋体" w:hAnsi="宋体" w:cs="宋体"/>
                <w:szCs w:val="21"/>
              </w:rPr>
            </w:pPr>
            <w:r>
              <w:rPr>
                <w:rFonts w:hint="eastAsia" w:ascii="宋体" w:hAnsi="宋体" w:cs="宋体"/>
                <w:szCs w:val="21"/>
              </w:rPr>
              <w:t>未对检查出的问题和整改情况定期检查，扣4分。</w:t>
            </w:r>
          </w:p>
          <w:p>
            <w:pPr>
              <w:spacing w:line="280" w:lineRule="exact"/>
              <w:rPr>
                <w:rFonts w:ascii="宋体" w:hAnsi="宋体" w:cs="宋体"/>
                <w:szCs w:val="21"/>
              </w:rPr>
            </w:pPr>
          </w:p>
        </w:tc>
        <w:tc>
          <w:tcPr>
            <w:tcW w:w="1165" w:type="dxa"/>
            <w:vAlign w:val="center"/>
          </w:tcPr>
          <w:p>
            <w:pPr>
              <w:spacing w:line="280" w:lineRule="exact"/>
              <w:jc w:val="center"/>
              <w:rPr>
                <w:rFonts w:ascii="宋体" w:hAnsi="宋体" w:cs="宋体"/>
                <w:szCs w:val="21"/>
              </w:rPr>
            </w:pPr>
            <w:r>
              <w:rPr>
                <w:rFonts w:hint="eastAsia" w:ascii="宋体" w:hAnsi="宋体" w:cs="宋体"/>
                <w:szCs w:val="21"/>
              </w:rPr>
              <w:t>符合要求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5" w:hRule="atLeast"/>
          <w:jc w:val="center"/>
        </w:trPr>
        <w:tc>
          <w:tcPr>
            <w:tcW w:w="771" w:type="dxa"/>
            <w:vMerge w:val="continue"/>
          </w:tcPr>
          <w:p>
            <w:pPr>
              <w:spacing w:line="280" w:lineRule="exact"/>
              <w:rPr>
                <w:rFonts w:ascii="宋体" w:hAnsi="宋体" w:cs="宋体"/>
                <w:b/>
                <w:bCs/>
                <w:szCs w:val="21"/>
              </w:rPr>
            </w:pPr>
          </w:p>
        </w:tc>
        <w:tc>
          <w:tcPr>
            <w:tcW w:w="709" w:type="dxa"/>
          </w:tcPr>
          <w:p>
            <w:pPr>
              <w:spacing w:line="280" w:lineRule="exact"/>
              <w:rPr>
                <w:rFonts w:ascii="宋体" w:hAnsi="宋体" w:cs="宋体"/>
                <w:b/>
                <w:bCs/>
                <w:szCs w:val="21"/>
              </w:rPr>
            </w:pPr>
            <w:r>
              <w:rPr>
                <w:rFonts w:hint="eastAsia" w:ascii="宋体" w:hAnsi="宋体" w:cs="宋体"/>
                <w:b/>
                <w:bCs/>
                <w:szCs w:val="21"/>
              </w:rPr>
              <w:t>11.4</w:t>
            </w:r>
          </w:p>
          <w:p>
            <w:pPr>
              <w:spacing w:line="280" w:lineRule="exact"/>
              <w:rPr>
                <w:rFonts w:ascii="宋体" w:hAnsi="宋体" w:cs="宋体"/>
                <w:b/>
                <w:bCs/>
                <w:szCs w:val="21"/>
              </w:rPr>
            </w:pPr>
            <w:r>
              <w:rPr>
                <w:rFonts w:hint="eastAsia" w:ascii="宋体" w:hAnsi="宋体" w:cs="宋体"/>
                <w:b/>
                <w:bCs/>
                <w:szCs w:val="21"/>
              </w:rPr>
              <w:t>自评</w:t>
            </w:r>
          </w:p>
          <w:p>
            <w:pPr>
              <w:spacing w:line="280" w:lineRule="exact"/>
              <w:rPr>
                <w:rFonts w:ascii="宋体" w:hAnsi="宋体" w:cs="宋体"/>
                <w:b/>
                <w:bCs/>
                <w:szCs w:val="21"/>
              </w:rPr>
            </w:pPr>
            <w:r>
              <w:rPr>
                <w:rFonts w:hint="eastAsia" w:ascii="宋体" w:hAnsi="宋体" w:cs="宋体"/>
                <w:b/>
                <w:bCs/>
                <w:szCs w:val="21"/>
              </w:rPr>
              <w:t>（30分）</w:t>
            </w:r>
          </w:p>
        </w:tc>
        <w:tc>
          <w:tcPr>
            <w:tcW w:w="2409" w:type="dxa"/>
          </w:tcPr>
          <w:p>
            <w:pPr>
              <w:spacing w:line="280" w:lineRule="exact"/>
              <w:rPr>
                <w:rFonts w:ascii="宋体" w:hAnsi="宋体" w:cs="宋体"/>
                <w:szCs w:val="21"/>
              </w:rPr>
            </w:pPr>
            <w:r>
              <w:rPr>
                <w:rFonts w:hint="eastAsia" w:ascii="宋体" w:hAnsi="宋体" w:cs="宋体"/>
                <w:szCs w:val="21"/>
              </w:rPr>
              <w:t>企业应每年至少1次对安全标准化运行进行自评，提出进一步完善安全标准化的计划和措施。</w:t>
            </w:r>
          </w:p>
        </w:tc>
        <w:tc>
          <w:tcPr>
            <w:tcW w:w="2268" w:type="dxa"/>
          </w:tcPr>
          <w:p>
            <w:pPr>
              <w:spacing w:line="280" w:lineRule="exact"/>
              <w:rPr>
                <w:rFonts w:ascii="宋体" w:hAnsi="宋体" w:cs="宋体"/>
                <w:szCs w:val="21"/>
              </w:rPr>
            </w:pPr>
            <w:r>
              <w:rPr>
                <w:rFonts w:hint="eastAsia" w:ascii="宋体" w:hAnsi="宋体" w:cs="宋体"/>
                <w:szCs w:val="21"/>
              </w:rPr>
              <w:t>1.明确自评时间；</w:t>
            </w:r>
          </w:p>
          <w:p>
            <w:pPr>
              <w:spacing w:line="280" w:lineRule="exact"/>
              <w:rPr>
                <w:rFonts w:ascii="宋体" w:hAnsi="宋体" w:cs="宋体"/>
                <w:szCs w:val="21"/>
              </w:rPr>
            </w:pPr>
            <w:r>
              <w:rPr>
                <w:rFonts w:hint="eastAsia" w:ascii="宋体" w:hAnsi="宋体" w:cs="宋体"/>
                <w:szCs w:val="21"/>
              </w:rPr>
              <w:t>2.制定自评计划；</w:t>
            </w:r>
          </w:p>
          <w:p>
            <w:pPr>
              <w:spacing w:line="280" w:lineRule="exact"/>
              <w:rPr>
                <w:rFonts w:ascii="宋体" w:hAnsi="宋体" w:cs="宋体"/>
                <w:szCs w:val="21"/>
              </w:rPr>
            </w:pPr>
            <w:r>
              <w:rPr>
                <w:rFonts w:hint="eastAsia" w:ascii="宋体" w:hAnsi="宋体" w:cs="宋体"/>
                <w:szCs w:val="21"/>
              </w:rPr>
              <w:t>3.编制自评检查表；</w:t>
            </w:r>
          </w:p>
          <w:p>
            <w:pPr>
              <w:spacing w:line="280" w:lineRule="exact"/>
              <w:rPr>
                <w:rFonts w:ascii="宋体" w:hAnsi="宋体" w:cs="宋体"/>
                <w:szCs w:val="21"/>
              </w:rPr>
            </w:pPr>
            <w:r>
              <w:rPr>
                <w:rFonts w:hint="eastAsia" w:ascii="宋体" w:hAnsi="宋体" w:cs="宋体"/>
                <w:szCs w:val="21"/>
              </w:rPr>
              <w:t>4.建立自评组织；</w:t>
            </w:r>
          </w:p>
          <w:p>
            <w:pPr>
              <w:spacing w:line="280" w:lineRule="exact"/>
              <w:rPr>
                <w:rFonts w:ascii="宋体" w:hAnsi="宋体" w:cs="宋体"/>
                <w:szCs w:val="21"/>
              </w:rPr>
            </w:pPr>
            <w:r>
              <w:rPr>
                <w:rFonts w:hint="eastAsia" w:ascii="宋体" w:hAnsi="宋体" w:cs="宋体"/>
                <w:szCs w:val="21"/>
              </w:rPr>
              <w:t>5.每年至少1次进行安全标准化自评；</w:t>
            </w:r>
          </w:p>
          <w:p>
            <w:pPr>
              <w:spacing w:line="280" w:lineRule="exact"/>
              <w:rPr>
                <w:rFonts w:ascii="宋体" w:hAnsi="宋体" w:cs="宋体"/>
                <w:szCs w:val="21"/>
              </w:rPr>
            </w:pPr>
            <w:r>
              <w:rPr>
                <w:rFonts w:hint="eastAsia" w:ascii="宋体" w:hAnsi="宋体" w:cs="宋体"/>
                <w:szCs w:val="21"/>
              </w:rPr>
              <w:t>6.编制自评报告；</w:t>
            </w:r>
          </w:p>
          <w:p>
            <w:pPr>
              <w:spacing w:line="280" w:lineRule="exact"/>
              <w:rPr>
                <w:rFonts w:ascii="宋体" w:hAnsi="宋体" w:cs="宋体"/>
                <w:szCs w:val="21"/>
              </w:rPr>
            </w:pPr>
            <w:r>
              <w:rPr>
                <w:rFonts w:hint="eastAsia" w:ascii="宋体" w:hAnsi="宋体" w:cs="宋体"/>
                <w:szCs w:val="21"/>
              </w:rPr>
              <w:t>7.提出进一步完善的计划和措施；</w:t>
            </w:r>
          </w:p>
          <w:p>
            <w:pPr>
              <w:spacing w:line="280" w:lineRule="exact"/>
              <w:rPr>
                <w:rFonts w:ascii="宋体" w:hAnsi="宋体" w:cs="宋体"/>
                <w:szCs w:val="21"/>
              </w:rPr>
            </w:pPr>
            <w:r>
              <w:rPr>
                <w:rFonts w:hint="eastAsia" w:ascii="宋体" w:hAnsi="宋体" w:cs="宋体"/>
                <w:szCs w:val="21"/>
              </w:rPr>
              <w:t>8.对自评有关资料存档管理。</w:t>
            </w:r>
          </w:p>
        </w:tc>
        <w:tc>
          <w:tcPr>
            <w:tcW w:w="2268" w:type="dxa"/>
          </w:tcPr>
          <w:p>
            <w:pPr>
              <w:spacing w:line="280" w:lineRule="exact"/>
              <w:rPr>
                <w:rFonts w:ascii="宋体" w:hAnsi="宋体" w:cs="宋体"/>
                <w:szCs w:val="21"/>
              </w:rPr>
            </w:pPr>
            <w:r>
              <w:rPr>
                <w:rFonts w:hint="eastAsia" w:ascii="宋体" w:hAnsi="宋体" w:cs="宋体"/>
                <w:szCs w:val="21"/>
              </w:rPr>
              <w:t>查文件：</w:t>
            </w:r>
          </w:p>
          <w:p>
            <w:pPr>
              <w:spacing w:line="280" w:lineRule="exact"/>
              <w:rPr>
                <w:rFonts w:ascii="宋体" w:hAnsi="宋体" w:cs="宋体"/>
                <w:szCs w:val="21"/>
              </w:rPr>
            </w:pPr>
            <w:r>
              <w:rPr>
                <w:rFonts w:hint="eastAsia" w:ascii="宋体" w:hAnsi="宋体" w:cs="宋体"/>
                <w:szCs w:val="21"/>
              </w:rPr>
              <w:t>1.安全标准化自评管理制度；</w:t>
            </w:r>
          </w:p>
          <w:p>
            <w:pPr>
              <w:spacing w:line="280" w:lineRule="exact"/>
              <w:rPr>
                <w:rFonts w:ascii="宋体" w:hAnsi="宋体" w:cs="宋体"/>
                <w:szCs w:val="21"/>
              </w:rPr>
            </w:pPr>
            <w:r>
              <w:rPr>
                <w:rFonts w:hint="eastAsia" w:ascii="宋体" w:hAnsi="宋体" w:cs="宋体"/>
                <w:szCs w:val="21"/>
              </w:rPr>
              <w:t>2.开展自评的相关文件资料；</w:t>
            </w:r>
          </w:p>
          <w:p>
            <w:pPr>
              <w:spacing w:line="280" w:lineRule="exact"/>
              <w:rPr>
                <w:rFonts w:ascii="宋体" w:hAnsi="宋体" w:cs="宋体"/>
                <w:szCs w:val="21"/>
              </w:rPr>
            </w:pPr>
            <w:r>
              <w:rPr>
                <w:rFonts w:hint="eastAsia" w:ascii="宋体" w:hAnsi="宋体" w:cs="宋体"/>
                <w:szCs w:val="21"/>
              </w:rPr>
              <w:t>3.进一步完善的安全标准化工作的计划和措施。</w:t>
            </w:r>
          </w:p>
        </w:tc>
        <w:tc>
          <w:tcPr>
            <w:tcW w:w="1701" w:type="dxa"/>
          </w:tcPr>
          <w:p>
            <w:pPr>
              <w:spacing w:line="280" w:lineRule="exact"/>
              <w:rPr>
                <w:rFonts w:ascii="宋体" w:hAnsi="宋体" w:cs="宋体"/>
                <w:szCs w:val="21"/>
              </w:rPr>
            </w:pPr>
            <w:r>
              <w:rPr>
                <w:rFonts w:hint="eastAsia" w:ascii="宋体" w:hAnsi="宋体" w:cs="宋体"/>
                <w:szCs w:val="21"/>
              </w:rPr>
              <w:t>未进行自评，扣100分（A级要素否决项）。</w:t>
            </w:r>
          </w:p>
        </w:tc>
        <w:tc>
          <w:tcPr>
            <w:tcW w:w="2268" w:type="dxa"/>
          </w:tcPr>
          <w:p>
            <w:pPr>
              <w:spacing w:line="280" w:lineRule="exact"/>
              <w:rPr>
                <w:rFonts w:ascii="宋体" w:hAnsi="宋体" w:cs="宋体"/>
                <w:szCs w:val="21"/>
              </w:rPr>
            </w:pPr>
            <w:r>
              <w:rPr>
                <w:rFonts w:hint="eastAsia" w:ascii="宋体" w:hAnsi="宋体" w:cs="宋体"/>
                <w:szCs w:val="21"/>
              </w:rPr>
              <w:t>1.自评文件不全，一项不符合扣1分；</w:t>
            </w:r>
          </w:p>
          <w:p>
            <w:pPr>
              <w:spacing w:line="280" w:lineRule="exact"/>
              <w:rPr>
                <w:rFonts w:ascii="宋体" w:hAnsi="宋体" w:cs="宋体"/>
                <w:szCs w:val="21"/>
              </w:rPr>
            </w:pPr>
            <w:r>
              <w:rPr>
                <w:rFonts w:hint="eastAsia" w:ascii="宋体" w:hAnsi="宋体" w:cs="宋体"/>
                <w:szCs w:val="21"/>
              </w:rPr>
              <w:t>2.未制定并落实进一步完善计划和措施，扣2分；</w:t>
            </w:r>
          </w:p>
          <w:p>
            <w:pPr>
              <w:spacing w:line="280" w:lineRule="exact"/>
              <w:rPr>
                <w:rFonts w:ascii="宋体" w:hAnsi="宋体" w:cs="宋体"/>
                <w:szCs w:val="21"/>
              </w:rPr>
            </w:pPr>
            <w:r>
              <w:rPr>
                <w:rFonts w:hint="eastAsia" w:ascii="宋体" w:hAnsi="宋体" w:cs="宋体"/>
                <w:szCs w:val="21"/>
              </w:rPr>
              <w:t>3.不符合项未整改，或整改不符合要求，一项扣2分。</w:t>
            </w:r>
          </w:p>
        </w:tc>
        <w:tc>
          <w:tcPr>
            <w:tcW w:w="1165" w:type="dxa"/>
            <w:vAlign w:val="center"/>
          </w:tcPr>
          <w:p>
            <w:pPr>
              <w:spacing w:line="280" w:lineRule="exact"/>
              <w:jc w:val="center"/>
              <w:rPr>
                <w:rFonts w:ascii="宋体" w:hAnsi="宋体" w:cs="宋体"/>
                <w:szCs w:val="21"/>
              </w:rPr>
            </w:pPr>
            <w:r>
              <w:rPr>
                <w:rFonts w:hint="eastAsia" w:ascii="宋体" w:hAnsi="宋体" w:cs="宋体"/>
                <w:szCs w:val="21"/>
              </w:rPr>
              <w:t>自评文件资料不全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771" w:type="dxa"/>
            <w:vMerge w:val="restart"/>
          </w:tcPr>
          <w:p>
            <w:pPr>
              <w:spacing w:line="280" w:lineRule="exact"/>
              <w:rPr>
                <w:rFonts w:ascii="宋体" w:hAnsi="宋体" w:cs="宋体"/>
                <w:b/>
                <w:bCs/>
                <w:szCs w:val="21"/>
              </w:rPr>
            </w:pPr>
            <w:r>
              <w:rPr>
                <w:rFonts w:hint="eastAsia" w:ascii="宋体" w:hAnsi="宋体" w:cs="宋体"/>
                <w:b/>
                <w:bCs/>
                <w:szCs w:val="21"/>
              </w:rPr>
              <w:t>12 本地区的要求</w:t>
            </w:r>
          </w:p>
          <w:p>
            <w:pPr>
              <w:spacing w:line="280" w:lineRule="exact"/>
              <w:rPr>
                <w:rFonts w:ascii="宋体" w:hAnsi="宋体" w:cs="宋体"/>
                <w:b/>
                <w:bCs/>
                <w:szCs w:val="21"/>
              </w:rPr>
            </w:pPr>
          </w:p>
        </w:tc>
        <w:tc>
          <w:tcPr>
            <w:tcW w:w="709" w:type="dxa"/>
            <w:vMerge w:val="restart"/>
            <w:vAlign w:val="center"/>
          </w:tcPr>
          <w:p>
            <w:pPr>
              <w:spacing w:line="280" w:lineRule="exact"/>
              <w:rPr>
                <w:rFonts w:ascii="宋体" w:hAnsi="宋体" w:cs="宋体"/>
                <w:b/>
                <w:bCs/>
                <w:szCs w:val="21"/>
              </w:rPr>
            </w:pPr>
            <w:r>
              <w:rPr>
                <w:rFonts w:hint="eastAsia" w:ascii="宋体" w:hAnsi="宋体" w:cs="宋体"/>
                <w:b/>
                <w:bCs/>
                <w:szCs w:val="21"/>
              </w:rPr>
              <w:t xml:space="preserve">12.1 </w:t>
            </w:r>
          </w:p>
          <w:p>
            <w:pPr>
              <w:spacing w:line="280" w:lineRule="exact"/>
              <w:rPr>
                <w:rFonts w:ascii="宋体" w:hAnsi="宋体" w:cs="宋体"/>
                <w:b/>
                <w:bCs/>
                <w:szCs w:val="21"/>
              </w:rPr>
            </w:pPr>
            <w:r>
              <w:rPr>
                <w:rFonts w:hint="eastAsia" w:ascii="宋体" w:hAnsi="宋体" w:cs="宋体"/>
                <w:b/>
                <w:bCs/>
                <w:szCs w:val="21"/>
              </w:rPr>
              <w:t>从业人员(40分)</w:t>
            </w:r>
          </w:p>
        </w:tc>
        <w:tc>
          <w:tcPr>
            <w:tcW w:w="2409" w:type="dxa"/>
            <w:vAlign w:val="center"/>
          </w:tcPr>
          <w:p>
            <w:pPr>
              <w:spacing w:line="280" w:lineRule="exact"/>
              <w:rPr>
                <w:rFonts w:ascii="宋体" w:hAnsi="宋体" w:cs="宋体"/>
                <w:szCs w:val="21"/>
              </w:rPr>
            </w:pPr>
            <w:r>
              <w:rPr>
                <w:rFonts w:hint="eastAsia" w:ascii="宋体" w:hAnsi="宋体" w:cs="宋体"/>
                <w:szCs w:val="21"/>
              </w:rPr>
              <w:t>1.危险化学品生产、使用、有储存设施的经营单位的主要负责人、安全负责人、技术负责人应具备相应学历及从业经历；</w:t>
            </w:r>
          </w:p>
        </w:tc>
        <w:tc>
          <w:tcPr>
            <w:tcW w:w="2268" w:type="dxa"/>
          </w:tcPr>
          <w:p>
            <w:pPr>
              <w:spacing w:line="280" w:lineRule="exact"/>
              <w:rPr>
                <w:rFonts w:ascii="宋体" w:hAnsi="宋体" w:cs="宋体"/>
                <w:szCs w:val="21"/>
              </w:rPr>
            </w:pPr>
            <w:r>
              <w:rPr>
                <w:rFonts w:hint="eastAsia" w:ascii="宋体" w:hAnsi="宋体" w:cs="宋体"/>
                <w:szCs w:val="21"/>
              </w:rPr>
              <w:t>危险化学品生产、使用主要单位负责人、安全负责人、技术负责人中至少1人具备国民教育化工专业本科以上学历，并有3年以上化工行业从业经历；有储存设施的经营单位单位的主要负责人、安全负责人中至少1人具备国民教育化工或相应专业专科以上学历。</w:t>
            </w:r>
          </w:p>
        </w:tc>
        <w:tc>
          <w:tcPr>
            <w:tcW w:w="2268" w:type="dxa"/>
            <w:vAlign w:val="center"/>
          </w:tcPr>
          <w:p>
            <w:pPr>
              <w:spacing w:line="280" w:lineRule="exact"/>
              <w:rPr>
                <w:rFonts w:ascii="宋体" w:hAnsi="宋体" w:cs="宋体"/>
                <w:szCs w:val="21"/>
              </w:rPr>
            </w:pPr>
            <w:r>
              <w:rPr>
                <w:rFonts w:hint="eastAsia" w:ascii="宋体" w:hAnsi="宋体" w:cs="宋体"/>
                <w:szCs w:val="21"/>
              </w:rPr>
              <w:t>查文件：</w:t>
            </w:r>
          </w:p>
          <w:p>
            <w:pPr>
              <w:spacing w:line="280" w:lineRule="exact"/>
              <w:rPr>
                <w:rFonts w:ascii="宋体" w:hAnsi="宋体" w:cs="宋体"/>
                <w:szCs w:val="21"/>
              </w:rPr>
            </w:pPr>
            <w:r>
              <w:rPr>
                <w:rFonts w:hint="eastAsia" w:ascii="宋体" w:hAnsi="宋体" w:cs="宋体"/>
                <w:szCs w:val="21"/>
              </w:rPr>
              <w:t>查相关毕业证原件</w:t>
            </w:r>
          </w:p>
          <w:p>
            <w:pPr>
              <w:spacing w:line="280" w:lineRule="exact"/>
              <w:rPr>
                <w:rFonts w:ascii="宋体" w:hAnsi="宋体" w:cs="宋体"/>
                <w:szCs w:val="21"/>
              </w:rPr>
            </w:pPr>
          </w:p>
        </w:tc>
        <w:tc>
          <w:tcPr>
            <w:tcW w:w="1701" w:type="dxa"/>
            <w:vAlign w:val="center"/>
          </w:tcPr>
          <w:p>
            <w:pPr>
              <w:spacing w:line="280" w:lineRule="exact"/>
              <w:rPr>
                <w:rFonts w:ascii="宋体" w:hAnsi="宋体" w:cs="宋体"/>
                <w:szCs w:val="21"/>
              </w:rPr>
            </w:pPr>
          </w:p>
        </w:tc>
        <w:tc>
          <w:tcPr>
            <w:tcW w:w="2268" w:type="dxa"/>
            <w:vAlign w:val="center"/>
          </w:tcPr>
          <w:p>
            <w:pPr>
              <w:spacing w:line="280" w:lineRule="exact"/>
              <w:rPr>
                <w:rFonts w:ascii="宋体" w:hAnsi="宋体" w:cs="宋体"/>
                <w:szCs w:val="21"/>
              </w:rPr>
            </w:pPr>
            <w:r>
              <w:rPr>
                <w:rFonts w:hint="eastAsia" w:ascii="宋体" w:hAnsi="宋体" w:cs="宋体"/>
                <w:szCs w:val="21"/>
              </w:rPr>
              <w:t>无相应证件扣10分</w:t>
            </w:r>
          </w:p>
        </w:tc>
        <w:tc>
          <w:tcPr>
            <w:tcW w:w="1165" w:type="dxa"/>
            <w:vAlign w:val="center"/>
          </w:tcPr>
          <w:p>
            <w:pPr>
              <w:spacing w:line="280" w:lineRule="exact"/>
              <w:jc w:val="center"/>
              <w:rPr>
                <w:rFonts w:ascii="宋体" w:hAnsi="宋体" w:cs="宋体"/>
                <w:szCs w:val="21"/>
              </w:rPr>
            </w:pPr>
            <w:r>
              <w:rPr>
                <w:rFonts w:hint="eastAsia" w:ascii="宋体" w:hAnsi="宋体" w:cs="宋体"/>
                <w:szCs w:val="21"/>
              </w:rPr>
              <w:t>符合要求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9" w:hRule="atLeast"/>
          <w:jc w:val="center"/>
        </w:trPr>
        <w:tc>
          <w:tcPr>
            <w:tcW w:w="771" w:type="dxa"/>
            <w:vMerge w:val="continue"/>
          </w:tcPr>
          <w:p>
            <w:pPr>
              <w:spacing w:line="280" w:lineRule="exact"/>
              <w:rPr>
                <w:rFonts w:ascii="宋体" w:hAnsi="宋体" w:cs="宋体"/>
                <w:b/>
                <w:bCs/>
                <w:szCs w:val="21"/>
              </w:rPr>
            </w:pPr>
          </w:p>
        </w:tc>
        <w:tc>
          <w:tcPr>
            <w:tcW w:w="709" w:type="dxa"/>
            <w:vMerge w:val="continue"/>
            <w:vAlign w:val="center"/>
          </w:tcPr>
          <w:p>
            <w:pPr>
              <w:spacing w:line="280" w:lineRule="exact"/>
              <w:rPr>
                <w:rFonts w:ascii="宋体" w:hAnsi="宋体" w:cs="宋体"/>
                <w:b/>
                <w:bCs/>
                <w:szCs w:val="21"/>
              </w:rPr>
            </w:pPr>
          </w:p>
        </w:tc>
        <w:tc>
          <w:tcPr>
            <w:tcW w:w="2409" w:type="dxa"/>
            <w:vAlign w:val="center"/>
          </w:tcPr>
          <w:p>
            <w:pPr>
              <w:spacing w:line="280" w:lineRule="exact"/>
              <w:rPr>
                <w:rFonts w:ascii="宋体" w:hAnsi="宋体" w:cs="宋体"/>
                <w:szCs w:val="21"/>
              </w:rPr>
            </w:pPr>
            <w:r>
              <w:rPr>
                <w:rFonts w:hint="eastAsia" w:ascii="宋体" w:hAnsi="宋体" w:cs="宋体"/>
                <w:szCs w:val="21"/>
              </w:rPr>
              <w:t>2. 从业人员500人以上的从业单位应当按照不少于安全生产管理人员30%的比例配备注册安全工程师；从业人员500人以下的，应当至少配备1名注册安全工程师或者委托安全生产中介机构选派注册安全工程师提供安全生产服务；</w:t>
            </w:r>
          </w:p>
        </w:tc>
        <w:tc>
          <w:tcPr>
            <w:tcW w:w="2268" w:type="dxa"/>
          </w:tcPr>
          <w:p>
            <w:pPr>
              <w:spacing w:line="280" w:lineRule="exact"/>
              <w:rPr>
                <w:rFonts w:ascii="宋体" w:hAnsi="宋体" w:cs="宋体"/>
                <w:szCs w:val="21"/>
              </w:rPr>
            </w:pPr>
            <w:r>
              <w:rPr>
                <w:rFonts w:hint="eastAsia" w:ascii="宋体" w:hAnsi="宋体" w:cs="宋体"/>
                <w:szCs w:val="21"/>
              </w:rPr>
              <w:t>1. 企业应以明确方式确定安全生产管理人员及其岗位；</w:t>
            </w:r>
          </w:p>
          <w:p>
            <w:pPr>
              <w:spacing w:line="280" w:lineRule="exact"/>
              <w:rPr>
                <w:rFonts w:ascii="宋体" w:hAnsi="宋体" w:cs="宋体"/>
                <w:szCs w:val="21"/>
              </w:rPr>
            </w:pPr>
            <w:r>
              <w:rPr>
                <w:rFonts w:hint="eastAsia" w:ascii="宋体" w:hAnsi="宋体" w:cs="宋体"/>
                <w:szCs w:val="21"/>
              </w:rPr>
              <w:t>2.企业应当建立安全生产管理人员名录；</w:t>
            </w:r>
          </w:p>
          <w:p>
            <w:pPr>
              <w:spacing w:line="280" w:lineRule="exact"/>
              <w:rPr>
                <w:rFonts w:ascii="宋体" w:hAnsi="宋体" w:cs="宋体"/>
                <w:szCs w:val="21"/>
              </w:rPr>
            </w:pPr>
            <w:r>
              <w:rPr>
                <w:rFonts w:hint="eastAsia" w:ascii="宋体" w:hAnsi="宋体" w:cs="宋体"/>
                <w:szCs w:val="21"/>
              </w:rPr>
              <w:t>3. 企业委托安全生产中介机构提供安全生产服务的，应当与其订立安全服务合同，有效期不得小于1年。</w:t>
            </w:r>
          </w:p>
        </w:tc>
        <w:tc>
          <w:tcPr>
            <w:tcW w:w="2268" w:type="dxa"/>
            <w:vAlign w:val="center"/>
          </w:tcPr>
          <w:p>
            <w:pPr>
              <w:spacing w:line="280" w:lineRule="exact"/>
              <w:rPr>
                <w:rFonts w:ascii="宋体" w:hAnsi="宋体" w:cs="宋体"/>
                <w:szCs w:val="21"/>
              </w:rPr>
            </w:pPr>
            <w:r>
              <w:rPr>
                <w:rFonts w:hint="eastAsia" w:ascii="宋体" w:hAnsi="宋体" w:cs="宋体"/>
                <w:szCs w:val="21"/>
              </w:rPr>
              <w:t>查文件：</w:t>
            </w:r>
          </w:p>
          <w:p>
            <w:pPr>
              <w:spacing w:line="280" w:lineRule="exact"/>
              <w:rPr>
                <w:rFonts w:ascii="宋体" w:hAnsi="宋体" w:cs="宋体"/>
                <w:szCs w:val="21"/>
              </w:rPr>
            </w:pPr>
            <w:r>
              <w:rPr>
                <w:rFonts w:hint="eastAsia" w:ascii="宋体" w:hAnsi="宋体" w:cs="宋体"/>
                <w:szCs w:val="21"/>
              </w:rPr>
              <w:t>1.企业与安全管理人员订立的合同或公司任命文件；</w:t>
            </w:r>
          </w:p>
          <w:p>
            <w:pPr>
              <w:spacing w:line="280" w:lineRule="exact"/>
              <w:rPr>
                <w:rFonts w:ascii="宋体" w:hAnsi="宋体" w:cs="宋体"/>
                <w:szCs w:val="21"/>
              </w:rPr>
            </w:pPr>
            <w:r>
              <w:rPr>
                <w:rFonts w:hint="eastAsia" w:ascii="宋体" w:hAnsi="宋体" w:cs="宋体"/>
                <w:szCs w:val="21"/>
              </w:rPr>
              <w:t>2.公司主要负责人签署的安全生产管理人员名录并定期更新记录；</w:t>
            </w:r>
          </w:p>
          <w:p>
            <w:pPr>
              <w:spacing w:line="280" w:lineRule="exact"/>
              <w:rPr>
                <w:rFonts w:ascii="宋体" w:hAnsi="宋体" w:cs="宋体"/>
                <w:szCs w:val="21"/>
              </w:rPr>
            </w:pPr>
            <w:r>
              <w:rPr>
                <w:rFonts w:hint="eastAsia" w:ascii="宋体" w:hAnsi="宋体" w:cs="宋体"/>
                <w:szCs w:val="21"/>
              </w:rPr>
              <w:t>3.企业委托安全生产中介机构提供安全生产服务的，查签订的安全服务合同。</w:t>
            </w:r>
          </w:p>
        </w:tc>
        <w:tc>
          <w:tcPr>
            <w:tcW w:w="1701" w:type="dxa"/>
            <w:vAlign w:val="center"/>
          </w:tcPr>
          <w:p>
            <w:pPr>
              <w:spacing w:line="280" w:lineRule="exact"/>
              <w:rPr>
                <w:rFonts w:ascii="宋体" w:hAnsi="宋体" w:cs="宋体"/>
                <w:szCs w:val="21"/>
              </w:rPr>
            </w:pPr>
            <w:r>
              <w:rPr>
                <w:rFonts w:hint="eastAsia" w:ascii="宋体" w:hAnsi="宋体" w:cs="宋体"/>
                <w:szCs w:val="21"/>
              </w:rPr>
              <w:t>未配备注册安全工程师。</w:t>
            </w:r>
          </w:p>
          <w:p>
            <w:pPr>
              <w:spacing w:line="280" w:lineRule="exact"/>
              <w:rPr>
                <w:rFonts w:ascii="宋体" w:hAnsi="宋体" w:cs="宋体"/>
                <w:szCs w:val="21"/>
              </w:rPr>
            </w:pPr>
            <w:r>
              <w:rPr>
                <w:rFonts w:hint="eastAsia" w:ascii="宋体" w:hAnsi="宋体" w:cs="宋体"/>
                <w:szCs w:val="21"/>
              </w:rPr>
              <w:t>（B级要素否决项）。</w:t>
            </w:r>
          </w:p>
          <w:p>
            <w:pPr>
              <w:spacing w:line="280" w:lineRule="exact"/>
              <w:rPr>
                <w:rFonts w:ascii="宋体" w:hAnsi="宋体" w:cs="宋体"/>
                <w:szCs w:val="21"/>
              </w:rPr>
            </w:pPr>
          </w:p>
        </w:tc>
        <w:tc>
          <w:tcPr>
            <w:tcW w:w="2268" w:type="dxa"/>
            <w:vAlign w:val="center"/>
          </w:tcPr>
          <w:p>
            <w:pPr>
              <w:spacing w:line="280" w:lineRule="exact"/>
              <w:rPr>
                <w:rFonts w:ascii="宋体" w:hAnsi="宋体" w:cs="宋体"/>
                <w:szCs w:val="21"/>
              </w:rPr>
            </w:pPr>
            <w:r>
              <w:rPr>
                <w:rFonts w:hint="eastAsia" w:ascii="宋体" w:hAnsi="宋体" w:cs="宋体"/>
                <w:szCs w:val="21"/>
              </w:rPr>
              <w:t>1. 企业与安全管理人员订立的合同或公司任命文件，缺少一份（人）合同或任命文件扣5分；</w:t>
            </w:r>
          </w:p>
          <w:p>
            <w:pPr>
              <w:spacing w:line="280" w:lineRule="exact"/>
              <w:rPr>
                <w:rFonts w:ascii="宋体" w:hAnsi="宋体" w:cs="宋体"/>
                <w:szCs w:val="21"/>
              </w:rPr>
            </w:pPr>
            <w:r>
              <w:rPr>
                <w:rFonts w:hint="eastAsia" w:ascii="宋体" w:hAnsi="宋体" w:cs="宋体"/>
                <w:szCs w:val="21"/>
              </w:rPr>
              <w:t>2.无公司主要负责人签署的安全生产管理人员名录、名录上与实际情况不符合、未及时更新名录或文本的扣5分；</w:t>
            </w:r>
          </w:p>
          <w:p>
            <w:pPr>
              <w:spacing w:line="280" w:lineRule="exact"/>
              <w:rPr>
                <w:rFonts w:ascii="宋体" w:hAnsi="宋体" w:cs="宋体"/>
                <w:szCs w:val="21"/>
              </w:rPr>
            </w:pPr>
            <w:r>
              <w:rPr>
                <w:rFonts w:hint="eastAsia" w:ascii="宋体" w:hAnsi="宋体" w:cs="宋体"/>
                <w:szCs w:val="21"/>
              </w:rPr>
              <w:t>3. 企业委托安全生产中介机构提供安全生产服务的，无安全服务合同或安全服务机构不符合规定的，扣5分。</w:t>
            </w:r>
          </w:p>
        </w:tc>
        <w:tc>
          <w:tcPr>
            <w:tcW w:w="1165" w:type="dxa"/>
            <w:vAlign w:val="center"/>
          </w:tcPr>
          <w:p>
            <w:pPr>
              <w:spacing w:line="280" w:lineRule="exact"/>
              <w:jc w:val="center"/>
              <w:rPr>
                <w:rFonts w:ascii="宋体" w:hAnsi="宋体" w:cs="宋体"/>
                <w:szCs w:val="21"/>
              </w:rPr>
            </w:pPr>
            <w:r>
              <w:rPr>
                <w:rFonts w:hint="eastAsia" w:ascii="宋体" w:hAnsi="宋体" w:cs="宋体"/>
                <w:szCs w:val="21"/>
              </w:rPr>
              <w:t>符合要求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8" w:hRule="atLeast"/>
          <w:jc w:val="center"/>
        </w:trPr>
        <w:tc>
          <w:tcPr>
            <w:tcW w:w="771" w:type="dxa"/>
            <w:vMerge w:val="continue"/>
          </w:tcPr>
          <w:p>
            <w:pPr>
              <w:spacing w:line="280" w:lineRule="exact"/>
              <w:rPr>
                <w:rFonts w:ascii="宋体" w:hAnsi="宋体" w:cs="宋体"/>
                <w:b/>
                <w:bCs/>
                <w:szCs w:val="21"/>
              </w:rPr>
            </w:pPr>
          </w:p>
        </w:tc>
        <w:tc>
          <w:tcPr>
            <w:tcW w:w="709" w:type="dxa"/>
            <w:vMerge w:val="continue"/>
            <w:vAlign w:val="center"/>
          </w:tcPr>
          <w:p>
            <w:pPr>
              <w:widowControl/>
              <w:ind w:firstLine="422"/>
              <w:jc w:val="left"/>
              <w:rPr>
                <w:rFonts w:ascii="宋体" w:hAnsi="宋体" w:cs="宋体"/>
                <w:b/>
                <w:bCs/>
                <w:szCs w:val="21"/>
              </w:rPr>
            </w:pPr>
          </w:p>
        </w:tc>
        <w:tc>
          <w:tcPr>
            <w:tcW w:w="2409" w:type="dxa"/>
            <w:vAlign w:val="center"/>
          </w:tcPr>
          <w:p>
            <w:pPr>
              <w:spacing w:line="280" w:lineRule="exact"/>
              <w:rPr>
                <w:rFonts w:ascii="宋体" w:hAnsi="宋体" w:cs="宋体"/>
                <w:szCs w:val="21"/>
              </w:rPr>
            </w:pPr>
            <w:r>
              <w:rPr>
                <w:rFonts w:hint="eastAsia" w:ascii="宋体" w:hAnsi="宋体" w:cs="宋体"/>
                <w:szCs w:val="21"/>
              </w:rPr>
              <w:t>3. 危险工艺岗位操作人员应当具有国民教育化工专业中等职业教育以上学历，或者具有高中学历且经过专业机构培训合格；</w:t>
            </w:r>
          </w:p>
        </w:tc>
        <w:tc>
          <w:tcPr>
            <w:tcW w:w="2268" w:type="dxa"/>
          </w:tcPr>
          <w:p>
            <w:pPr>
              <w:spacing w:line="280" w:lineRule="exact"/>
              <w:rPr>
                <w:rFonts w:ascii="宋体" w:hAnsi="宋体" w:cs="宋体"/>
                <w:szCs w:val="21"/>
              </w:rPr>
            </w:pPr>
            <w:r>
              <w:rPr>
                <w:rFonts w:hint="eastAsia" w:ascii="宋体" w:hAnsi="宋体" w:cs="宋体"/>
                <w:szCs w:val="21"/>
              </w:rPr>
              <w:t>1.建立危险工艺岗位操作人员名录；</w:t>
            </w:r>
          </w:p>
          <w:p>
            <w:pPr>
              <w:spacing w:line="280" w:lineRule="exact"/>
              <w:rPr>
                <w:rFonts w:ascii="宋体" w:hAnsi="宋体" w:cs="宋体"/>
                <w:szCs w:val="21"/>
              </w:rPr>
            </w:pPr>
            <w:r>
              <w:rPr>
                <w:rFonts w:hint="eastAsia" w:ascii="宋体" w:hAnsi="宋体" w:cs="宋体"/>
                <w:szCs w:val="21"/>
              </w:rPr>
              <w:t>2. 危险工艺岗位操作人员应当具有国民教育化工专业中等职业教育以上学历，或者具有高中学历且经过专业机构培训合格。</w:t>
            </w:r>
          </w:p>
        </w:tc>
        <w:tc>
          <w:tcPr>
            <w:tcW w:w="2268" w:type="dxa"/>
            <w:vAlign w:val="center"/>
          </w:tcPr>
          <w:p>
            <w:pPr>
              <w:spacing w:line="280" w:lineRule="exact"/>
              <w:rPr>
                <w:rFonts w:ascii="宋体" w:hAnsi="宋体" w:cs="宋体"/>
                <w:szCs w:val="21"/>
              </w:rPr>
            </w:pPr>
            <w:r>
              <w:rPr>
                <w:rFonts w:hint="eastAsia" w:ascii="宋体" w:hAnsi="宋体" w:cs="宋体"/>
                <w:szCs w:val="21"/>
              </w:rPr>
              <w:t>查文件：</w:t>
            </w:r>
          </w:p>
          <w:p>
            <w:pPr>
              <w:spacing w:line="280" w:lineRule="exact"/>
              <w:rPr>
                <w:rFonts w:ascii="宋体" w:hAnsi="宋体" w:cs="宋体"/>
                <w:szCs w:val="21"/>
              </w:rPr>
            </w:pPr>
            <w:r>
              <w:rPr>
                <w:rFonts w:hint="eastAsia" w:ascii="宋体" w:hAnsi="宋体" w:cs="宋体"/>
                <w:szCs w:val="21"/>
              </w:rPr>
              <w:t>1. 危险工艺岗位操作人员名录；</w:t>
            </w:r>
          </w:p>
          <w:p>
            <w:pPr>
              <w:spacing w:line="280" w:lineRule="exact"/>
              <w:rPr>
                <w:rFonts w:ascii="宋体" w:hAnsi="宋体" w:cs="宋体"/>
                <w:szCs w:val="21"/>
              </w:rPr>
            </w:pPr>
            <w:r>
              <w:rPr>
                <w:rFonts w:hint="eastAsia" w:ascii="宋体" w:hAnsi="宋体" w:cs="宋体"/>
                <w:szCs w:val="21"/>
              </w:rPr>
              <w:t>2. 危险工艺岗位操作人员学历证书或专业机构培训合格证书。</w:t>
            </w:r>
          </w:p>
          <w:p>
            <w:pPr>
              <w:spacing w:line="280" w:lineRule="exact"/>
              <w:rPr>
                <w:rFonts w:ascii="宋体" w:hAnsi="宋体" w:cs="宋体"/>
                <w:szCs w:val="21"/>
              </w:rPr>
            </w:pPr>
            <w:r>
              <w:rPr>
                <w:rFonts w:hint="eastAsia" w:ascii="宋体" w:hAnsi="宋体" w:cs="宋体"/>
                <w:szCs w:val="21"/>
              </w:rPr>
              <w:t>询问：</w:t>
            </w:r>
          </w:p>
          <w:p>
            <w:pPr>
              <w:spacing w:line="280" w:lineRule="exact"/>
              <w:rPr>
                <w:rFonts w:ascii="宋体" w:hAnsi="宋体" w:cs="宋体"/>
                <w:szCs w:val="21"/>
              </w:rPr>
            </w:pPr>
            <w:r>
              <w:rPr>
                <w:rFonts w:hint="eastAsia" w:ascii="宋体" w:hAnsi="宋体" w:cs="宋体"/>
                <w:szCs w:val="21"/>
              </w:rPr>
              <w:t>危险工艺岗位操作人员掌握相关知识的程度。</w:t>
            </w:r>
          </w:p>
        </w:tc>
        <w:tc>
          <w:tcPr>
            <w:tcW w:w="1701" w:type="dxa"/>
            <w:vAlign w:val="center"/>
          </w:tcPr>
          <w:p>
            <w:pPr>
              <w:spacing w:line="280" w:lineRule="exact"/>
              <w:rPr>
                <w:rFonts w:ascii="宋体" w:hAnsi="宋体" w:cs="宋体"/>
                <w:szCs w:val="21"/>
              </w:rPr>
            </w:pPr>
          </w:p>
        </w:tc>
        <w:tc>
          <w:tcPr>
            <w:tcW w:w="2268" w:type="dxa"/>
            <w:vAlign w:val="center"/>
          </w:tcPr>
          <w:p>
            <w:pPr>
              <w:spacing w:line="280" w:lineRule="exact"/>
              <w:rPr>
                <w:rFonts w:ascii="宋体" w:hAnsi="宋体" w:cs="宋体"/>
                <w:szCs w:val="21"/>
              </w:rPr>
            </w:pPr>
            <w:r>
              <w:rPr>
                <w:rFonts w:hint="eastAsia" w:ascii="宋体" w:hAnsi="宋体" w:cs="宋体"/>
                <w:szCs w:val="21"/>
              </w:rPr>
              <w:t>1. 缺少危险工艺岗位操作人员名录，扣5分。</w:t>
            </w:r>
          </w:p>
          <w:p>
            <w:pPr>
              <w:spacing w:line="280" w:lineRule="exact"/>
              <w:rPr>
                <w:rFonts w:ascii="宋体" w:hAnsi="宋体" w:cs="宋体"/>
                <w:szCs w:val="21"/>
              </w:rPr>
            </w:pPr>
            <w:r>
              <w:rPr>
                <w:rFonts w:hint="eastAsia" w:ascii="宋体" w:hAnsi="宋体" w:cs="宋体"/>
                <w:szCs w:val="21"/>
              </w:rPr>
              <w:t>2. 危险工艺岗位操作人员学历证书或专业机构培训合格证书，缺少一人证书的扣1分，5分扣完为止。</w:t>
            </w:r>
          </w:p>
          <w:p>
            <w:pPr>
              <w:spacing w:line="280" w:lineRule="exact"/>
              <w:rPr>
                <w:rFonts w:ascii="宋体" w:hAnsi="宋体" w:cs="宋体"/>
                <w:szCs w:val="21"/>
              </w:rPr>
            </w:pPr>
          </w:p>
        </w:tc>
        <w:tc>
          <w:tcPr>
            <w:tcW w:w="1165" w:type="dxa"/>
            <w:vAlign w:val="center"/>
          </w:tcPr>
          <w:p>
            <w:pPr>
              <w:spacing w:line="280" w:lineRule="exact"/>
              <w:jc w:val="center"/>
              <w:rPr>
                <w:rFonts w:ascii="宋体" w:hAnsi="宋体" w:cs="宋体"/>
                <w:szCs w:val="21"/>
              </w:rPr>
            </w:pPr>
            <w:r>
              <w:rPr>
                <w:rFonts w:hint="eastAsia" w:ascii="宋体" w:hAnsi="宋体" w:cs="宋体"/>
                <w:color w:val="auto"/>
                <w:sz w:val="18"/>
                <w:szCs w:val="18"/>
              </w:rPr>
              <w:t>缺少危险工艺操作岗位人员学历证书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771" w:type="dxa"/>
            <w:vMerge w:val="continue"/>
          </w:tcPr>
          <w:p>
            <w:pPr>
              <w:spacing w:line="280" w:lineRule="exact"/>
              <w:rPr>
                <w:rFonts w:ascii="宋体" w:hAnsi="宋体" w:cs="宋体"/>
                <w:b/>
                <w:bCs/>
                <w:szCs w:val="21"/>
              </w:rPr>
            </w:pPr>
          </w:p>
        </w:tc>
        <w:tc>
          <w:tcPr>
            <w:tcW w:w="709" w:type="dxa"/>
            <w:vMerge w:val="continue"/>
            <w:vAlign w:val="center"/>
          </w:tcPr>
          <w:p>
            <w:pPr>
              <w:widowControl/>
              <w:ind w:firstLine="422"/>
              <w:jc w:val="left"/>
              <w:rPr>
                <w:rFonts w:ascii="宋体" w:hAnsi="宋体" w:cs="宋体"/>
                <w:b/>
                <w:bCs/>
                <w:szCs w:val="21"/>
              </w:rPr>
            </w:pPr>
          </w:p>
        </w:tc>
        <w:tc>
          <w:tcPr>
            <w:tcW w:w="2409" w:type="dxa"/>
            <w:vAlign w:val="center"/>
          </w:tcPr>
          <w:p>
            <w:pPr>
              <w:spacing w:line="280" w:lineRule="exact"/>
              <w:rPr>
                <w:rFonts w:ascii="宋体" w:hAnsi="宋体" w:cs="宋体"/>
                <w:szCs w:val="21"/>
              </w:rPr>
            </w:pPr>
            <w:r>
              <w:rPr>
                <w:rFonts w:hint="eastAsia" w:ascii="宋体" w:hAnsi="宋体" w:cs="宋体"/>
                <w:szCs w:val="21"/>
              </w:rPr>
              <w:t>4.企业安全生产管理人员的待遇应高于同级同职其他岗位管理人员的待遇。</w:t>
            </w:r>
          </w:p>
        </w:tc>
        <w:tc>
          <w:tcPr>
            <w:tcW w:w="2268" w:type="dxa"/>
          </w:tcPr>
          <w:p>
            <w:pPr>
              <w:spacing w:line="280" w:lineRule="exact"/>
              <w:rPr>
                <w:rFonts w:ascii="宋体" w:hAnsi="宋体" w:cs="宋体"/>
                <w:szCs w:val="21"/>
              </w:rPr>
            </w:pPr>
            <w:r>
              <w:rPr>
                <w:rFonts w:hint="eastAsia" w:ascii="宋体" w:hAnsi="宋体" w:cs="宋体"/>
                <w:szCs w:val="21"/>
              </w:rPr>
              <w:t>企业安全生产管理人员的待遇应高于同级同职其他岗位管理人员的待遇。</w:t>
            </w:r>
          </w:p>
        </w:tc>
        <w:tc>
          <w:tcPr>
            <w:tcW w:w="2268" w:type="dxa"/>
            <w:vAlign w:val="center"/>
          </w:tcPr>
          <w:p>
            <w:pPr>
              <w:spacing w:line="280" w:lineRule="exact"/>
              <w:rPr>
                <w:rFonts w:ascii="宋体" w:hAnsi="宋体" w:cs="宋体"/>
                <w:szCs w:val="21"/>
              </w:rPr>
            </w:pPr>
            <w:r>
              <w:rPr>
                <w:rFonts w:hint="eastAsia" w:ascii="宋体" w:hAnsi="宋体" w:cs="宋体"/>
                <w:szCs w:val="21"/>
              </w:rPr>
              <w:t>查文件：</w:t>
            </w:r>
          </w:p>
          <w:p>
            <w:pPr>
              <w:spacing w:line="280" w:lineRule="exact"/>
              <w:rPr>
                <w:rFonts w:ascii="宋体" w:hAnsi="宋体" w:cs="宋体"/>
                <w:szCs w:val="21"/>
              </w:rPr>
            </w:pPr>
            <w:r>
              <w:rPr>
                <w:rFonts w:hint="eastAsia" w:ascii="宋体" w:hAnsi="宋体" w:cs="宋体"/>
                <w:szCs w:val="21"/>
              </w:rPr>
              <w:t>财务记录；行政文件</w:t>
            </w:r>
          </w:p>
        </w:tc>
        <w:tc>
          <w:tcPr>
            <w:tcW w:w="1701" w:type="dxa"/>
            <w:vAlign w:val="center"/>
          </w:tcPr>
          <w:p>
            <w:pPr>
              <w:spacing w:line="280" w:lineRule="exact"/>
              <w:rPr>
                <w:rFonts w:ascii="宋体" w:hAnsi="宋体" w:cs="宋体"/>
                <w:szCs w:val="21"/>
              </w:rPr>
            </w:pPr>
          </w:p>
        </w:tc>
        <w:tc>
          <w:tcPr>
            <w:tcW w:w="2268" w:type="dxa"/>
            <w:vAlign w:val="center"/>
          </w:tcPr>
          <w:p>
            <w:pPr>
              <w:spacing w:line="280" w:lineRule="exact"/>
              <w:rPr>
                <w:rFonts w:ascii="宋体" w:hAnsi="宋体" w:cs="宋体"/>
                <w:szCs w:val="21"/>
              </w:rPr>
            </w:pPr>
            <w:r>
              <w:rPr>
                <w:rFonts w:hint="eastAsia" w:ascii="宋体" w:hAnsi="宋体" w:cs="宋体"/>
                <w:szCs w:val="21"/>
              </w:rPr>
              <w:t>无记录或文件扣5分。</w:t>
            </w:r>
          </w:p>
        </w:tc>
        <w:tc>
          <w:tcPr>
            <w:tcW w:w="1165" w:type="dxa"/>
            <w:vAlign w:val="center"/>
          </w:tcPr>
          <w:p>
            <w:pPr>
              <w:spacing w:line="280" w:lineRule="exact"/>
              <w:jc w:val="center"/>
              <w:rPr>
                <w:rFonts w:ascii="宋体" w:hAnsi="宋体" w:cs="宋体"/>
                <w:szCs w:val="21"/>
              </w:rPr>
            </w:pPr>
            <w:r>
              <w:rPr>
                <w:rFonts w:hint="eastAsia" w:ascii="宋体" w:hAnsi="宋体" w:cs="宋体"/>
                <w:szCs w:val="21"/>
              </w:rPr>
              <w:t>无待遇应高于同级同职其他岗位管理人员的待遇相关文件和记录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3" w:hRule="atLeast"/>
          <w:jc w:val="center"/>
        </w:trPr>
        <w:tc>
          <w:tcPr>
            <w:tcW w:w="771" w:type="dxa"/>
            <w:vMerge w:val="continue"/>
          </w:tcPr>
          <w:p>
            <w:pPr>
              <w:spacing w:line="280" w:lineRule="exact"/>
              <w:rPr>
                <w:rFonts w:ascii="宋体" w:hAnsi="宋体" w:cs="宋体"/>
                <w:b/>
                <w:bCs/>
                <w:szCs w:val="21"/>
              </w:rPr>
            </w:pPr>
          </w:p>
        </w:tc>
        <w:tc>
          <w:tcPr>
            <w:tcW w:w="709" w:type="dxa"/>
            <w:vAlign w:val="center"/>
          </w:tcPr>
          <w:p>
            <w:pPr>
              <w:spacing w:line="280" w:lineRule="exact"/>
              <w:rPr>
                <w:rFonts w:ascii="宋体" w:hAnsi="宋体" w:cs="宋体"/>
                <w:b/>
                <w:bCs/>
                <w:szCs w:val="21"/>
                <w:lang w:val="zh-CN"/>
              </w:rPr>
            </w:pPr>
            <w:r>
              <w:rPr>
                <w:rFonts w:hint="eastAsia" w:ascii="宋体" w:hAnsi="宋体" w:cs="宋体"/>
                <w:b/>
                <w:bCs/>
                <w:szCs w:val="21"/>
                <w:lang w:val="zh-CN"/>
              </w:rPr>
              <w:t>12.2工艺安全</w:t>
            </w:r>
          </w:p>
          <w:p>
            <w:pPr>
              <w:spacing w:line="280" w:lineRule="exact"/>
              <w:rPr>
                <w:rFonts w:ascii="宋体" w:hAnsi="宋体" w:cs="宋体"/>
                <w:b/>
                <w:bCs/>
                <w:szCs w:val="21"/>
              </w:rPr>
            </w:pPr>
            <w:r>
              <w:rPr>
                <w:rFonts w:hint="eastAsia" w:ascii="宋体" w:hAnsi="宋体" w:cs="宋体"/>
                <w:b/>
                <w:bCs/>
                <w:szCs w:val="21"/>
                <w:lang w:val="zh-CN"/>
              </w:rPr>
              <w:t>（30分）</w:t>
            </w:r>
          </w:p>
        </w:tc>
        <w:tc>
          <w:tcPr>
            <w:tcW w:w="2409" w:type="dxa"/>
            <w:vAlign w:val="center"/>
          </w:tcPr>
          <w:p>
            <w:pPr>
              <w:spacing w:line="280" w:lineRule="exact"/>
              <w:rPr>
                <w:rFonts w:ascii="宋体" w:hAnsi="宋体" w:cs="宋体"/>
                <w:szCs w:val="21"/>
              </w:rPr>
            </w:pPr>
            <w:r>
              <w:rPr>
                <w:rFonts w:hint="eastAsia" w:ascii="宋体" w:hAnsi="宋体" w:cs="宋体"/>
                <w:szCs w:val="21"/>
              </w:rPr>
              <w:t>第三类压力容器、储存火灾危险性为甲、乙类物品的球形储罐必须保证运行安全。</w:t>
            </w:r>
          </w:p>
        </w:tc>
        <w:tc>
          <w:tcPr>
            <w:tcW w:w="2268" w:type="dxa"/>
          </w:tcPr>
          <w:p>
            <w:pPr>
              <w:spacing w:line="280" w:lineRule="exact"/>
              <w:rPr>
                <w:rFonts w:ascii="宋体" w:hAnsi="宋体" w:cs="宋体"/>
                <w:szCs w:val="21"/>
              </w:rPr>
            </w:pPr>
          </w:p>
        </w:tc>
        <w:tc>
          <w:tcPr>
            <w:tcW w:w="2268" w:type="dxa"/>
            <w:vAlign w:val="center"/>
          </w:tcPr>
          <w:p>
            <w:pPr>
              <w:spacing w:line="280" w:lineRule="exact"/>
              <w:rPr>
                <w:rFonts w:ascii="宋体" w:hAnsi="宋体" w:cs="宋体"/>
                <w:szCs w:val="21"/>
              </w:rPr>
            </w:pPr>
            <w:r>
              <w:rPr>
                <w:rFonts w:hint="eastAsia" w:ascii="宋体" w:hAnsi="宋体" w:cs="宋体"/>
                <w:szCs w:val="21"/>
              </w:rPr>
              <w:t>查文件：</w:t>
            </w:r>
          </w:p>
          <w:p>
            <w:pPr>
              <w:spacing w:line="280" w:lineRule="exact"/>
              <w:rPr>
                <w:rFonts w:ascii="宋体" w:hAnsi="宋体" w:cs="宋体"/>
                <w:szCs w:val="21"/>
              </w:rPr>
            </w:pPr>
            <w:r>
              <w:rPr>
                <w:rFonts w:hint="eastAsia" w:ascii="宋体" w:hAnsi="宋体" w:cs="宋体"/>
                <w:szCs w:val="21"/>
              </w:rPr>
              <w:t>检验检测报告</w:t>
            </w:r>
          </w:p>
        </w:tc>
        <w:tc>
          <w:tcPr>
            <w:tcW w:w="1701" w:type="dxa"/>
            <w:vAlign w:val="center"/>
          </w:tcPr>
          <w:p>
            <w:pPr>
              <w:spacing w:line="280" w:lineRule="exact"/>
              <w:rPr>
                <w:rFonts w:ascii="宋体" w:hAnsi="宋体" w:cs="宋体"/>
                <w:szCs w:val="21"/>
              </w:rPr>
            </w:pPr>
            <w:r>
              <w:rPr>
                <w:rFonts w:hint="eastAsia" w:ascii="宋体" w:hAnsi="宋体" w:cs="宋体"/>
                <w:szCs w:val="21"/>
              </w:rPr>
              <w:t>第三类压力容器、储存火灾危险性为甲、乙类物品的球形储罐检验不合格。</w:t>
            </w:r>
          </w:p>
          <w:p>
            <w:pPr>
              <w:spacing w:line="280" w:lineRule="exact"/>
              <w:rPr>
                <w:rFonts w:ascii="宋体" w:hAnsi="宋体" w:cs="宋体"/>
                <w:szCs w:val="21"/>
              </w:rPr>
            </w:pPr>
            <w:r>
              <w:rPr>
                <w:rFonts w:hint="eastAsia" w:ascii="宋体" w:hAnsi="宋体" w:cs="宋体"/>
                <w:szCs w:val="21"/>
              </w:rPr>
              <w:t>（A级要素否决项）；</w:t>
            </w:r>
          </w:p>
        </w:tc>
        <w:tc>
          <w:tcPr>
            <w:tcW w:w="2268" w:type="dxa"/>
            <w:vAlign w:val="center"/>
          </w:tcPr>
          <w:p>
            <w:pPr>
              <w:spacing w:line="280" w:lineRule="exact"/>
              <w:rPr>
                <w:rFonts w:ascii="宋体" w:hAnsi="宋体" w:cs="宋体"/>
                <w:szCs w:val="21"/>
              </w:rPr>
            </w:pPr>
            <w:r>
              <w:rPr>
                <w:rFonts w:hint="eastAsia" w:ascii="宋体" w:hAnsi="宋体" w:cs="宋体"/>
                <w:szCs w:val="21"/>
              </w:rPr>
              <w:t>其中一台超过检验周期仍在运行的扣30分。</w:t>
            </w:r>
          </w:p>
        </w:tc>
        <w:tc>
          <w:tcPr>
            <w:tcW w:w="1165" w:type="dxa"/>
            <w:vAlign w:val="center"/>
          </w:tcPr>
          <w:p>
            <w:pPr>
              <w:spacing w:line="280" w:lineRule="exact"/>
              <w:jc w:val="center"/>
              <w:rPr>
                <w:rFonts w:ascii="宋体" w:hAnsi="宋体" w:cs="宋体"/>
                <w:szCs w:val="21"/>
              </w:rPr>
            </w:pPr>
            <w:r>
              <w:rPr>
                <w:rFonts w:hint="eastAsia" w:ascii="宋体" w:hAnsi="宋体" w:cs="宋体"/>
                <w:szCs w:val="21"/>
              </w:rPr>
              <w:t>符合要求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6" w:hRule="atLeast"/>
          <w:jc w:val="center"/>
        </w:trPr>
        <w:tc>
          <w:tcPr>
            <w:tcW w:w="771" w:type="dxa"/>
            <w:vMerge w:val="continue"/>
          </w:tcPr>
          <w:p>
            <w:pPr>
              <w:spacing w:line="280" w:lineRule="exact"/>
              <w:rPr>
                <w:rFonts w:ascii="宋体" w:hAnsi="宋体" w:cs="宋体"/>
                <w:b/>
                <w:bCs/>
                <w:szCs w:val="21"/>
              </w:rPr>
            </w:pPr>
          </w:p>
        </w:tc>
        <w:tc>
          <w:tcPr>
            <w:tcW w:w="709" w:type="dxa"/>
            <w:vMerge w:val="restart"/>
            <w:vAlign w:val="center"/>
          </w:tcPr>
          <w:p>
            <w:pPr>
              <w:spacing w:line="280" w:lineRule="exact"/>
              <w:rPr>
                <w:rFonts w:ascii="宋体" w:hAnsi="宋体" w:cs="宋体"/>
                <w:b/>
                <w:bCs/>
                <w:szCs w:val="21"/>
              </w:rPr>
            </w:pPr>
            <w:r>
              <w:rPr>
                <w:rFonts w:hint="eastAsia" w:ascii="宋体" w:hAnsi="宋体" w:cs="宋体"/>
                <w:b/>
                <w:bCs/>
                <w:szCs w:val="21"/>
              </w:rPr>
              <w:t>12.3</w:t>
            </w:r>
          </w:p>
          <w:p>
            <w:pPr>
              <w:spacing w:line="280" w:lineRule="exact"/>
              <w:rPr>
                <w:rFonts w:ascii="宋体" w:hAnsi="宋体" w:cs="宋体"/>
                <w:b/>
                <w:bCs/>
                <w:szCs w:val="21"/>
              </w:rPr>
            </w:pPr>
            <w:r>
              <w:rPr>
                <w:rFonts w:hint="eastAsia" w:ascii="宋体" w:hAnsi="宋体" w:cs="宋体"/>
                <w:b/>
                <w:bCs/>
                <w:szCs w:val="21"/>
              </w:rPr>
              <w:t>安全管理</w:t>
            </w:r>
          </w:p>
          <w:p>
            <w:pPr>
              <w:spacing w:line="280" w:lineRule="exact"/>
              <w:rPr>
                <w:rFonts w:ascii="宋体" w:hAnsi="宋体" w:cs="宋体"/>
                <w:b/>
                <w:bCs/>
                <w:szCs w:val="21"/>
              </w:rPr>
            </w:pPr>
            <w:r>
              <w:rPr>
                <w:rFonts w:hint="eastAsia" w:ascii="宋体" w:hAnsi="宋体" w:cs="宋体"/>
                <w:b/>
                <w:bCs/>
                <w:szCs w:val="21"/>
              </w:rPr>
              <w:t>（30分）</w:t>
            </w:r>
          </w:p>
        </w:tc>
        <w:tc>
          <w:tcPr>
            <w:tcW w:w="2409" w:type="dxa"/>
            <w:vAlign w:val="center"/>
          </w:tcPr>
          <w:p>
            <w:pPr>
              <w:spacing w:line="280" w:lineRule="exact"/>
              <w:rPr>
                <w:rFonts w:ascii="宋体" w:hAnsi="宋体" w:cs="宋体"/>
                <w:szCs w:val="21"/>
              </w:rPr>
            </w:pPr>
            <w:r>
              <w:rPr>
                <w:rFonts w:hint="eastAsia" w:ascii="宋体" w:hAnsi="宋体" w:cs="宋体"/>
                <w:szCs w:val="21"/>
              </w:rPr>
              <w:t>1.厂容厂貌整洁；</w:t>
            </w:r>
          </w:p>
        </w:tc>
        <w:tc>
          <w:tcPr>
            <w:tcW w:w="2268" w:type="dxa"/>
          </w:tcPr>
          <w:p>
            <w:pPr>
              <w:spacing w:line="280" w:lineRule="exact"/>
              <w:rPr>
                <w:rFonts w:ascii="宋体" w:hAnsi="宋体" w:cs="宋体"/>
                <w:szCs w:val="21"/>
              </w:rPr>
            </w:pPr>
            <w:r>
              <w:rPr>
                <w:rFonts w:hint="eastAsia" w:ascii="宋体" w:hAnsi="宋体" w:cs="宋体"/>
                <w:szCs w:val="21"/>
              </w:rPr>
              <w:t>1.厂区道路整洁；</w:t>
            </w:r>
          </w:p>
          <w:p>
            <w:pPr>
              <w:spacing w:line="280" w:lineRule="exact"/>
              <w:rPr>
                <w:rFonts w:ascii="宋体" w:hAnsi="宋体" w:cs="宋体"/>
                <w:szCs w:val="21"/>
              </w:rPr>
            </w:pPr>
            <w:r>
              <w:rPr>
                <w:rFonts w:hint="eastAsia" w:ascii="宋体" w:hAnsi="宋体" w:cs="宋体"/>
                <w:szCs w:val="21"/>
              </w:rPr>
              <w:t>2.生产区域无明显跑冒滴漏；</w:t>
            </w:r>
          </w:p>
          <w:p>
            <w:pPr>
              <w:spacing w:line="280" w:lineRule="exact"/>
              <w:rPr>
                <w:rFonts w:ascii="宋体" w:hAnsi="宋体" w:cs="宋体"/>
                <w:szCs w:val="21"/>
              </w:rPr>
            </w:pPr>
            <w:r>
              <w:rPr>
                <w:rFonts w:hint="eastAsia" w:ascii="宋体" w:hAnsi="宋体" w:cs="宋体"/>
                <w:szCs w:val="21"/>
              </w:rPr>
              <w:t>3.安全标志、标识清晰明显；4.厂区有绿化。</w:t>
            </w:r>
          </w:p>
        </w:tc>
        <w:tc>
          <w:tcPr>
            <w:tcW w:w="2268" w:type="dxa"/>
            <w:vAlign w:val="center"/>
          </w:tcPr>
          <w:p>
            <w:pPr>
              <w:spacing w:line="280" w:lineRule="exact"/>
              <w:rPr>
                <w:rFonts w:ascii="宋体" w:hAnsi="宋体" w:cs="宋体"/>
                <w:szCs w:val="21"/>
              </w:rPr>
            </w:pPr>
            <w:r>
              <w:rPr>
                <w:rFonts w:hint="eastAsia" w:ascii="宋体" w:hAnsi="宋体" w:cs="宋体"/>
                <w:szCs w:val="21"/>
              </w:rPr>
              <w:t>查现场</w:t>
            </w:r>
          </w:p>
        </w:tc>
        <w:tc>
          <w:tcPr>
            <w:tcW w:w="1701" w:type="dxa"/>
            <w:vAlign w:val="center"/>
          </w:tcPr>
          <w:p>
            <w:pPr>
              <w:spacing w:line="280" w:lineRule="exact"/>
              <w:rPr>
                <w:rFonts w:ascii="宋体" w:hAnsi="宋体" w:cs="宋体"/>
                <w:szCs w:val="21"/>
              </w:rPr>
            </w:pPr>
          </w:p>
        </w:tc>
        <w:tc>
          <w:tcPr>
            <w:tcW w:w="2268" w:type="dxa"/>
            <w:vAlign w:val="center"/>
          </w:tcPr>
          <w:p>
            <w:pPr>
              <w:spacing w:line="280" w:lineRule="exact"/>
              <w:rPr>
                <w:rFonts w:ascii="宋体" w:hAnsi="宋体" w:cs="宋体"/>
                <w:szCs w:val="21"/>
              </w:rPr>
            </w:pPr>
            <w:r>
              <w:rPr>
                <w:rFonts w:hint="eastAsia" w:ascii="宋体" w:hAnsi="宋体" w:cs="宋体"/>
                <w:szCs w:val="21"/>
              </w:rPr>
              <w:t>总分20分，一项不符合扣5分</w:t>
            </w:r>
          </w:p>
        </w:tc>
        <w:tc>
          <w:tcPr>
            <w:tcW w:w="1165" w:type="dxa"/>
            <w:vAlign w:val="center"/>
          </w:tcPr>
          <w:p>
            <w:pPr>
              <w:spacing w:line="280" w:lineRule="exact"/>
              <w:jc w:val="center"/>
              <w:rPr>
                <w:rFonts w:ascii="宋体" w:hAnsi="宋体" w:cs="宋体"/>
                <w:szCs w:val="21"/>
              </w:rPr>
            </w:pPr>
            <w:r>
              <w:rPr>
                <w:rFonts w:hint="eastAsia" w:ascii="宋体" w:hAnsi="宋体" w:cs="宋体"/>
                <w:szCs w:val="21"/>
              </w:rPr>
              <w:t>符合要求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5" w:hRule="atLeast"/>
          <w:jc w:val="center"/>
        </w:trPr>
        <w:tc>
          <w:tcPr>
            <w:tcW w:w="771" w:type="dxa"/>
          </w:tcPr>
          <w:p>
            <w:pPr>
              <w:spacing w:line="280" w:lineRule="exact"/>
              <w:rPr>
                <w:rFonts w:ascii="宋体" w:hAnsi="宋体" w:cs="宋体"/>
                <w:b/>
                <w:bCs/>
                <w:szCs w:val="21"/>
              </w:rPr>
            </w:pPr>
          </w:p>
        </w:tc>
        <w:tc>
          <w:tcPr>
            <w:tcW w:w="709" w:type="dxa"/>
            <w:vMerge w:val="continue"/>
            <w:vAlign w:val="center"/>
          </w:tcPr>
          <w:p>
            <w:pPr>
              <w:spacing w:line="280" w:lineRule="exact"/>
              <w:rPr>
                <w:rFonts w:ascii="宋体" w:hAnsi="宋体" w:cs="宋体"/>
                <w:b/>
                <w:bCs/>
                <w:szCs w:val="21"/>
              </w:rPr>
            </w:pPr>
          </w:p>
        </w:tc>
        <w:tc>
          <w:tcPr>
            <w:tcW w:w="2409" w:type="dxa"/>
            <w:vAlign w:val="center"/>
          </w:tcPr>
          <w:p>
            <w:pPr>
              <w:spacing w:line="280" w:lineRule="exact"/>
              <w:rPr>
                <w:rFonts w:ascii="宋体" w:hAnsi="宋体" w:cs="宋体"/>
                <w:szCs w:val="21"/>
              </w:rPr>
            </w:pPr>
            <w:r>
              <w:rPr>
                <w:rFonts w:hint="eastAsia" w:ascii="宋体" w:hAnsi="宋体" w:cs="宋体"/>
                <w:szCs w:val="21"/>
              </w:rPr>
              <w:t>2.承包商的安全协议。</w:t>
            </w:r>
          </w:p>
        </w:tc>
        <w:tc>
          <w:tcPr>
            <w:tcW w:w="2268" w:type="dxa"/>
          </w:tcPr>
          <w:p>
            <w:pPr>
              <w:spacing w:line="280" w:lineRule="exact"/>
              <w:rPr>
                <w:rFonts w:ascii="宋体" w:hAnsi="宋体" w:cs="宋体"/>
                <w:szCs w:val="21"/>
              </w:rPr>
            </w:pPr>
            <w:r>
              <w:rPr>
                <w:rFonts w:hint="eastAsia" w:ascii="宋体" w:hAnsi="宋体" w:cs="宋体"/>
                <w:szCs w:val="21"/>
              </w:rPr>
              <w:t>湖北省《危险化学品生产企业安全管理制度编写指导纲要（试行）》的通知（鄂安监规2011 4号文）</w:t>
            </w:r>
          </w:p>
        </w:tc>
        <w:tc>
          <w:tcPr>
            <w:tcW w:w="2268" w:type="dxa"/>
            <w:vAlign w:val="center"/>
          </w:tcPr>
          <w:p>
            <w:pPr>
              <w:spacing w:line="280" w:lineRule="exact"/>
              <w:rPr>
                <w:rFonts w:ascii="宋体" w:hAnsi="宋体" w:cs="宋体"/>
                <w:szCs w:val="21"/>
              </w:rPr>
            </w:pPr>
            <w:r>
              <w:rPr>
                <w:rFonts w:hint="eastAsia" w:ascii="宋体" w:hAnsi="宋体" w:cs="宋体"/>
                <w:szCs w:val="21"/>
              </w:rPr>
              <w:t>查文件</w:t>
            </w:r>
          </w:p>
        </w:tc>
        <w:tc>
          <w:tcPr>
            <w:tcW w:w="1701" w:type="dxa"/>
            <w:vAlign w:val="center"/>
          </w:tcPr>
          <w:p>
            <w:pPr>
              <w:spacing w:line="280" w:lineRule="exact"/>
              <w:rPr>
                <w:rFonts w:ascii="宋体" w:hAnsi="宋体" w:cs="宋体"/>
                <w:szCs w:val="21"/>
              </w:rPr>
            </w:pPr>
          </w:p>
        </w:tc>
        <w:tc>
          <w:tcPr>
            <w:tcW w:w="2268" w:type="dxa"/>
            <w:vAlign w:val="center"/>
          </w:tcPr>
          <w:p>
            <w:pPr>
              <w:spacing w:line="280" w:lineRule="exact"/>
              <w:rPr>
                <w:rFonts w:ascii="宋体" w:hAnsi="宋体" w:cs="宋体"/>
                <w:szCs w:val="21"/>
              </w:rPr>
            </w:pPr>
            <w:r>
              <w:rPr>
                <w:rFonts w:hint="eastAsia" w:ascii="宋体" w:hAnsi="宋体" w:cs="宋体"/>
                <w:szCs w:val="21"/>
              </w:rPr>
              <w:t>无此项扣10分</w:t>
            </w:r>
          </w:p>
        </w:tc>
        <w:tc>
          <w:tcPr>
            <w:tcW w:w="1165" w:type="dxa"/>
            <w:vAlign w:val="center"/>
          </w:tcPr>
          <w:p>
            <w:pPr>
              <w:spacing w:line="280" w:lineRule="exact"/>
              <w:jc w:val="center"/>
              <w:rPr>
                <w:rFonts w:ascii="宋体" w:hAnsi="宋体" w:cs="宋体"/>
                <w:szCs w:val="21"/>
              </w:rPr>
            </w:pPr>
            <w:r>
              <w:rPr>
                <w:rFonts w:hint="eastAsia" w:ascii="宋体" w:hAnsi="宋体" w:cs="宋体"/>
                <w:szCs w:val="21"/>
              </w:rPr>
              <w:t>符合要求</w:t>
            </w:r>
          </w:p>
        </w:tc>
      </w:tr>
    </w:tbl>
    <w:p>
      <w:pPr>
        <w:spacing w:line="400" w:lineRule="exact"/>
        <w:rPr>
          <w:rFonts w:ascii="宋体" w:hAnsi="宋体"/>
          <w:sz w:val="28"/>
          <w:szCs w:val="28"/>
          <w:u w:val="single"/>
        </w:rPr>
      </w:pPr>
    </w:p>
    <w:sectPr>
      <w:pgSz w:w="16838" w:h="11906" w:orient="landscape"/>
      <w:pgMar w:top="1588" w:right="1418" w:bottom="1134" w:left="1134" w:header="851" w:footer="992" w:gutter="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AFF" w:usb1="C0007841" w:usb2="00000009" w:usb3="00000000" w:csb0="400001FF" w:csb1="FFFF0000"/>
  </w:font>
  <w:font w:name="宋体">
    <w:panose1 w:val="02010600030101010101"/>
    <w:charset w:val="88"/>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仿宋_GB2312">
    <w:panose1 w:val="02010609030101010101"/>
    <w:charset w:val="86"/>
    <w:family w:val="modern"/>
    <w:pitch w:val="default"/>
    <w:sig w:usb0="00000001" w:usb1="080E0000" w:usb2="00000000" w:usb3="00000000" w:csb0="00040000" w:csb1="00000000"/>
  </w:font>
  <w:font w:name="宋体-方正超大字符集">
    <w:altName w:val="宋体"/>
    <w:panose1 w:val="00000000000000000000"/>
    <w:charset w:val="86"/>
    <w:family w:val="script"/>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right="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right="360"/>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14935" cy="131445"/>
              <wp:effectExtent l="0" t="0" r="0" b="0"/>
              <wp:wrapNone/>
              <wp:docPr id="5" name="文本框 18"/>
              <wp:cNvGraphicFramePr/>
              <a:graphic xmlns:a="http://schemas.openxmlformats.org/drawingml/2006/main">
                <a:graphicData uri="http://schemas.microsoft.com/office/word/2010/wordprocessingShape">
                  <wps:wsp>
                    <wps:cNvSpPr txBox="1"/>
                    <wps:spPr>
                      <a:xfrm>
                        <a:off x="0" y="0"/>
                        <a:ext cx="114935" cy="131445"/>
                      </a:xfrm>
                      <a:prstGeom prst="rect">
                        <a:avLst/>
                      </a:prstGeom>
                      <a:noFill/>
                      <a:ln>
                        <a:noFill/>
                      </a:ln>
                    </wps:spPr>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121</w:t>
                          </w:r>
                          <w:r>
                            <w:rPr>
                              <w:rFonts w:hint="eastAsia"/>
                              <w:sz w:val="18"/>
                            </w:rPr>
                            <w:fldChar w:fldCharType="end"/>
                          </w:r>
                        </w:p>
                      </w:txbxContent>
                    </wps:txbx>
                    <wps:bodyPr wrap="none" lIns="0" tIns="0" rIns="0" bIns="0" upright="1">
                      <a:spAutoFit/>
                    </wps:bodyPr>
                  </wps:wsp>
                </a:graphicData>
              </a:graphic>
            </wp:anchor>
          </w:drawing>
        </mc:Choice>
        <mc:Fallback>
          <w:pict>
            <v:shape id="文本框 18" o:spid="_x0000_s1026" o:spt="202" type="#_x0000_t202" style="position:absolute;left:0pt;margin-top:0pt;height:10.35pt;width:9.05pt;mso-position-horizontal:center;mso-position-horizontal-relative:margin;mso-wrap-style:none;z-index:251659264;mso-width-relative:page;mso-height-relative:page;" filled="f" stroked="f" coordsize="21600,21600" o:gfxdata="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EPlfknQAAAAAwEAAA8AAAAAAAAAAQAgAAAAIgAAAGRycy9kb3du&#10;cmV2LnhtbFBLAQIUABQAAAAIAIdO4kDnI0kXzgEAAJgDAAAOAAAAAAAAAAEAIAAAAB8BAABkcnMv&#10;ZTJvRG9jLnhtbFBLBQYAAAAABgAGAFkBAABfBQAAAAA=&#10;">
              <v:fill on="f" focussize="0,0"/>
              <v:stroke on="f"/>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121</w:t>
                    </w:r>
                    <w:r>
                      <w:rPr>
                        <w:rFonts w:hint="eastAsia"/>
                        <w:sz w:val="18"/>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right="360"/>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14935" cy="131445"/>
              <wp:effectExtent l="0" t="0" r="0" b="0"/>
              <wp:wrapNone/>
              <wp:docPr id="7" name="文本框 19"/>
              <wp:cNvGraphicFramePr/>
              <a:graphic xmlns:a="http://schemas.openxmlformats.org/drawingml/2006/main">
                <a:graphicData uri="http://schemas.microsoft.com/office/word/2010/wordprocessingShape">
                  <wps:wsp>
                    <wps:cNvSpPr txBox="1"/>
                    <wps:spPr>
                      <a:xfrm>
                        <a:off x="0" y="0"/>
                        <a:ext cx="114935" cy="131445"/>
                      </a:xfrm>
                      <a:prstGeom prst="rect">
                        <a:avLst/>
                      </a:prstGeom>
                      <a:noFill/>
                      <a:ln>
                        <a:noFill/>
                      </a:ln>
                    </wps:spPr>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122</w:t>
                          </w:r>
                          <w:r>
                            <w:rPr>
                              <w:rFonts w:hint="eastAsia"/>
                              <w:sz w:val="18"/>
                            </w:rPr>
                            <w:fldChar w:fldCharType="end"/>
                          </w:r>
                        </w:p>
                      </w:txbxContent>
                    </wps:txbx>
                    <wps:bodyPr wrap="none" lIns="0" tIns="0" rIns="0" bIns="0" upright="1">
                      <a:spAutoFit/>
                    </wps:bodyPr>
                  </wps:wsp>
                </a:graphicData>
              </a:graphic>
            </wp:anchor>
          </w:drawing>
        </mc:Choice>
        <mc:Fallback>
          <w:pict>
            <v:shape id="文本框 19" o:spid="_x0000_s1026" o:spt="202" type="#_x0000_t202" style="position:absolute;left:0pt;margin-top:0pt;height:10.35pt;width:9.05pt;mso-position-horizontal:center;mso-position-horizontal-relative:margin;mso-wrap-style:none;z-index:251660288;mso-width-relative:page;mso-height-relative:page;" filled="f" stroked="f" coordsize="21600,21600" o:gfxdata="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BD5X5J0AAAAAMBAAAPAAAAAAAAAAEAIAAAACIAAABkcnMvZG93&#10;bnJldi54bWxQSwECFAAUAAAACACHTuJAKLWr5M8BAACYAwAADgAAAAAAAAABACAAAAAfAQAAZHJz&#10;L2Uyb0RvYy54bWxQSwUGAAAAAAYABgBZAQAAYAUAAAAA&#10;">
              <v:fill on="f" focussize="0,0"/>
              <v:stroke on="f"/>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122</w:t>
                    </w:r>
                    <w:r>
                      <w:rPr>
                        <w:rFonts w:hint="eastAsia"/>
                        <w:sz w:val="18"/>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tabs>
        <w:tab w:val="left" w:pos="7200"/>
        <w:tab w:val="clear" w:pos="4153"/>
      </w:tabs>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14935" cy="131445"/>
              <wp:effectExtent l="0" t="0" r="0" b="0"/>
              <wp:wrapNone/>
              <wp:docPr id="6" name="文本框 20"/>
              <wp:cNvGraphicFramePr/>
              <a:graphic xmlns:a="http://schemas.openxmlformats.org/drawingml/2006/main">
                <a:graphicData uri="http://schemas.microsoft.com/office/word/2010/wordprocessingShape">
                  <wps:wsp>
                    <wps:cNvSpPr txBox="1"/>
                    <wps:spPr>
                      <a:xfrm>
                        <a:off x="0" y="0"/>
                        <a:ext cx="114935" cy="131445"/>
                      </a:xfrm>
                      <a:prstGeom prst="rect">
                        <a:avLst/>
                      </a:prstGeom>
                      <a:noFill/>
                      <a:ln>
                        <a:noFill/>
                      </a:ln>
                    </wps:spPr>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51</w:t>
                          </w:r>
                          <w:r>
                            <w:rPr>
                              <w:rFonts w:hint="eastAsia"/>
                              <w:sz w:val="18"/>
                            </w:rPr>
                            <w:fldChar w:fldCharType="end"/>
                          </w:r>
                        </w:p>
                      </w:txbxContent>
                    </wps:txbx>
                    <wps:bodyPr wrap="none" lIns="0" tIns="0" rIns="0" bIns="0" upright="1">
                      <a:spAutoFit/>
                    </wps:bodyPr>
                  </wps:wsp>
                </a:graphicData>
              </a:graphic>
            </wp:anchor>
          </w:drawing>
        </mc:Choice>
        <mc:Fallback>
          <w:pict>
            <v:shape id="文本框 20" o:spid="_x0000_s1026" o:spt="202" type="#_x0000_t202" style="position:absolute;left:0pt;margin-top:0pt;height:10.35pt;width:9.05pt;mso-position-horizontal:center;mso-position-horizontal-relative:margin;mso-wrap-style:none;z-index:251660288;mso-width-relative:page;mso-height-relative:page;" filled="f" stroked="f" coordsize="21600,21600" o:gfxdata="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EPlfknQAAAAAwEAAA8AAAAAAAAAAQAgAAAAIgAAAGRycy9kb3du&#10;cmV2LnhtbFBLAQIUABQAAAAIAIdO4kDEKks5zgEAAJgDAAAOAAAAAAAAAAEAIAAAAB8BAABkcnMv&#10;ZTJvRG9jLnhtbFBLBQYAAAAABgAGAFkBAABfBQAAAAA=&#10;">
              <v:fill on="f" focussize="0,0"/>
              <v:stroke on="f"/>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51</w:t>
                    </w:r>
                    <w:r>
                      <w:rPr>
                        <w:rFonts w:hint="eastAsia"/>
                        <w:sz w:val="18"/>
                      </w:rPr>
                      <w:fldChar w:fldCharType="end"/>
                    </w:r>
                  </w:p>
                </w:txbxContent>
              </v:textbox>
            </v:shape>
          </w:pict>
        </mc:Fallback>
      </mc:AlternateContent>
    </w:r>
    <w:r>
      <w:rPr>
        <w:rFonts w:hint="eastAsia"/>
      </w:rPr>
      <w:tab/>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8B235C7"/>
    <w:multiLevelType w:val="multilevel"/>
    <w:tmpl w:val="08B235C7"/>
    <w:lvl w:ilvl="0" w:tentative="0">
      <w:start w:val="1"/>
      <w:numFmt w:val="decimal"/>
      <w:lvlText w:val="%1"/>
      <w:lvlJc w:val="center"/>
      <w:pPr>
        <w:tabs>
          <w:tab w:val="left" w:pos="425"/>
        </w:tabs>
        <w:ind w:left="425" w:hanging="255"/>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
    <w:nsid w:val="2833A78A"/>
    <w:multiLevelType w:val="singleLevel"/>
    <w:tmpl w:val="2833A78A"/>
    <w:lvl w:ilvl="0" w:tentative="0">
      <w:start w:val="1"/>
      <w:numFmt w:val="lowerLetter"/>
      <w:suff w:val="nothing"/>
      <w:lvlText w:val="%1）"/>
      <w:lvlJc w:val="left"/>
      <w:pPr>
        <w:ind w:left="600" w:firstLine="0"/>
      </w:pPr>
    </w:lvl>
  </w:abstractNum>
  <w:abstractNum w:abstractNumId="2">
    <w:nsid w:val="55DE725E"/>
    <w:multiLevelType w:val="singleLevel"/>
    <w:tmpl w:val="55DE725E"/>
    <w:lvl w:ilvl="0" w:tentative="0">
      <w:start w:val="1"/>
      <w:numFmt w:val="decimal"/>
      <w:suff w:val="nothing"/>
      <w:lvlText w:val="（%1）"/>
      <w:lvlJc w:val="left"/>
    </w:lvl>
  </w:abstractNum>
  <w:abstractNum w:abstractNumId="3">
    <w:nsid w:val="55DEA248"/>
    <w:multiLevelType w:val="singleLevel"/>
    <w:tmpl w:val="55DEA248"/>
    <w:lvl w:ilvl="0" w:tentative="0">
      <w:start w:val="1"/>
      <w:numFmt w:val="decimal"/>
      <w:suff w:val="nothing"/>
      <w:lvlText w:val="%1、"/>
      <w:lvlJc w:val="left"/>
    </w:lvl>
  </w:abstractNum>
  <w:abstractNum w:abstractNumId="4">
    <w:nsid w:val="5621D850"/>
    <w:multiLevelType w:val="singleLevel"/>
    <w:tmpl w:val="5621D850"/>
    <w:lvl w:ilvl="0" w:tentative="0">
      <w:start w:val="3"/>
      <w:numFmt w:val="chineseCounting"/>
      <w:suff w:val="nothing"/>
      <w:lvlText w:val="%1、"/>
      <w:lvlJc w:val="left"/>
    </w:lvl>
  </w:abstractNum>
  <w:abstractNum w:abstractNumId="5">
    <w:nsid w:val="5621E66D"/>
    <w:multiLevelType w:val="singleLevel"/>
    <w:tmpl w:val="5621E66D"/>
    <w:lvl w:ilvl="0" w:tentative="0">
      <w:start w:val="2"/>
      <w:numFmt w:val="decimal"/>
      <w:suff w:val="nothing"/>
      <w:lvlText w:val="（%1）"/>
      <w:lvlJc w:val="left"/>
    </w:lvl>
  </w:abstractNum>
  <w:abstractNum w:abstractNumId="6">
    <w:nsid w:val="5627B731"/>
    <w:multiLevelType w:val="singleLevel"/>
    <w:tmpl w:val="5627B731"/>
    <w:lvl w:ilvl="0" w:tentative="0">
      <w:start w:val="2"/>
      <w:numFmt w:val="chineseCounting"/>
      <w:suff w:val="nothing"/>
      <w:lvlText w:val="（%1）"/>
      <w:lvlJc w:val="left"/>
    </w:lvl>
  </w:abstractNum>
  <w:abstractNum w:abstractNumId="7">
    <w:nsid w:val="5681E732"/>
    <w:multiLevelType w:val="singleLevel"/>
    <w:tmpl w:val="5681E732"/>
    <w:lvl w:ilvl="0" w:tentative="0">
      <w:start w:val="1"/>
      <w:numFmt w:val="chineseCounting"/>
      <w:suff w:val="nothing"/>
      <w:lvlText w:val="（%1）"/>
      <w:lvlJc w:val="left"/>
    </w:lvl>
  </w:abstractNum>
  <w:abstractNum w:abstractNumId="8">
    <w:nsid w:val="568A41E0"/>
    <w:multiLevelType w:val="singleLevel"/>
    <w:tmpl w:val="568A41E0"/>
    <w:lvl w:ilvl="0" w:tentative="0">
      <w:start w:val="1"/>
      <w:numFmt w:val="decimal"/>
      <w:lvlText w:val="%1"/>
      <w:lvlJc w:val="center"/>
      <w:pPr>
        <w:tabs>
          <w:tab w:val="left" w:pos="425"/>
        </w:tabs>
        <w:ind w:left="425" w:hanging="255"/>
      </w:pPr>
      <w:rPr>
        <w:rFonts w:hint="default"/>
      </w:rPr>
    </w:lvl>
  </w:abstractNum>
  <w:abstractNum w:abstractNumId="9">
    <w:nsid w:val="570F1C99"/>
    <w:multiLevelType w:val="singleLevel"/>
    <w:tmpl w:val="570F1C99"/>
    <w:lvl w:ilvl="0" w:tentative="0">
      <w:start w:val="1"/>
      <w:numFmt w:val="decimal"/>
      <w:lvlText w:val="%1"/>
      <w:lvlJc w:val="center"/>
      <w:pPr>
        <w:tabs>
          <w:tab w:val="left" w:pos="425"/>
        </w:tabs>
        <w:ind w:left="425" w:hanging="255"/>
      </w:pPr>
      <w:rPr>
        <w:rFonts w:hint="default"/>
      </w:rPr>
    </w:lvl>
  </w:abstractNum>
  <w:num w:numId="1">
    <w:abstractNumId w:val="9"/>
  </w:num>
  <w:num w:numId="2">
    <w:abstractNumId w:val="2"/>
  </w:num>
  <w:num w:numId="3">
    <w:abstractNumId w:val="5"/>
  </w:num>
  <w:num w:numId="4">
    <w:abstractNumId w:val="4"/>
  </w:num>
  <w:num w:numId="5">
    <w:abstractNumId w:val="7"/>
  </w:num>
  <w:num w:numId="6">
    <w:abstractNumId w:val="8"/>
  </w:num>
  <w:num w:numId="7">
    <w:abstractNumId w:val="6"/>
  </w:num>
  <w:num w:numId="8">
    <w:abstractNumId w:val="3"/>
  </w:num>
  <w:num w:numId="9">
    <w:abstractNumId w:val="0"/>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bordersDoNotSurroundHeader w:val="1"/>
  <w:bordersDoNotSurroundFooter w:val="1"/>
  <w:hideSpellingErrors/>
  <w:documentProtection w:enforcement="0"/>
  <w:defaultTabStop w:val="420"/>
  <w:drawingGridHorizontalSpacing w:val="181"/>
  <w:drawingGridVerticalSpacing w:val="156"/>
  <w:noPunctuationKerning w:val="1"/>
  <w:characterSpacingControl w:val="compressPunctuation"/>
  <w:doNotValidateAgainstSchema/>
  <w:doNotDemarcateInvalidXml/>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WVhYzk2MjVmNzE2MTZiYTg5NTdiMmYzOGI1OGE3NjMifQ=="/>
  </w:docVars>
  <w:rsids>
    <w:rsidRoot w:val="006930BC"/>
    <w:rsid w:val="00005FD4"/>
    <w:rsid w:val="0001163A"/>
    <w:rsid w:val="00013E98"/>
    <w:rsid w:val="00023DC2"/>
    <w:rsid w:val="00024ED9"/>
    <w:rsid w:val="00030735"/>
    <w:rsid w:val="000352A0"/>
    <w:rsid w:val="00047F90"/>
    <w:rsid w:val="00050E62"/>
    <w:rsid w:val="00071DD6"/>
    <w:rsid w:val="00073CAC"/>
    <w:rsid w:val="00092F70"/>
    <w:rsid w:val="0009403F"/>
    <w:rsid w:val="000B2B3B"/>
    <w:rsid w:val="000C37CE"/>
    <w:rsid w:val="000D63C7"/>
    <w:rsid w:val="000F5A6D"/>
    <w:rsid w:val="00101AC2"/>
    <w:rsid w:val="00111524"/>
    <w:rsid w:val="00114DEC"/>
    <w:rsid w:val="001313BA"/>
    <w:rsid w:val="00131E73"/>
    <w:rsid w:val="0013201D"/>
    <w:rsid w:val="00135657"/>
    <w:rsid w:val="001419AA"/>
    <w:rsid w:val="00144C9F"/>
    <w:rsid w:val="00162A36"/>
    <w:rsid w:val="00163056"/>
    <w:rsid w:val="001632AB"/>
    <w:rsid w:val="001649CF"/>
    <w:rsid w:val="001675BD"/>
    <w:rsid w:val="001700A3"/>
    <w:rsid w:val="001A5EE9"/>
    <w:rsid w:val="001A5FE7"/>
    <w:rsid w:val="001B084A"/>
    <w:rsid w:val="001B45B3"/>
    <w:rsid w:val="001C4996"/>
    <w:rsid w:val="001C5A09"/>
    <w:rsid w:val="001D366F"/>
    <w:rsid w:val="002001C2"/>
    <w:rsid w:val="00211517"/>
    <w:rsid w:val="00211F9B"/>
    <w:rsid w:val="002244E8"/>
    <w:rsid w:val="002249EE"/>
    <w:rsid w:val="002305ED"/>
    <w:rsid w:val="00270CC1"/>
    <w:rsid w:val="00280033"/>
    <w:rsid w:val="00282F8E"/>
    <w:rsid w:val="0029413A"/>
    <w:rsid w:val="002A6BAC"/>
    <w:rsid w:val="002C74D3"/>
    <w:rsid w:val="002E3C30"/>
    <w:rsid w:val="002F09B1"/>
    <w:rsid w:val="002F5A9C"/>
    <w:rsid w:val="00333FD5"/>
    <w:rsid w:val="003352E0"/>
    <w:rsid w:val="003408E8"/>
    <w:rsid w:val="00343C1F"/>
    <w:rsid w:val="00344828"/>
    <w:rsid w:val="0034763D"/>
    <w:rsid w:val="003502E6"/>
    <w:rsid w:val="00353AEA"/>
    <w:rsid w:val="00354036"/>
    <w:rsid w:val="003559BC"/>
    <w:rsid w:val="003579C5"/>
    <w:rsid w:val="00373FD0"/>
    <w:rsid w:val="00387188"/>
    <w:rsid w:val="00387F3F"/>
    <w:rsid w:val="003914AA"/>
    <w:rsid w:val="003A5FD7"/>
    <w:rsid w:val="003B6633"/>
    <w:rsid w:val="003B6CE5"/>
    <w:rsid w:val="003C4EE7"/>
    <w:rsid w:val="003C57B9"/>
    <w:rsid w:val="003D2C2A"/>
    <w:rsid w:val="003D32F2"/>
    <w:rsid w:val="003D7FA3"/>
    <w:rsid w:val="00403D47"/>
    <w:rsid w:val="0041335D"/>
    <w:rsid w:val="00426BDB"/>
    <w:rsid w:val="004341A4"/>
    <w:rsid w:val="00451754"/>
    <w:rsid w:val="00455C96"/>
    <w:rsid w:val="004723B6"/>
    <w:rsid w:val="00473CC4"/>
    <w:rsid w:val="00481D8F"/>
    <w:rsid w:val="004926AB"/>
    <w:rsid w:val="0049516E"/>
    <w:rsid w:val="004A29C2"/>
    <w:rsid w:val="004B419B"/>
    <w:rsid w:val="004B56CB"/>
    <w:rsid w:val="004B5828"/>
    <w:rsid w:val="004B7001"/>
    <w:rsid w:val="004C5A11"/>
    <w:rsid w:val="004C62B6"/>
    <w:rsid w:val="004D059D"/>
    <w:rsid w:val="004F13A5"/>
    <w:rsid w:val="005101EC"/>
    <w:rsid w:val="00511489"/>
    <w:rsid w:val="00515184"/>
    <w:rsid w:val="00515608"/>
    <w:rsid w:val="0051775A"/>
    <w:rsid w:val="00556411"/>
    <w:rsid w:val="0056604F"/>
    <w:rsid w:val="00571C99"/>
    <w:rsid w:val="00572078"/>
    <w:rsid w:val="005743BD"/>
    <w:rsid w:val="0058573D"/>
    <w:rsid w:val="00591071"/>
    <w:rsid w:val="005911CD"/>
    <w:rsid w:val="005924B8"/>
    <w:rsid w:val="00593FFF"/>
    <w:rsid w:val="005B0627"/>
    <w:rsid w:val="005B0C03"/>
    <w:rsid w:val="005C1A9E"/>
    <w:rsid w:val="005C44CE"/>
    <w:rsid w:val="005D6601"/>
    <w:rsid w:val="005E0150"/>
    <w:rsid w:val="005E185B"/>
    <w:rsid w:val="005F5708"/>
    <w:rsid w:val="005F662A"/>
    <w:rsid w:val="0060120E"/>
    <w:rsid w:val="00602225"/>
    <w:rsid w:val="006153FB"/>
    <w:rsid w:val="00615E2D"/>
    <w:rsid w:val="00624695"/>
    <w:rsid w:val="006278ED"/>
    <w:rsid w:val="00632724"/>
    <w:rsid w:val="00634A07"/>
    <w:rsid w:val="00643750"/>
    <w:rsid w:val="00644D1C"/>
    <w:rsid w:val="00647D60"/>
    <w:rsid w:val="0065325B"/>
    <w:rsid w:val="006606CD"/>
    <w:rsid w:val="006930BC"/>
    <w:rsid w:val="006A23D7"/>
    <w:rsid w:val="006A55FF"/>
    <w:rsid w:val="006A788D"/>
    <w:rsid w:val="006B023A"/>
    <w:rsid w:val="006B11D7"/>
    <w:rsid w:val="006C6D1F"/>
    <w:rsid w:val="006D2027"/>
    <w:rsid w:val="006D3513"/>
    <w:rsid w:val="006D5F99"/>
    <w:rsid w:val="006D6182"/>
    <w:rsid w:val="006E07C7"/>
    <w:rsid w:val="006F5CBC"/>
    <w:rsid w:val="006F7239"/>
    <w:rsid w:val="00703DB2"/>
    <w:rsid w:val="00705C88"/>
    <w:rsid w:val="00706925"/>
    <w:rsid w:val="007111FF"/>
    <w:rsid w:val="00735E69"/>
    <w:rsid w:val="007362AE"/>
    <w:rsid w:val="00744DD3"/>
    <w:rsid w:val="0074738C"/>
    <w:rsid w:val="0077052F"/>
    <w:rsid w:val="00773DD5"/>
    <w:rsid w:val="007953AF"/>
    <w:rsid w:val="007A41FD"/>
    <w:rsid w:val="007A4661"/>
    <w:rsid w:val="007A518A"/>
    <w:rsid w:val="007C0F99"/>
    <w:rsid w:val="007D2977"/>
    <w:rsid w:val="007D2E61"/>
    <w:rsid w:val="007E6F3C"/>
    <w:rsid w:val="008143E0"/>
    <w:rsid w:val="008217C9"/>
    <w:rsid w:val="0082196A"/>
    <w:rsid w:val="0083018B"/>
    <w:rsid w:val="0083120B"/>
    <w:rsid w:val="00836BC0"/>
    <w:rsid w:val="008470EB"/>
    <w:rsid w:val="008647E5"/>
    <w:rsid w:val="00875F28"/>
    <w:rsid w:val="00877208"/>
    <w:rsid w:val="00877E81"/>
    <w:rsid w:val="008815F0"/>
    <w:rsid w:val="008877B1"/>
    <w:rsid w:val="00890D4D"/>
    <w:rsid w:val="00894C23"/>
    <w:rsid w:val="008A32F7"/>
    <w:rsid w:val="008B01C5"/>
    <w:rsid w:val="008C787F"/>
    <w:rsid w:val="008F0541"/>
    <w:rsid w:val="008F23C1"/>
    <w:rsid w:val="008F2F38"/>
    <w:rsid w:val="009061A9"/>
    <w:rsid w:val="00910343"/>
    <w:rsid w:val="00933E9D"/>
    <w:rsid w:val="009369DB"/>
    <w:rsid w:val="009447F6"/>
    <w:rsid w:val="009632B0"/>
    <w:rsid w:val="009720D3"/>
    <w:rsid w:val="00996086"/>
    <w:rsid w:val="009A4268"/>
    <w:rsid w:val="009A7106"/>
    <w:rsid w:val="009B45DD"/>
    <w:rsid w:val="009B6E1F"/>
    <w:rsid w:val="009C4BE5"/>
    <w:rsid w:val="009D07A7"/>
    <w:rsid w:val="009D0909"/>
    <w:rsid w:val="009D4615"/>
    <w:rsid w:val="009E0847"/>
    <w:rsid w:val="009F4DAE"/>
    <w:rsid w:val="00A05100"/>
    <w:rsid w:val="00A15A94"/>
    <w:rsid w:val="00A17EE9"/>
    <w:rsid w:val="00A23B6F"/>
    <w:rsid w:val="00A31718"/>
    <w:rsid w:val="00A50A45"/>
    <w:rsid w:val="00A51D11"/>
    <w:rsid w:val="00A51D85"/>
    <w:rsid w:val="00A62CA9"/>
    <w:rsid w:val="00A72B75"/>
    <w:rsid w:val="00A87DA6"/>
    <w:rsid w:val="00AA200E"/>
    <w:rsid w:val="00AB0508"/>
    <w:rsid w:val="00AC37D8"/>
    <w:rsid w:val="00AC7932"/>
    <w:rsid w:val="00AD52F3"/>
    <w:rsid w:val="00AE521F"/>
    <w:rsid w:val="00AE6E6E"/>
    <w:rsid w:val="00AF5111"/>
    <w:rsid w:val="00AF75AB"/>
    <w:rsid w:val="00B03946"/>
    <w:rsid w:val="00B20C6F"/>
    <w:rsid w:val="00B22284"/>
    <w:rsid w:val="00B252E5"/>
    <w:rsid w:val="00B32940"/>
    <w:rsid w:val="00B4073D"/>
    <w:rsid w:val="00B47752"/>
    <w:rsid w:val="00B50B07"/>
    <w:rsid w:val="00B51267"/>
    <w:rsid w:val="00B574BC"/>
    <w:rsid w:val="00B819DB"/>
    <w:rsid w:val="00B91962"/>
    <w:rsid w:val="00BA4BFA"/>
    <w:rsid w:val="00BC5039"/>
    <w:rsid w:val="00BD306B"/>
    <w:rsid w:val="00BD6E10"/>
    <w:rsid w:val="00BD73D0"/>
    <w:rsid w:val="00BE5F09"/>
    <w:rsid w:val="00BF5B8B"/>
    <w:rsid w:val="00C04EA4"/>
    <w:rsid w:val="00C2356B"/>
    <w:rsid w:val="00C42CBA"/>
    <w:rsid w:val="00C44665"/>
    <w:rsid w:val="00C532BF"/>
    <w:rsid w:val="00C56EBC"/>
    <w:rsid w:val="00C7152C"/>
    <w:rsid w:val="00CB54AE"/>
    <w:rsid w:val="00CC142A"/>
    <w:rsid w:val="00CC2D7E"/>
    <w:rsid w:val="00CD177D"/>
    <w:rsid w:val="00CD487A"/>
    <w:rsid w:val="00CE4D22"/>
    <w:rsid w:val="00CF06F2"/>
    <w:rsid w:val="00D11B54"/>
    <w:rsid w:val="00D13640"/>
    <w:rsid w:val="00D43B18"/>
    <w:rsid w:val="00D46AE5"/>
    <w:rsid w:val="00D50B29"/>
    <w:rsid w:val="00D54345"/>
    <w:rsid w:val="00D61FFE"/>
    <w:rsid w:val="00D6500B"/>
    <w:rsid w:val="00D70A2A"/>
    <w:rsid w:val="00D8651A"/>
    <w:rsid w:val="00D964A2"/>
    <w:rsid w:val="00DB0123"/>
    <w:rsid w:val="00DB5EDE"/>
    <w:rsid w:val="00DC5CE6"/>
    <w:rsid w:val="00DF0BE2"/>
    <w:rsid w:val="00E05123"/>
    <w:rsid w:val="00E134B4"/>
    <w:rsid w:val="00E15C31"/>
    <w:rsid w:val="00E3555C"/>
    <w:rsid w:val="00E35900"/>
    <w:rsid w:val="00E4287F"/>
    <w:rsid w:val="00E42B56"/>
    <w:rsid w:val="00E42C93"/>
    <w:rsid w:val="00E57490"/>
    <w:rsid w:val="00E61C08"/>
    <w:rsid w:val="00E6709C"/>
    <w:rsid w:val="00E70927"/>
    <w:rsid w:val="00E73B4E"/>
    <w:rsid w:val="00E76CC4"/>
    <w:rsid w:val="00E80036"/>
    <w:rsid w:val="00E832D1"/>
    <w:rsid w:val="00E87C67"/>
    <w:rsid w:val="00E917E4"/>
    <w:rsid w:val="00EA4C1C"/>
    <w:rsid w:val="00EC0198"/>
    <w:rsid w:val="00EC385C"/>
    <w:rsid w:val="00ED1266"/>
    <w:rsid w:val="00ED14F8"/>
    <w:rsid w:val="00ED2ACE"/>
    <w:rsid w:val="00EE6DF3"/>
    <w:rsid w:val="00EF33BA"/>
    <w:rsid w:val="00EF7840"/>
    <w:rsid w:val="00F06774"/>
    <w:rsid w:val="00F12A63"/>
    <w:rsid w:val="00F12B1E"/>
    <w:rsid w:val="00F20A59"/>
    <w:rsid w:val="00F27852"/>
    <w:rsid w:val="00F31855"/>
    <w:rsid w:val="00F3186E"/>
    <w:rsid w:val="00F31D59"/>
    <w:rsid w:val="00F465A8"/>
    <w:rsid w:val="00F62349"/>
    <w:rsid w:val="00F648E2"/>
    <w:rsid w:val="00F83DAF"/>
    <w:rsid w:val="00FA2911"/>
    <w:rsid w:val="00FA3385"/>
    <w:rsid w:val="00FA7A4F"/>
    <w:rsid w:val="00FB73D8"/>
    <w:rsid w:val="00FC1B99"/>
    <w:rsid w:val="00FD03C5"/>
    <w:rsid w:val="00FD3E03"/>
    <w:rsid w:val="00FD6D3E"/>
    <w:rsid w:val="00FF2A74"/>
    <w:rsid w:val="00FF5031"/>
    <w:rsid w:val="01284131"/>
    <w:rsid w:val="012F3A06"/>
    <w:rsid w:val="012F7800"/>
    <w:rsid w:val="01361389"/>
    <w:rsid w:val="013C28B9"/>
    <w:rsid w:val="016234D2"/>
    <w:rsid w:val="01630F53"/>
    <w:rsid w:val="0171156E"/>
    <w:rsid w:val="0182715D"/>
    <w:rsid w:val="0191079E"/>
    <w:rsid w:val="01BD5133"/>
    <w:rsid w:val="01C070EF"/>
    <w:rsid w:val="01C338E7"/>
    <w:rsid w:val="01CF2862"/>
    <w:rsid w:val="01CF32F3"/>
    <w:rsid w:val="01D009D9"/>
    <w:rsid w:val="01D72E18"/>
    <w:rsid w:val="01DB7918"/>
    <w:rsid w:val="0206025B"/>
    <w:rsid w:val="02071A61"/>
    <w:rsid w:val="0246263A"/>
    <w:rsid w:val="02474971"/>
    <w:rsid w:val="024E275D"/>
    <w:rsid w:val="024F56D9"/>
    <w:rsid w:val="0252665D"/>
    <w:rsid w:val="02867464"/>
    <w:rsid w:val="02980D17"/>
    <w:rsid w:val="029B44D3"/>
    <w:rsid w:val="029F65A8"/>
    <w:rsid w:val="02A14092"/>
    <w:rsid w:val="02A9706C"/>
    <w:rsid w:val="02F12CE4"/>
    <w:rsid w:val="02F33300"/>
    <w:rsid w:val="03184472"/>
    <w:rsid w:val="033B65DB"/>
    <w:rsid w:val="03456EEA"/>
    <w:rsid w:val="03706327"/>
    <w:rsid w:val="037552F4"/>
    <w:rsid w:val="03820F4E"/>
    <w:rsid w:val="03905CE5"/>
    <w:rsid w:val="03A9050D"/>
    <w:rsid w:val="03C4523A"/>
    <w:rsid w:val="03F56E83"/>
    <w:rsid w:val="03F97C93"/>
    <w:rsid w:val="04014077"/>
    <w:rsid w:val="0402583D"/>
    <w:rsid w:val="04283463"/>
    <w:rsid w:val="04380A7C"/>
    <w:rsid w:val="0444100C"/>
    <w:rsid w:val="046724C5"/>
    <w:rsid w:val="047475DC"/>
    <w:rsid w:val="048D7DCB"/>
    <w:rsid w:val="048F5E16"/>
    <w:rsid w:val="0491110B"/>
    <w:rsid w:val="04BC56AA"/>
    <w:rsid w:val="04C837E3"/>
    <w:rsid w:val="04CF69F1"/>
    <w:rsid w:val="04F86B8D"/>
    <w:rsid w:val="05161953"/>
    <w:rsid w:val="05173FCA"/>
    <w:rsid w:val="052D10D1"/>
    <w:rsid w:val="05302012"/>
    <w:rsid w:val="05435E52"/>
    <w:rsid w:val="054F0EA2"/>
    <w:rsid w:val="055424CE"/>
    <w:rsid w:val="05595D2A"/>
    <w:rsid w:val="0576474F"/>
    <w:rsid w:val="05831998"/>
    <w:rsid w:val="05B40E23"/>
    <w:rsid w:val="05B70EED"/>
    <w:rsid w:val="05C8248C"/>
    <w:rsid w:val="05DF682E"/>
    <w:rsid w:val="05E64FF2"/>
    <w:rsid w:val="06150CC7"/>
    <w:rsid w:val="0620509A"/>
    <w:rsid w:val="06236CAA"/>
    <w:rsid w:val="062959A9"/>
    <w:rsid w:val="064426B0"/>
    <w:rsid w:val="065906F6"/>
    <w:rsid w:val="066A535F"/>
    <w:rsid w:val="06713B9F"/>
    <w:rsid w:val="06BD0895"/>
    <w:rsid w:val="06D0743C"/>
    <w:rsid w:val="06D76DC6"/>
    <w:rsid w:val="06D84FF1"/>
    <w:rsid w:val="07087596"/>
    <w:rsid w:val="071568AB"/>
    <w:rsid w:val="071F527F"/>
    <w:rsid w:val="07203579"/>
    <w:rsid w:val="07510C8F"/>
    <w:rsid w:val="075C3DF8"/>
    <w:rsid w:val="07672DDA"/>
    <w:rsid w:val="077559CB"/>
    <w:rsid w:val="077F69B0"/>
    <w:rsid w:val="07945FAE"/>
    <w:rsid w:val="07A6619A"/>
    <w:rsid w:val="07E53700"/>
    <w:rsid w:val="07E74C1A"/>
    <w:rsid w:val="07F36ABE"/>
    <w:rsid w:val="08022920"/>
    <w:rsid w:val="08090496"/>
    <w:rsid w:val="080B3940"/>
    <w:rsid w:val="081945E6"/>
    <w:rsid w:val="081F79D3"/>
    <w:rsid w:val="082422EC"/>
    <w:rsid w:val="08312A51"/>
    <w:rsid w:val="083B68A8"/>
    <w:rsid w:val="08612BDC"/>
    <w:rsid w:val="08616B4D"/>
    <w:rsid w:val="0862434F"/>
    <w:rsid w:val="08737CBE"/>
    <w:rsid w:val="08986A27"/>
    <w:rsid w:val="08A4212E"/>
    <w:rsid w:val="08A737BE"/>
    <w:rsid w:val="08AB07C0"/>
    <w:rsid w:val="08AD625B"/>
    <w:rsid w:val="08BB1A79"/>
    <w:rsid w:val="08BC5332"/>
    <w:rsid w:val="08C6691C"/>
    <w:rsid w:val="09296316"/>
    <w:rsid w:val="094139BD"/>
    <w:rsid w:val="09516EC7"/>
    <w:rsid w:val="0972418C"/>
    <w:rsid w:val="097C3A38"/>
    <w:rsid w:val="09835D69"/>
    <w:rsid w:val="09837CAA"/>
    <w:rsid w:val="099111BE"/>
    <w:rsid w:val="09A95CF9"/>
    <w:rsid w:val="09E92ED1"/>
    <w:rsid w:val="09FC1209"/>
    <w:rsid w:val="0A00515F"/>
    <w:rsid w:val="0A0510AA"/>
    <w:rsid w:val="0A410535"/>
    <w:rsid w:val="0A724857"/>
    <w:rsid w:val="0AE3125F"/>
    <w:rsid w:val="0AF54308"/>
    <w:rsid w:val="0B223523"/>
    <w:rsid w:val="0B2628D9"/>
    <w:rsid w:val="0B4B7F72"/>
    <w:rsid w:val="0B7F426C"/>
    <w:rsid w:val="0B8175F9"/>
    <w:rsid w:val="0B837DC6"/>
    <w:rsid w:val="0B856175"/>
    <w:rsid w:val="0B9A2898"/>
    <w:rsid w:val="0BA352FE"/>
    <w:rsid w:val="0BBF341C"/>
    <w:rsid w:val="0BD75477"/>
    <w:rsid w:val="0BE011CA"/>
    <w:rsid w:val="0BEF4520"/>
    <w:rsid w:val="0BFA6134"/>
    <w:rsid w:val="0C056EA6"/>
    <w:rsid w:val="0C157FE3"/>
    <w:rsid w:val="0C25027D"/>
    <w:rsid w:val="0C2A5745"/>
    <w:rsid w:val="0C2A6A78"/>
    <w:rsid w:val="0C485EB3"/>
    <w:rsid w:val="0C5A2FA8"/>
    <w:rsid w:val="0C5E25D5"/>
    <w:rsid w:val="0C697061"/>
    <w:rsid w:val="0C6C7412"/>
    <w:rsid w:val="0C7274ED"/>
    <w:rsid w:val="0C7B11DB"/>
    <w:rsid w:val="0C9316EF"/>
    <w:rsid w:val="0CB11345"/>
    <w:rsid w:val="0CBE38F4"/>
    <w:rsid w:val="0CD12914"/>
    <w:rsid w:val="0CD419FB"/>
    <w:rsid w:val="0CE030D7"/>
    <w:rsid w:val="0CE06CAC"/>
    <w:rsid w:val="0CE1212E"/>
    <w:rsid w:val="0D1E744A"/>
    <w:rsid w:val="0D253771"/>
    <w:rsid w:val="0D71287C"/>
    <w:rsid w:val="0D7E3D32"/>
    <w:rsid w:val="0D9E3457"/>
    <w:rsid w:val="0DE55D64"/>
    <w:rsid w:val="0DEF74E9"/>
    <w:rsid w:val="0E00773D"/>
    <w:rsid w:val="0E1A454C"/>
    <w:rsid w:val="0E2778E8"/>
    <w:rsid w:val="0E4B2804"/>
    <w:rsid w:val="0E4F2D85"/>
    <w:rsid w:val="0E54720D"/>
    <w:rsid w:val="0E806DD8"/>
    <w:rsid w:val="0E8E6737"/>
    <w:rsid w:val="0EA97F9C"/>
    <w:rsid w:val="0EC0707C"/>
    <w:rsid w:val="0EE23BA0"/>
    <w:rsid w:val="0EEF0710"/>
    <w:rsid w:val="0F2B146F"/>
    <w:rsid w:val="0F3C4903"/>
    <w:rsid w:val="0F5F09C4"/>
    <w:rsid w:val="0F971E23"/>
    <w:rsid w:val="0FBE3892"/>
    <w:rsid w:val="0FCE44FB"/>
    <w:rsid w:val="0FD22F01"/>
    <w:rsid w:val="0FE04596"/>
    <w:rsid w:val="101C55E6"/>
    <w:rsid w:val="102709A5"/>
    <w:rsid w:val="108D618F"/>
    <w:rsid w:val="10A16193"/>
    <w:rsid w:val="10AC65B5"/>
    <w:rsid w:val="10E74448"/>
    <w:rsid w:val="10F86488"/>
    <w:rsid w:val="11132530"/>
    <w:rsid w:val="11265DB1"/>
    <w:rsid w:val="115D232B"/>
    <w:rsid w:val="11711110"/>
    <w:rsid w:val="11871AC3"/>
    <w:rsid w:val="119D1273"/>
    <w:rsid w:val="11B97AF3"/>
    <w:rsid w:val="11BE467C"/>
    <w:rsid w:val="11C657A9"/>
    <w:rsid w:val="11CF2D47"/>
    <w:rsid w:val="11D26297"/>
    <w:rsid w:val="11E511CD"/>
    <w:rsid w:val="120441B4"/>
    <w:rsid w:val="120913B2"/>
    <w:rsid w:val="121015B2"/>
    <w:rsid w:val="12157C38"/>
    <w:rsid w:val="12160F3D"/>
    <w:rsid w:val="1218338D"/>
    <w:rsid w:val="12382495"/>
    <w:rsid w:val="124C36EF"/>
    <w:rsid w:val="12583BA5"/>
    <w:rsid w:val="1285376F"/>
    <w:rsid w:val="128F1B00"/>
    <w:rsid w:val="129C3393"/>
    <w:rsid w:val="12EF1449"/>
    <w:rsid w:val="12EF26E0"/>
    <w:rsid w:val="132015E6"/>
    <w:rsid w:val="134A2EDB"/>
    <w:rsid w:val="1359284E"/>
    <w:rsid w:val="135E3453"/>
    <w:rsid w:val="13617C5A"/>
    <w:rsid w:val="138265B2"/>
    <w:rsid w:val="138E61A0"/>
    <w:rsid w:val="13935EAB"/>
    <w:rsid w:val="13952F0D"/>
    <w:rsid w:val="139A319D"/>
    <w:rsid w:val="13AA5AD0"/>
    <w:rsid w:val="13AC5EBB"/>
    <w:rsid w:val="13C540FC"/>
    <w:rsid w:val="13D30E93"/>
    <w:rsid w:val="14125F44"/>
    <w:rsid w:val="14144A93"/>
    <w:rsid w:val="14197409"/>
    <w:rsid w:val="143F636F"/>
    <w:rsid w:val="144408AA"/>
    <w:rsid w:val="14771621"/>
    <w:rsid w:val="148235B5"/>
    <w:rsid w:val="148A2BC0"/>
    <w:rsid w:val="14934F36"/>
    <w:rsid w:val="14A240CA"/>
    <w:rsid w:val="14C7640D"/>
    <w:rsid w:val="14E32355"/>
    <w:rsid w:val="14ED4E63"/>
    <w:rsid w:val="151A4A2D"/>
    <w:rsid w:val="152F1FB8"/>
    <w:rsid w:val="15312C6E"/>
    <w:rsid w:val="15353CA8"/>
    <w:rsid w:val="153C0465"/>
    <w:rsid w:val="1541690E"/>
    <w:rsid w:val="15460D75"/>
    <w:rsid w:val="15B73331"/>
    <w:rsid w:val="15BD7ABA"/>
    <w:rsid w:val="15DB706A"/>
    <w:rsid w:val="162D01AA"/>
    <w:rsid w:val="164340CA"/>
    <w:rsid w:val="16581B15"/>
    <w:rsid w:val="16666C4E"/>
    <w:rsid w:val="16795C6E"/>
    <w:rsid w:val="16821F92"/>
    <w:rsid w:val="16980722"/>
    <w:rsid w:val="16E57CBB"/>
    <w:rsid w:val="16ED23AA"/>
    <w:rsid w:val="16F455B8"/>
    <w:rsid w:val="171A4DBD"/>
    <w:rsid w:val="174A4890"/>
    <w:rsid w:val="174E24C2"/>
    <w:rsid w:val="17505512"/>
    <w:rsid w:val="1756097C"/>
    <w:rsid w:val="17707100"/>
    <w:rsid w:val="17801090"/>
    <w:rsid w:val="178F79B5"/>
    <w:rsid w:val="179C64BF"/>
    <w:rsid w:val="17A651C7"/>
    <w:rsid w:val="17AE28B8"/>
    <w:rsid w:val="17B0376D"/>
    <w:rsid w:val="17C06DC3"/>
    <w:rsid w:val="17C4240D"/>
    <w:rsid w:val="17D403C8"/>
    <w:rsid w:val="17DC7AB4"/>
    <w:rsid w:val="17F14C86"/>
    <w:rsid w:val="18116C89"/>
    <w:rsid w:val="1818055E"/>
    <w:rsid w:val="184F2343"/>
    <w:rsid w:val="18592200"/>
    <w:rsid w:val="186F7510"/>
    <w:rsid w:val="18B26813"/>
    <w:rsid w:val="18B3143D"/>
    <w:rsid w:val="18B9642F"/>
    <w:rsid w:val="18DF4C8F"/>
    <w:rsid w:val="18E55D68"/>
    <w:rsid w:val="18F16D7F"/>
    <w:rsid w:val="190D36A9"/>
    <w:rsid w:val="190F619B"/>
    <w:rsid w:val="19382B52"/>
    <w:rsid w:val="19463C89"/>
    <w:rsid w:val="196E5D95"/>
    <w:rsid w:val="197E0F07"/>
    <w:rsid w:val="19871CEE"/>
    <w:rsid w:val="1995715C"/>
    <w:rsid w:val="19BA37C2"/>
    <w:rsid w:val="19CE12B7"/>
    <w:rsid w:val="19FA1004"/>
    <w:rsid w:val="1A167E60"/>
    <w:rsid w:val="1A284067"/>
    <w:rsid w:val="1A2E531E"/>
    <w:rsid w:val="1A3B0898"/>
    <w:rsid w:val="1A4407FD"/>
    <w:rsid w:val="1A451A17"/>
    <w:rsid w:val="1A7828FB"/>
    <w:rsid w:val="1A7B1D76"/>
    <w:rsid w:val="1A9949B2"/>
    <w:rsid w:val="1AB3725D"/>
    <w:rsid w:val="1AD805B8"/>
    <w:rsid w:val="1ADE45C5"/>
    <w:rsid w:val="1AED13BD"/>
    <w:rsid w:val="1AED6D61"/>
    <w:rsid w:val="1AF1208C"/>
    <w:rsid w:val="1B0A43E8"/>
    <w:rsid w:val="1B1C7B86"/>
    <w:rsid w:val="1B2C20BF"/>
    <w:rsid w:val="1B3E0795"/>
    <w:rsid w:val="1B4674A8"/>
    <w:rsid w:val="1B716318"/>
    <w:rsid w:val="1B7A5963"/>
    <w:rsid w:val="1BBC5511"/>
    <w:rsid w:val="1BF60309"/>
    <w:rsid w:val="1BF947FC"/>
    <w:rsid w:val="1BFC2A77"/>
    <w:rsid w:val="1C0118C5"/>
    <w:rsid w:val="1C1F53D1"/>
    <w:rsid w:val="1C2B3517"/>
    <w:rsid w:val="1C4808CC"/>
    <w:rsid w:val="1C493F58"/>
    <w:rsid w:val="1C6943D6"/>
    <w:rsid w:val="1C6C3751"/>
    <w:rsid w:val="1C6F4FB4"/>
    <w:rsid w:val="1CA8208C"/>
    <w:rsid w:val="1CB11E8D"/>
    <w:rsid w:val="1CBD2B35"/>
    <w:rsid w:val="1CCD534E"/>
    <w:rsid w:val="1CDD0E6C"/>
    <w:rsid w:val="1D170C45"/>
    <w:rsid w:val="1D274763"/>
    <w:rsid w:val="1D3559C0"/>
    <w:rsid w:val="1D54432D"/>
    <w:rsid w:val="1D7A676B"/>
    <w:rsid w:val="1D7D76F0"/>
    <w:rsid w:val="1D8E540C"/>
    <w:rsid w:val="1DCA77EF"/>
    <w:rsid w:val="1DE245C8"/>
    <w:rsid w:val="1E0A4D56"/>
    <w:rsid w:val="1E0E681B"/>
    <w:rsid w:val="1E1046E0"/>
    <w:rsid w:val="1E1E5B9E"/>
    <w:rsid w:val="1E327B3E"/>
    <w:rsid w:val="1E357520"/>
    <w:rsid w:val="1E8849E8"/>
    <w:rsid w:val="1E9318E5"/>
    <w:rsid w:val="1E9D1D46"/>
    <w:rsid w:val="1ED0129B"/>
    <w:rsid w:val="1ED56D9C"/>
    <w:rsid w:val="1EDA40D0"/>
    <w:rsid w:val="1EDB2EB0"/>
    <w:rsid w:val="1EE559BD"/>
    <w:rsid w:val="1EF02E5B"/>
    <w:rsid w:val="1EF70D87"/>
    <w:rsid w:val="1F137D19"/>
    <w:rsid w:val="1F24354A"/>
    <w:rsid w:val="1F2C33D7"/>
    <w:rsid w:val="1F383249"/>
    <w:rsid w:val="1F566F76"/>
    <w:rsid w:val="1F936DDB"/>
    <w:rsid w:val="1FA94802"/>
    <w:rsid w:val="1FAB7D05"/>
    <w:rsid w:val="1FB8524E"/>
    <w:rsid w:val="1FD93CCC"/>
    <w:rsid w:val="1FDB32CC"/>
    <w:rsid w:val="1FDB47B1"/>
    <w:rsid w:val="201255B0"/>
    <w:rsid w:val="20240E19"/>
    <w:rsid w:val="206C73D6"/>
    <w:rsid w:val="208833EE"/>
    <w:rsid w:val="20970C07"/>
    <w:rsid w:val="20A943A5"/>
    <w:rsid w:val="20B24B67"/>
    <w:rsid w:val="20F735CF"/>
    <w:rsid w:val="20FD0262"/>
    <w:rsid w:val="210210BD"/>
    <w:rsid w:val="21047F36"/>
    <w:rsid w:val="21222D6A"/>
    <w:rsid w:val="21297607"/>
    <w:rsid w:val="213B6242"/>
    <w:rsid w:val="214847E3"/>
    <w:rsid w:val="2174028A"/>
    <w:rsid w:val="21890FBD"/>
    <w:rsid w:val="21A91D49"/>
    <w:rsid w:val="21AC2CCE"/>
    <w:rsid w:val="21B26DD5"/>
    <w:rsid w:val="21B85D60"/>
    <w:rsid w:val="21BF3EED"/>
    <w:rsid w:val="21CF013A"/>
    <w:rsid w:val="220D1A6D"/>
    <w:rsid w:val="2215517F"/>
    <w:rsid w:val="22243378"/>
    <w:rsid w:val="22255049"/>
    <w:rsid w:val="223537F4"/>
    <w:rsid w:val="22536BD6"/>
    <w:rsid w:val="2259410E"/>
    <w:rsid w:val="22701452"/>
    <w:rsid w:val="22964A42"/>
    <w:rsid w:val="22B37C7D"/>
    <w:rsid w:val="22CE4ABA"/>
    <w:rsid w:val="22E95DD3"/>
    <w:rsid w:val="22F40BFA"/>
    <w:rsid w:val="22F95B5B"/>
    <w:rsid w:val="23437BD7"/>
    <w:rsid w:val="234939F4"/>
    <w:rsid w:val="235B0F9C"/>
    <w:rsid w:val="23834AD2"/>
    <w:rsid w:val="238B2389"/>
    <w:rsid w:val="23944515"/>
    <w:rsid w:val="23962A9D"/>
    <w:rsid w:val="23A7379D"/>
    <w:rsid w:val="23AA1BE3"/>
    <w:rsid w:val="23CA23D8"/>
    <w:rsid w:val="23E45DF0"/>
    <w:rsid w:val="23FA1420"/>
    <w:rsid w:val="24061828"/>
    <w:rsid w:val="24150698"/>
    <w:rsid w:val="24A848B0"/>
    <w:rsid w:val="24AB0ADC"/>
    <w:rsid w:val="24AE0D3C"/>
    <w:rsid w:val="24B009BC"/>
    <w:rsid w:val="24BE73D3"/>
    <w:rsid w:val="24EA3120"/>
    <w:rsid w:val="24EC4816"/>
    <w:rsid w:val="2511775C"/>
    <w:rsid w:val="25171665"/>
    <w:rsid w:val="251B0DC3"/>
    <w:rsid w:val="251C46AD"/>
    <w:rsid w:val="25323701"/>
    <w:rsid w:val="25522B45"/>
    <w:rsid w:val="256044AE"/>
    <w:rsid w:val="257A353D"/>
    <w:rsid w:val="25A22072"/>
    <w:rsid w:val="25B838A1"/>
    <w:rsid w:val="25BC4AE8"/>
    <w:rsid w:val="25C84D0C"/>
    <w:rsid w:val="25D4529B"/>
    <w:rsid w:val="25DB04AA"/>
    <w:rsid w:val="25E258B6"/>
    <w:rsid w:val="25E40DB9"/>
    <w:rsid w:val="25EA21BE"/>
    <w:rsid w:val="264206DA"/>
    <w:rsid w:val="26534B02"/>
    <w:rsid w:val="26A13313"/>
    <w:rsid w:val="26B92096"/>
    <w:rsid w:val="26D32C40"/>
    <w:rsid w:val="26E44D42"/>
    <w:rsid w:val="26E4675D"/>
    <w:rsid w:val="26ED2715"/>
    <w:rsid w:val="26F104BB"/>
    <w:rsid w:val="26F30F76"/>
    <w:rsid w:val="27057EF5"/>
    <w:rsid w:val="270B1507"/>
    <w:rsid w:val="27220553"/>
    <w:rsid w:val="27261E6C"/>
    <w:rsid w:val="273A2420"/>
    <w:rsid w:val="27493F03"/>
    <w:rsid w:val="275E325E"/>
    <w:rsid w:val="27845E4D"/>
    <w:rsid w:val="27933606"/>
    <w:rsid w:val="27A95222"/>
    <w:rsid w:val="27AB5F61"/>
    <w:rsid w:val="27B059E1"/>
    <w:rsid w:val="27B76736"/>
    <w:rsid w:val="27CD66DB"/>
    <w:rsid w:val="27E36E00"/>
    <w:rsid w:val="27E378D8"/>
    <w:rsid w:val="281E3735"/>
    <w:rsid w:val="282410C6"/>
    <w:rsid w:val="283D368C"/>
    <w:rsid w:val="283F393C"/>
    <w:rsid w:val="284C65F3"/>
    <w:rsid w:val="2853693C"/>
    <w:rsid w:val="28586644"/>
    <w:rsid w:val="286B1A5C"/>
    <w:rsid w:val="28824F05"/>
    <w:rsid w:val="28856334"/>
    <w:rsid w:val="288B7D93"/>
    <w:rsid w:val="288D270E"/>
    <w:rsid w:val="28A605BD"/>
    <w:rsid w:val="28C51279"/>
    <w:rsid w:val="28CB4C8C"/>
    <w:rsid w:val="28CD627E"/>
    <w:rsid w:val="2907735C"/>
    <w:rsid w:val="290A285E"/>
    <w:rsid w:val="290D5569"/>
    <w:rsid w:val="290E02E0"/>
    <w:rsid w:val="29151EF5"/>
    <w:rsid w:val="29171F5A"/>
    <w:rsid w:val="29311F4D"/>
    <w:rsid w:val="295E5B6D"/>
    <w:rsid w:val="295F57ED"/>
    <w:rsid w:val="29671DF7"/>
    <w:rsid w:val="298A1D8E"/>
    <w:rsid w:val="299D6956"/>
    <w:rsid w:val="29A34FDC"/>
    <w:rsid w:val="29A91C65"/>
    <w:rsid w:val="29AD116F"/>
    <w:rsid w:val="29B02FC2"/>
    <w:rsid w:val="29B23078"/>
    <w:rsid w:val="29B4657B"/>
    <w:rsid w:val="29BA520E"/>
    <w:rsid w:val="29BE1CD4"/>
    <w:rsid w:val="29D56AB0"/>
    <w:rsid w:val="29EA4282"/>
    <w:rsid w:val="2A0362FB"/>
    <w:rsid w:val="2A0A1578"/>
    <w:rsid w:val="2A0C1188"/>
    <w:rsid w:val="2A413BE1"/>
    <w:rsid w:val="2A523B98"/>
    <w:rsid w:val="2A62361E"/>
    <w:rsid w:val="2A753C3F"/>
    <w:rsid w:val="2A9B4002"/>
    <w:rsid w:val="2AA50082"/>
    <w:rsid w:val="2AAB7AA6"/>
    <w:rsid w:val="2AB17718"/>
    <w:rsid w:val="2AB91304"/>
    <w:rsid w:val="2ABF136C"/>
    <w:rsid w:val="2ACF254B"/>
    <w:rsid w:val="2AF77E8C"/>
    <w:rsid w:val="2B0626A5"/>
    <w:rsid w:val="2B382276"/>
    <w:rsid w:val="2B513A1E"/>
    <w:rsid w:val="2B5D7C3A"/>
    <w:rsid w:val="2B88197A"/>
    <w:rsid w:val="2B8D35E2"/>
    <w:rsid w:val="2B98248F"/>
    <w:rsid w:val="2B9A2319"/>
    <w:rsid w:val="2B9F54AD"/>
    <w:rsid w:val="2BC13146"/>
    <w:rsid w:val="2BD40774"/>
    <w:rsid w:val="2BDE1084"/>
    <w:rsid w:val="2BDF6B05"/>
    <w:rsid w:val="2BFC25C5"/>
    <w:rsid w:val="2C2162AE"/>
    <w:rsid w:val="2C2C2488"/>
    <w:rsid w:val="2C362D97"/>
    <w:rsid w:val="2C3F011C"/>
    <w:rsid w:val="2C5D2C57"/>
    <w:rsid w:val="2C645700"/>
    <w:rsid w:val="2C75536E"/>
    <w:rsid w:val="2C821B92"/>
    <w:rsid w:val="2C96177F"/>
    <w:rsid w:val="2C9B39E1"/>
    <w:rsid w:val="2CAE175C"/>
    <w:rsid w:val="2CBA719E"/>
    <w:rsid w:val="2D23171B"/>
    <w:rsid w:val="2D2338D4"/>
    <w:rsid w:val="2D2F5366"/>
    <w:rsid w:val="2D4D6816"/>
    <w:rsid w:val="2D5A7676"/>
    <w:rsid w:val="2D7A7BAB"/>
    <w:rsid w:val="2D9633DF"/>
    <w:rsid w:val="2D992479"/>
    <w:rsid w:val="2DB27D05"/>
    <w:rsid w:val="2DBD368A"/>
    <w:rsid w:val="2DC74427"/>
    <w:rsid w:val="2DCB2144"/>
    <w:rsid w:val="2DCB7346"/>
    <w:rsid w:val="2DCF1F8A"/>
    <w:rsid w:val="2DE52846"/>
    <w:rsid w:val="2DEE2E15"/>
    <w:rsid w:val="2DFC5895"/>
    <w:rsid w:val="2E001109"/>
    <w:rsid w:val="2E1316C7"/>
    <w:rsid w:val="2E27451B"/>
    <w:rsid w:val="2E4375F4"/>
    <w:rsid w:val="2E616D95"/>
    <w:rsid w:val="2E7013BD"/>
    <w:rsid w:val="2E8A57EA"/>
    <w:rsid w:val="2E956737"/>
    <w:rsid w:val="2EA97253"/>
    <w:rsid w:val="2ED67E68"/>
    <w:rsid w:val="2EE81372"/>
    <w:rsid w:val="2EF1084A"/>
    <w:rsid w:val="2EF447FB"/>
    <w:rsid w:val="2F3107D2"/>
    <w:rsid w:val="2F4C58A8"/>
    <w:rsid w:val="2F4E0DAB"/>
    <w:rsid w:val="2F55179D"/>
    <w:rsid w:val="2F5662B5"/>
    <w:rsid w:val="2F61377E"/>
    <w:rsid w:val="2F670E00"/>
    <w:rsid w:val="2F742BEA"/>
    <w:rsid w:val="2F953AEE"/>
    <w:rsid w:val="2F9D6BAD"/>
    <w:rsid w:val="2FB1304E"/>
    <w:rsid w:val="2FBD48E2"/>
    <w:rsid w:val="2FC92DE4"/>
    <w:rsid w:val="2FE8359D"/>
    <w:rsid w:val="2FFF0BCF"/>
    <w:rsid w:val="300E3D38"/>
    <w:rsid w:val="300E6AC6"/>
    <w:rsid w:val="303403B6"/>
    <w:rsid w:val="303E28B2"/>
    <w:rsid w:val="304D2ECC"/>
    <w:rsid w:val="307225E6"/>
    <w:rsid w:val="30834458"/>
    <w:rsid w:val="30A66981"/>
    <w:rsid w:val="30B820D6"/>
    <w:rsid w:val="30F932A9"/>
    <w:rsid w:val="30FD7979"/>
    <w:rsid w:val="31281B4B"/>
    <w:rsid w:val="312915B6"/>
    <w:rsid w:val="313A50D3"/>
    <w:rsid w:val="31446797"/>
    <w:rsid w:val="314C0871"/>
    <w:rsid w:val="314C4FED"/>
    <w:rsid w:val="31623257"/>
    <w:rsid w:val="31721DB6"/>
    <w:rsid w:val="31950E86"/>
    <w:rsid w:val="319C18F5"/>
    <w:rsid w:val="31C5204C"/>
    <w:rsid w:val="31C970ED"/>
    <w:rsid w:val="31CB333D"/>
    <w:rsid w:val="31CD368A"/>
    <w:rsid w:val="31F9640B"/>
    <w:rsid w:val="3205221E"/>
    <w:rsid w:val="32194741"/>
    <w:rsid w:val="322470AD"/>
    <w:rsid w:val="322A6BDA"/>
    <w:rsid w:val="32385EF0"/>
    <w:rsid w:val="324271E0"/>
    <w:rsid w:val="32705150"/>
    <w:rsid w:val="327762AE"/>
    <w:rsid w:val="328714F2"/>
    <w:rsid w:val="328D2979"/>
    <w:rsid w:val="32A77828"/>
    <w:rsid w:val="32A81A27"/>
    <w:rsid w:val="32D02BEB"/>
    <w:rsid w:val="32D96C0E"/>
    <w:rsid w:val="32F169A3"/>
    <w:rsid w:val="32F7141E"/>
    <w:rsid w:val="330C174B"/>
    <w:rsid w:val="331658DE"/>
    <w:rsid w:val="333F0CA1"/>
    <w:rsid w:val="33493326"/>
    <w:rsid w:val="33595F50"/>
    <w:rsid w:val="336A7566"/>
    <w:rsid w:val="33A4602A"/>
    <w:rsid w:val="33BA4C64"/>
    <w:rsid w:val="33BF6008"/>
    <w:rsid w:val="33CA04CD"/>
    <w:rsid w:val="33FE7DDA"/>
    <w:rsid w:val="340F3D76"/>
    <w:rsid w:val="346F303D"/>
    <w:rsid w:val="34717E7C"/>
    <w:rsid w:val="34781CA2"/>
    <w:rsid w:val="348C6744"/>
    <w:rsid w:val="348F514A"/>
    <w:rsid w:val="349679AA"/>
    <w:rsid w:val="349C315B"/>
    <w:rsid w:val="34A30568"/>
    <w:rsid w:val="34B01A9A"/>
    <w:rsid w:val="34C65624"/>
    <w:rsid w:val="34E65B59"/>
    <w:rsid w:val="34F54AEF"/>
    <w:rsid w:val="34F85A73"/>
    <w:rsid w:val="35553C0F"/>
    <w:rsid w:val="355660A7"/>
    <w:rsid w:val="355D2899"/>
    <w:rsid w:val="35723F3F"/>
    <w:rsid w:val="357B73C6"/>
    <w:rsid w:val="35AE2E13"/>
    <w:rsid w:val="35B516AA"/>
    <w:rsid w:val="35BE06BB"/>
    <w:rsid w:val="35CC12CF"/>
    <w:rsid w:val="35D466DB"/>
    <w:rsid w:val="35DA04FB"/>
    <w:rsid w:val="35F75996"/>
    <w:rsid w:val="36011B29"/>
    <w:rsid w:val="3611420F"/>
    <w:rsid w:val="36255F20"/>
    <w:rsid w:val="36311859"/>
    <w:rsid w:val="3648181C"/>
    <w:rsid w:val="3657718A"/>
    <w:rsid w:val="365C7CC2"/>
    <w:rsid w:val="366C5E7B"/>
    <w:rsid w:val="36756265"/>
    <w:rsid w:val="367C09DA"/>
    <w:rsid w:val="36843CC2"/>
    <w:rsid w:val="368940DF"/>
    <w:rsid w:val="36984368"/>
    <w:rsid w:val="36BB6B9D"/>
    <w:rsid w:val="36D24400"/>
    <w:rsid w:val="36E5561F"/>
    <w:rsid w:val="36ED4C29"/>
    <w:rsid w:val="36F85177"/>
    <w:rsid w:val="36FB3F3F"/>
    <w:rsid w:val="371B5842"/>
    <w:rsid w:val="37253E8A"/>
    <w:rsid w:val="372666BB"/>
    <w:rsid w:val="374765BD"/>
    <w:rsid w:val="3751494E"/>
    <w:rsid w:val="375E1243"/>
    <w:rsid w:val="378A3526"/>
    <w:rsid w:val="37D464CF"/>
    <w:rsid w:val="37E368AF"/>
    <w:rsid w:val="37E92CBA"/>
    <w:rsid w:val="37FF5D6B"/>
    <w:rsid w:val="38157633"/>
    <w:rsid w:val="384242AC"/>
    <w:rsid w:val="3843613F"/>
    <w:rsid w:val="384A3F49"/>
    <w:rsid w:val="38610555"/>
    <w:rsid w:val="386572B7"/>
    <w:rsid w:val="386B671F"/>
    <w:rsid w:val="387C61F4"/>
    <w:rsid w:val="389771E3"/>
    <w:rsid w:val="38A96D3A"/>
    <w:rsid w:val="38BE0409"/>
    <w:rsid w:val="38C42003"/>
    <w:rsid w:val="38C53D9D"/>
    <w:rsid w:val="38D2649E"/>
    <w:rsid w:val="38D34C99"/>
    <w:rsid w:val="38E96FEE"/>
    <w:rsid w:val="390C2A26"/>
    <w:rsid w:val="390E672A"/>
    <w:rsid w:val="393B73A0"/>
    <w:rsid w:val="39614421"/>
    <w:rsid w:val="39791FC1"/>
    <w:rsid w:val="399B4893"/>
    <w:rsid w:val="39A62C24"/>
    <w:rsid w:val="39A90325"/>
    <w:rsid w:val="39CF4A58"/>
    <w:rsid w:val="39D53996"/>
    <w:rsid w:val="39E7368D"/>
    <w:rsid w:val="3A01413B"/>
    <w:rsid w:val="3A03773A"/>
    <w:rsid w:val="3A237AA5"/>
    <w:rsid w:val="3A2458C6"/>
    <w:rsid w:val="3A4A5930"/>
    <w:rsid w:val="3A5E23D3"/>
    <w:rsid w:val="3A674779"/>
    <w:rsid w:val="3A744576"/>
    <w:rsid w:val="3A852292"/>
    <w:rsid w:val="3AE86AB3"/>
    <w:rsid w:val="3AF40348"/>
    <w:rsid w:val="3B0D3470"/>
    <w:rsid w:val="3B2D0CA2"/>
    <w:rsid w:val="3B3101AC"/>
    <w:rsid w:val="3B3742B4"/>
    <w:rsid w:val="3B387A42"/>
    <w:rsid w:val="3B3A048F"/>
    <w:rsid w:val="3B516049"/>
    <w:rsid w:val="3B9F07E0"/>
    <w:rsid w:val="3BBA100A"/>
    <w:rsid w:val="3BBB6A8C"/>
    <w:rsid w:val="3BD00FAF"/>
    <w:rsid w:val="3BF12074"/>
    <w:rsid w:val="3C0B0CFF"/>
    <w:rsid w:val="3C17768F"/>
    <w:rsid w:val="3C2A6A8F"/>
    <w:rsid w:val="3C69372C"/>
    <w:rsid w:val="3C822FD1"/>
    <w:rsid w:val="3C94676F"/>
    <w:rsid w:val="3CAD511A"/>
    <w:rsid w:val="3CC800CC"/>
    <w:rsid w:val="3CC95444"/>
    <w:rsid w:val="3CD46A8F"/>
    <w:rsid w:val="3CDF1097"/>
    <w:rsid w:val="3CE974FE"/>
    <w:rsid w:val="3CEB717E"/>
    <w:rsid w:val="3D3925D3"/>
    <w:rsid w:val="3D4B6869"/>
    <w:rsid w:val="3D8418FA"/>
    <w:rsid w:val="3D8F0127"/>
    <w:rsid w:val="3D957616"/>
    <w:rsid w:val="3D9C36B0"/>
    <w:rsid w:val="3DCD2FF3"/>
    <w:rsid w:val="3DFB283E"/>
    <w:rsid w:val="3E095301"/>
    <w:rsid w:val="3E294532"/>
    <w:rsid w:val="3E47743A"/>
    <w:rsid w:val="3E737005"/>
    <w:rsid w:val="3E795DBE"/>
    <w:rsid w:val="3E7B4411"/>
    <w:rsid w:val="3E831823"/>
    <w:rsid w:val="3E9E796C"/>
    <w:rsid w:val="3EAE00E3"/>
    <w:rsid w:val="3EC7320B"/>
    <w:rsid w:val="3EDE2E31"/>
    <w:rsid w:val="3EE250BA"/>
    <w:rsid w:val="3EE32B3C"/>
    <w:rsid w:val="3EF37218"/>
    <w:rsid w:val="3F0E2D79"/>
    <w:rsid w:val="3F2E3EB4"/>
    <w:rsid w:val="3F2E55C2"/>
    <w:rsid w:val="3F371AE0"/>
    <w:rsid w:val="3F4C719E"/>
    <w:rsid w:val="3F5B7162"/>
    <w:rsid w:val="3F605988"/>
    <w:rsid w:val="3F727EBB"/>
    <w:rsid w:val="3F815EBD"/>
    <w:rsid w:val="3F8B392B"/>
    <w:rsid w:val="3F9F0CF0"/>
    <w:rsid w:val="3FB50997"/>
    <w:rsid w:val="3FBC281F"/>
    <w:rsid w:val="3FBD4320"/>
    <w:rsid w:val="3FC26926"/>
    <w:rsid w:val="3FF82684"/>
    <w:rsid w:val="402E72DA"/>
    <w:rsid w:val="407E181D"/>
    <w:rsid w:val="40A3720B"/>
    <w:rsid w:val="40B14030"/>
    <w:rsid w:val="40C177D9"/>
    <w:rsid w:val="40EB70E6"/>
    <w:rsid w:val="40EE6597"/>
    <w:rsid w:val="411D1161"/>
    <w:rsid w:val="41266DC0"/>
    <w:rsid w:val="413D3C14"/>
    <w:rsid w:val="417B6F7C"/>
    <w:rsid w:val="418D0BC5"/>
    <w:rsid w:val="41B35087"/>
    <w:rsid w:val="41BC57E8"/>
    <w:rsid w:val="41E53C2A"/>
    <w:rsid w:val="41EA5032"/>
    <w:rsid w:val="42014C57"/>
    <w:rsid w:val="422B552F"/>
    <w:rsid w:val="425159E4"/>
    <w:rsid w:val="425B17DA"/>
    <w:rsid w:val="425D1AEE"/>
    <w:rsid w:val="425E2DF2"/>
    <w:rsid w:val="426339F7"/>
    <w:rsid w:val="42665C23"/>
    <w:rsid w:val="42683702"/>
    <w:rsid w:val="427A361C"/>
    <w:rsid w:val="428773D0"/>
    <w:rsid w:val="42942737"/>
    <w:rsid w:val="4298644F"/>
    <w:rsid w:val="42CD2693"/>
    <w:rsid w:val="42CE0B28"/>
    <w:rsid w:val="42D241E7"/>
    <w:rsid w:val="42D52FBC"/>
    <w:rsid w:val="42D617B7"/>
    <w:rsid w:val="42EA160C"/>
    <w:rsid w:val="42FC6174"/>
    <w:rsid w:val="42FD5DF4"/>
    <w:rsid w:val="42FE0486"/>
    <w:rsid w:val="43182C50"/>
    <w:rsid w:val="4339372C"/>
    <w:rsid w:val="43637AC9"/>
    <w:rsid w:val="437E05B6"/>
    <w:rsid w:val="439D7926"/>
    <w:rsid w:val="43BF7237"/>
    <w:rsid w:val="43D633D3"/>
    <w:rsid w:val="440812E5"/>
    <w:rsid w:val="44115CBC"/>
    <w:rsid w:val="441B1CF0"/>
    <w:rsid w:val="445873B8"/>
    <w:rsid w:val="44710E7C"/>
    <w:rsid w:val="44803D71"/>
    <w:rsid w:val="448C1D82"/>
    <w:rsid w:val="44A67A2E"/>
    <w:rsid w:val="44B7644A"/>
    <w:rsid w:val="44BA2C52"/>
    <w:rsid w:val="44BC0775"/>
    <w:rsid w:val="44EA599F"/>
    <w:rsid w:val="4523357B"/>
    <w:rsid w:val="4524487F"/>
    <w:rsid w:val="455A36D4"/>
    <w:rsid w:val="455B146F"/>
    <w:rsid w:val="45773EBF"/>
    <w:rsid w:val="45A21841"/>
    <w:rsid w:val="45C152AF"/>
    <w:rsid w:val="45E25EC2"/>
    <w:rsid w:val="461D16DA"/>
    <w:rsid w:val="462A0D0E"/>
    <w:rsid w:val="462F416A"/>
    <w:rsid w:val="464A7E2A"/>
    <w:rsid w:val="4672297C"/>
    <w:rsid w:val="46862C04"/>
    <w:rsid w:val="468D4D4B"/>
    <w:rsid w:val="46A55876"/>
    <w:rsid w:val="46FB537F"/>
    <w:rsid w:val="46FD312F"/>
    <w:rsid w:val="471517AC"/>
    <w:rsid w:val="47282E3E"/>
    <w:rsid w:val="472E0DE6"/>
    <w:rsid w:val="47306A79"/>
    <w:rsid w:val="473D4EEF"/>
    <w:rsid w:val="473D6562"/>
    <w:rsid w:val="47411377"/>
    <w:rsid w:val="474657FE"/>
    <w:rsid w:val="47595858"/>
    <w:rsid w:val="4765504B"/>
    <w:rsid w:val="479245F9"/>
    <w:rsid w:val="48063292"/>
    <w:rsid w:val="48112949"/>
    <w:rsid w:val="48243B68"/>
    <w:rsid w:val="482D2764"/>
    <w:rsid w:val="48516FB5"/>
    <w:rsid w:val="485654F0"/>
    <w:rsid w:val="486017CE"/>
    <w:rsid w:val="4873716A"/>
    <w:rsid w:val="487835F2"/>
    <w:rsid w:val="48851835"/>
    <w:rsid w:val="488C6ABC"/>
    <w:rsid w:val="48A068F4"/>
    <w:rsid w:val="48BC36AF"/>
    <w:rsid w:val="48CA7B79"/>
    <w:rsid w:val="48D40488"/>
    <w:rsid w:val="48E74F2A"/>
    <w:rsid w:val="48ED6E34"/>
    <w:rsid w:val="490A6FB6"/>
    <w:rsid w:val="491C29B5"/>
    <w:rsid w:val="49400E3C"/>
    <w:rsid w:val="495906E1"/>
    <w:rsid w:val="495C2CD6"/>
    <w:rsid w:val="49995E5C"/>
    <w:rsid w:val="49B31C50"/>
    <w:rsid w:val="49E33EC9"/>
    <w:rsid w:val="49EA2056"/>
    <w:rsid w:val="49FA026B"/>
    <w:rsid w:val="49FA0A92"/>
    <w:rsid w:val="4A4D4CDD"/>
    <w:rsid w:val="4A547680"/>
    <w:rsid w:val="4A562B83"/>
    <w:rsid w:val="4A7C2DC2"/>
    <w:rsid w:val="4AB7593B"/>
    <w:rsid w:val="4AC73EA0"/>
    <w:rsid w:val="4ACB2B41"/>
    <w:rsid w:val="4AE249DA"/>
    <w:rsid w:val="4AF019BA"/>
    <w:rsid w:val="4B0E1690"/>
    <w:rsid w:val="4B1A32FF"/>
    <w:rsid w:val="4B2A2276"/>
    <w:rsid w:val="4B2C5164"/>
    <w:rsid w:val="4B2C58BF"/>
    <w:rsid w:val="4B2C655A"/>
    <w:rsid w:val="4B4A7E3D"/>
    <w:rsid w:val="4B53102F"/>
    <w:rsid w:val="4B7C2965"/>
    <w:rsid w:val="4B8C288E"/>
    <w:rsid w:val="4B8D3C11"/>
    <w:rsid w:val="4BA73D55"/>
    <w:rsid w:val="4BC507DB"/>
    <w:rsid w:val="4BD25C0E"/>
    <w:rsid w:val="4BF722AF"/>
    <w:rsid w:val="4C226976"/>
    <w:rsid w:val="4C394962"/>
    <w:rsid w:val="4C430690"/>
    <w:rsid w:val="4C43492C"/>
    <w:rsid w:val="4C4758FD"/>
    <w:rsid w:val="4C4A1C99"/>
    <w:rsid w:val="4C563BE6"/>
    <w:rsid w:val="4C596DA3"/>
    <w:rsid w:val="4C6E0FF4"/>
    <w:rsid w:val="4C8C6F25"/>
    <w:rsid w:val="4C9011A8"/>
    <w:rsid w:val="4C901266"/>
    <w:rsid w:val="4C967877"/>
    <w:rsid w:val="4CB052E1"/>
    <w:rsid w:val="4CF370EB"/>
    <w:rsid w:val="4D06246C"/>
    <w:rsid w:val="4D3568A9"/>
    <w:rsid w:val="4D697641"/>
    <w:rsid w:val="4D857A7F"/>
    <w:rsid w:val="4D9E38E4"/>
    <w:rsid w:val="4DC03526"/>
    <w:rsid w:val="4DEC00BF"/>
    <w:rsid w:val="4E077A90"/>
    <w:rsid w:val="4E0A4298"/>
    <w:rsid w:val="4E5459DD"/>
    <w:rsid w:val="4E5953F9"/>
    <w:rsid w:val="4E6462CF"/>
    <w:rsid w:val="4E681838"/>
    <w:rsid w:val="4E70209B"/>
    <w:rsid w:val="4E801CD9"/>
    <w:rsid w:val="4E835709"/>
    <w:rsid w:val="4E8F0C6E"/>
    <w:rsid w:val="4EB3122E"/>
    <w:rsid w:val="4EB877D3"/>
    <w:rsid w:val="4EDB798E"/>
    <w:rsid w:val="4EEE7D8E"/>
    <w:rsid w:val="4F183E77"/>
    <w:rsid w:val="4F2F3A74"/>
    <w:rsid w:val="4F4E4905"/>
    <w:rsid w:val="4F6B6FE2"/>
    <w:rsid w:val="4F7E1BFB"/>
    <w:rsid w:val="4F824D7E"/>
    <w:rsid w:val="4F871206"/>
    <w:rsid w:val="4F905CFD"/>
    <w:rsid w:val="4FA407B6"/>
    <w:rsid w:val="4FBC5E5D"/>
    <w:rsid w:val="4FBD0BFB"/>
    <w:rsid w:val="4FBD38DE"/>
    <w:rsid w:val="4FCB6477"/>
    <w:rsid w:val="500D4962"/>
    <w:rsid w:val="502F2E45"/>
    <w:rsid w:val="50423CC3"/>
    <w:rsid w:val="50504B17"/>
    <w:rsid w:val="5075308D"/>
    <w:rsid w:val="508B3032"/>
    <w:rsid w:val="50AB3186"/>
    <w:rsid w:val="50D9626E"/>
    <w:rsid w:val="50DA6635"/>
    <w:rsid w:val="50DC2FF2"/>
    <w:rsid w:val="51090653"/>
    <w:rsid w:val="510C6EA6"/>
    <w:rsid w:val="512344AA"/>
    <w:rsid w:val="513E15B9"/>
    <w:rsid w:val="51722901"/>
    <w:rsid w:val="518854D4"/>
    <w:rsid w:val="51994F16"/>
    <w:rsid w:val="51AC1211"/>
    <w:rsid w:val="51B727A0"/>
    <w:rsid w:val="51BF08FF"/>
    <w:rsid w:val="51E57DEC"/>
    <w:rsid w:val="51F2387E"/>
    <w:rsid w:val="5203159A"/>
    <w:rsid w:val="52127E23"/>
    <w:rsid w:val="521B6C41"/>
    <w:rsid w:val="52262D7F"/>
    <w:rsid w:val="52264FD2"/>
    <w:rsid w:val="522E7F4F"/>
    <w:rsid w:val="52352321"/>
    <w:rsid w:val="525D67B1"/>
    <w:rsid w:val="52614DF3"/>
    <w:rsid w:val="526273B5"/>
    <w:rsid w:val="52730954"/>
    <w:rsid w:val="52821AA9"/>
    <w:rsid w:val="529165A7"/>
    <w:rsid w:val="52933407"/>
    <w:rsid w:val="52C670DA"/>
    <w:rsid w:val="52DD074D"/>
    <w:rsid w:val="52E36817"/>
    <w:rsid w:val="53074969"/>
    <w:rsid w:val="531E0DED"/>
    <w:rsid w:val="53376114"/>
    <w:rsid w:val="535F6218"/>
    <w:rsid w:val="53670540"/>
    <w:rsid w:val="536B5669"/>
    <w:rsid w:val="5389269B"/>
    <w:rsid w:val="539B03B7"/>
    <w:rsid w:val="53EA39B9"/>
    <w:rsid w:val="53F02F9B"/>
    <w:rsid w:val="540A22BD"/>
    <w:rsid w:val="544D5C5C"/>
    <w:rsid w:val="54507F0D"/>
    <w:rsid w:val="54524509"/>
    <w:rsid w:val="546148FC"/>
    <w:rsid w:val="546551D2"/>
    <w:rsid w:val="54660296"/>
    <w:rsid w:val="54961143"/>
    <w:rsid w:val="54981EF7"/>
    <w:rsid w:val="54A96376"/>
    <w:rsid w:val="54CB3AEC"/>
    <w:rsid w:val="54CD0EA3"/>
    <w:rsid w:val="54CF098A"/>
    <w:rsid w:val="54D41946"/>
    <w:rsid w:val="54F963E1"/>
    <w:rsid w:val="550174F7"/>
    <w:rsid w:val="5504476B"/>
    <w:rsid w:val="551940AB"/>
    <w:rsid w:val="551A1B2C"/>
    <w:rsid w:val="55401D6C"/>
    <w:rsid w:val="55535D78"/>
    <w:rsid w:val="55640CA7"/>
    <w:rsid w:val="556543AA"/>
    <w:rsid w:val="5593391E"/>
    <w:rsid w:val="559B0D2D"/>
    <w:rsid w:val="55AB73B9"/>
    <w:rsid w:val="55B32588"/>
    <w:rsid w:val="55C119B8"/>
    <w:rsid w:val="55E0153A"/>
    <w:rsid w:val="55E31575"/>
    <w:rsid w:val="55FA119A"/>
    <w:rsid w:val="56061E29"/>
    <w:rsid w:val="563C06C5"/>
    <w:rsid w:val="563F3A3B"/>
    <w:rsid w:val="56491715"/>
    <w:rsid w:val="56532E35"/>
    <w:rsid w:val="565976AD"/>
    <w:rsid w:val="5664059F"/>
    <w:rsid w:val="56902993"/>
    <w:rsid w:val="56B20949"/>
    <w:rsid w:val="56C73AE2"/>
    <w:rsid w:val="56D86EEA"/>
    <w:rsid w:val="56DD720F"/>
    <w:rsid w:val="56E61CB0"/>
    <w:rsid w:val="570D35E1"/>
    <w:rsid w:val="57363121"/>
    <w:rsid w:val="574A1DC1"/>
    <w:rsid w:val="576574C9"/>
    <w:rsid w:val="577F481A"/>
    <w:rsid w:val="57A14E7A"/>
    <w:rsid w:val="57B97E77"/>
    <w:rsid w:val="57D53027"/>
    <w:rsid w:val="57DE129B"/>
    <w:rsid w:val="57E16E3D"/>
    <w:rsid w:val="57E532C4"/>
    <w:rsid w:val="57E83FA6"/>
    <w:rsid w:val="57EF0351"/>
    <w:rsid w:val="57F21618"/>
    <w:rsid w:val="57FF05EB"/>
    <w:rsid w:val="58017371"/>
    <w:rsid w:val="58071E75"/>
    <w:rsid w:val="58187E20"/>
    <w:rsid w:val="58472064"/>
    <w:rsid w:val="585A0885"/>
    <w:rsid w:val="586202F8"/>
    <w:rsid w:val="5869021D"/>
    <w:rsid w:val="58701BA4"/>
    <w:rsid w:val="58805D76"/>
    <w:rsid w:val="58956500"/>
    <w:rsid w:val="58A8162D"/>
    <w:rsid w:val="58E545EB"/>
    <w:rsid w:val="58E65065"/>
    <w:rsid w:val="591627A3"/>
    <w:rsid w:val="591B3341"/>
    <w:rsid w:val="592A00D8"/>
    <w:rsid w:val="593772D0"/>
    <w:rsid w:val="59521F53"/>
    <w:rsid w:val="597A72DA"/>
    <w:rsid w:val="59834393"/>
    <w:rsid w:val="59953165"/>
    <w:rsid w:val="59A92BA5"/>
    <w:rsid w:val="59E82F86"/>
    <w:rsid w:val="5A0660F4"/>
    <w:rsid w:val="5A0A3F9D"/>
    <w:rsid w:val="5A544C87"/>
    <w:rsid w:val="5A580FCC"/>
    <w:rsid w:val="5A615BD7"/>
    <w:rsid w:val="5A6D25DC"/>
    <w:rsid w:val="5A865BC3"/>
    <w:rsid w:val="5A94023A"/>
    <w:rsid w:val="5AAA198F"/>
    <w:rsid w:val="5AAD0254"/>
    <w:rsid w:val="5AAE2453"/>
    <w:rsid w:val="5AB565B1"/>
    <w:rsid w:val="5AB96265"/>
    <w:rsid w:val="5ADB7A9F"/>
    <w:rsid w:val="5AF744DA"/>
    <w:rsid w:val="5AF746F2"/>
    <w:rsid w:val="5AFC2F25"/>
    <w:rsid w:val="5AFE7298"/>
    <w:rsid w:val="5B713816"/>
    <w:rsid w:val="5B842D4A"/>
    <w:rsid w:val="5B9373C2"/>
    <w:rsid w:val="5B976172"/>
    <w:rsid w:val="5BC86423"/>
    <w:rsid w:val="5BEE7031"/>
    <w:rsid w:val="5BF51209"/>
    <w:rsid w:val="5C09527B"/>
    <w:rsid w:val="5C484874"/>
    <w:rsid w:val="5C5F7C1B"/>
    <w:rsid w:val="5C7D13C9"/>
    <w:rsid w:val="5C83017C"/>
    <w:rsid w:val="5C862095"/>
    <w:rsid w:val="5CAA2659"/>
    <w:rsid w:val="5CB4426E"/>
    <w:rsid w:val="5CB702A9"/>
    <w:rsid w:val="5CD72D5D"/>
    <w:rsid w:val="5CD807DE"/>
    <w:rsid w:val="5D000B68"/>
    <w:rsid w:val="5D187049"/>
    <w:rsid w:val="5D227881"/>
    <w:rsid w:val="5D2353DA"/>
    <w:rsid w:val="5D2C0026"/>
    <w:rsid w:val="5D32322E"/>
    <w:rsid w:val="5D3665F9"/>
    <w:rsid w:val="5D6F0F6F"/>
    <w:rsid w:val="5D84417A"/>
    <w:rsid w:val="5D8D288B"/>
    <w:rsid w:val="5D9C28E8"/>
    <w:rsid w:val="5D9C4040"/>
    <w:rsid w:val="5DC47293"/>
    <w:rsid w:val="5E09168B"/>
    <w:rsid w:val="5E363210"/>
    <w:rsid w:val="5E487559"/>
    <w:rsid w:val="5E760D81"/>
    <w:rsid w:val="5E7B6C91"/>
    <w:rsid w:val="5E895235"/>
    <w:rsid w:val="5EA7344F"/>
    <w:rsid w:val="5EBF3F02"/>
    <w:rsid w:val="5EF164E3"/>
    <w:rsid w:val="5EF42A08"/>
    <w:rsid w:val="5EFF603B"/>
    <w:rsid w:val="5F0B2CFC"/>
    <w:rsid w:val="5F1B619D"/>
    <w:rsid w:val="5F486C8C"/>
    <w:rsid w:val="5F7F5E51"/>
    <w:rsid w:val="5F8D2F75"/>
    <w:rsid w:val="5F957C27"/>
    <w:rsid w:val="5FB41A13"/>
    <w:rsid w:val="5FD200D7"/>
    <w:rsid w:val="60012164"/>
    <w:rsid w:val="600C6545"/>
    <w:rsid w:val="601125AA"/>
    <w:rsid w:val="60125AAD"/>
    <w:rsid w:val="601C2B39"/>
    <w:rsid w:val="601F5DE6"/>
    <w:rsid w:val="60294C66"/>
    <w:rsid w:val="603B062B"/>
    <w:rsid w:val="60733548"/>
    <w:rsid w:val="6076164D"/>
    <w:rsid w:val="607F3D13"/>
    <w:rsid w:val="609B6A5D"/>
    <w:rsid w:val="60B473CD"/>
    <w:rsid w:val="60BD5F46"/>
    <w:rsid w:val="60D12309"/>
    <w:rsid w:val="60D84A44"/>
    <w:rsid w:val="60DA2A39"/>
    <w:rsid w:val="60DE5BF6"/>
    <w:rsid w:val="610676F5"/>
    <w:rsid w:val="611F2767"/>
    <w:rsid w:val="6126686F"/>
    <w:rsid w:val="612B2CF7"/>
    <w:rsid w:val="61337408"/>
    <w:rsid w:val="613C2B5C"/>
    <w:rsid w:val="615D17EC"/>
    <w:rsid w:val="616B7363"/>
    <w:rsid w:val="61806F7E"/>
    <w:rsid w:val="618B3965"/>
    <w:rsid w:val="61965C29"/>
    <w:rsid w:val="61AE7A4D"/>
    <w:rsid w:val="61C22C40"/>
    <w:rsid w:val="61C34FA9"/>
    <w:rsid w:val="61D853C9"/>
    <w:rsid w:val="624756C4"/>
    <w:rsid w:val="6271300E"/>
    <w:rsid w:val="62861337"/>
    <w:rsid w:val="62904C66"/>
    <w:rsid w:val="62A44B45"/>
    <w:rsid w:val="62A63868"/>
    <w:rsid w:val="62AC7970"/>
    <w:rsid w:val="62D81AB9"/>
    <w:rsid w:val="62E0554C"/>
    <w:rsid w:val="62E4334D"/>
    <w:rsid w:val="63014E7B"/>
    <w:rsid w:val="630F2F20"/>
    <w:rsid w:val="63132235"/>
    <w:rsid w:val="63340B4D"/>
    <w:rsid w:val="635E6DEB"/>
    <w:rsid w:val="63651CB9"/>
    <w:rsid w:val="636B232C"/>
    <w:rsid w:val="63B4491F"/>
    <w:rsid w:val="63C3157A"/>
    <w:rsid w:val="63C52B8C"/>
    <w:rsid w:val="640D588B"/>
    <w:rsid w:val="64176BC2"/>
    <w:rsid w:val="64212C82"/>
    <w:rsid w:val="642E0FD3"/>
    <w:rsid w:val="645F7FAA"/>
    <w:rsid w:val="64657FC6"/>
    <w:rsid w:val="64777974"/>
    <w:rsid w:val="647911E5"/>
    <w:rsid w:val="647B084F"/>
    <w:rsid w:val="647C1D65"/>
    <w:rsid w:val="64994338"/>
    <w:rsid w:val="64C92C59"/>
    <w:rsid w:val="64E8158A"/>
    <w:rsid w:val="64ED11A3"/>
    <w:rsid w:val="650642CC"/>
    <w:rsid w:val="651027B1"/>
    <w:rsid w:val="653B3822"/>
    <w:rsid w:val="654D24C2"/>
    <w:rsid w:val="65512D97"/>
    <w:rsid w:val="656745CA"/>
    <w:rsid w:val="65886E23"/>
    <w:rsid w:val="65AA4DDA"/>
    <w:rsid w:val="65BF7378"/>
    <w:rsid w:val="65D05019"/>
    <w:rsid w:val="65D2345E"/>
    <w:rsid w:val="65DE23A9"/>
    <w:rsid w:val="661C70CC"/>
    <w:rsid w:val="663527BF"/>
    <w:rsid w:val="66564EF2"/>
    <w:rsid w:val="667B1F4A"/>
    <w:rsid w:val="66937462"/>
    <w:rsid w:val="66F06B6B"/>
    <w:rsid w:val="66F97F7F"/>
    <w:rsid w:val="672023BD"/>
    <w:rsid w:val="672E62F4"/>
    <w:rsid w:val="67406CFF"/>
    <w:rsid w:val="674D7A09"/>
    <w:rsid w:val="67706CC4"/>
    <w:rsid w:val="67741D90"/>
    <w:rsid w:val="67845964"/>
    <w:rsid w:val="679E2C8B"/>
    <w:rsid w:val="67B50BDF"/>
    <w:rsid w:val="67BB629D"/>
    <w:rsid w:val="67BE2388"/>
    <w:rsid w:val="67DD2F64"/>
    <w:rsid w:val="67EF54EB"/>
    <w:rsid w:val="67F22715"/>
    <w:rsid w:val="67F24AD9"/>
    <w:rsid w:val="67F30197"/>
    <w:rsid w:val="67F43143"/>
    <w:rsid w:val="67F7673D"/>
    <w:rsid w:val="67FE6074"/>
    <w:rsid w:val="67FF1F8C"/>
    <w:rsid w:val="683F2814"/>
    <w:rsid w:val="683F7156"/>
    <w:rsid w:val="684113A2"/>
    <w:rsid w:val="6850404B"/>
    <w:rsid w:val="685933BE"/>
    <w:rsid w:val="68777EEC"/>
    <w:rsid w:val="689366D3"/>
    <w:rsid w:val="68947D20"/>
    <w:rsid w:val="68A015B4"/>
    <w:rsid w:val="68B3411A"/>
    <w:rsid w:val="68B74A5D"/>
    <w:rsid w:val="68C078EA"/>
    <w:rsid w:val="692502FF"/>
    <w:rsid w:val="692630CE"/>
    <w:rsid w:val="696C389F"/>
    <w:rsid w:val="696F0988"/>
    <w:rsid w:val="69900EBC"/>
    <w:rsid w:val="699F04A9"/>
    <w:rsid w:val="69B44E7D"/>
    <w:rsid w:val="69B44F51"/>
    <w:rsid w:val="69B76B7E"/>
    <w:rsid w:val="69CD0D21"/>
    <w:rsid w:val="69D05529"/>
    <w:rsid w:val="6A0E178B"/>
    <w:rsid w:val="6A257A26"/>
    <w:rsid w:val="6A3264C7"/>
    <w:rsid w:val="6A414563"/>
    <w:rsid w:val="6A4263AB"/>
    <w:rsid w:val="6A510F7A"/>
    <w:rsid w:val="6A572E84"/>
    <w:rsid w:val="6A72522F"/>
    <w:rsid w:val="6A7D2DE1"/>
    <w:rsid w:val="6A804048"/>
    <w:rsid w:val="6A8D62BE"/>
    <w:rsid w:val="6A935267"/>
    <w:rsid w:val="6A96472D"/>
    <w:rsid w:val="6ABD60AB"/>
    <w:rsid w:val="6AC056AF"/>
    <w:rsid w:val="6AC07030"/>
    <w:rsid w:val="6AC60F39"/>
    <w:rsid w:val="6B01589B"/>
    <w:rsid w:val="6B073028"/>
    <w:rsid w:val="6B0F2632"/>
    <w:rsid w:val="6B1C3EC6"/>
    <w:rsid w:val="6B2D09A4"/>
    <w:rsid w:val="6B465641"/>
    <w:rsid w:val="6B6D29CC"/>
    <w:rsid w:val="6B75585A"/>
    <w:rsid w:val="6B7F6169"/>
    <w:rsid w:val="6B982525"/>
    <w:rsid w:val="6BA40927"/>
    <w:rsid w:val="6BAD6C82"/>
    <w:rsid w:val="6BAE1B07"/>
    <w:rsid w:val="6BAE6CB9"/>
    <w:rsid w:val="6BB91C67"/>
    <w:rsid w:val="6BC6435F"/>
    <w:rsid w:val="6C0A3981"/>
    <w:rsid w:val="6C1C4163"/>
    <w:rsid w:val="6C2471CC"/>
    <w:rsid w:val="6C5210A3"/>
    <w:rsid w:val="6C5C4334"/>
    <w:rsid w:val="6C5D5B58"/>
    <w:rsid w:val="6C631C5F"/>
    <w:rsid w:val="6C6F12F5"/>
    <w:rsid w:val="6CA9397E"/>
    <w:rsid w:val="6CB25261"/>
    <w:rsid w:val="6CB5731E"/>
    <w:rsid w:val="6CCE4B92"/>
    <w:rsid w:val="6CDA5121"/>
    <w:rsid w:val="6D193ADF"/>
    <w:rsid w:val="6D2A1A28"/>
    <w:rsid w:val="6D2D1713"/>
    <w:rsid w:val="6D473557"/>
    <w:rsid w:val="6D5155A5"/>
    <w:rsid w:val="6D785CF4"/>
    <w:rsid w:val="6D854A61"/>
    <w:rsid w:val="6D934FF9"/>
    <w:rsid w:val="6D991CDC"/>
    <w:rsid w:val="6D9E4BF2"/>
    <w:rsid w:val="6DAE4200"/>
    <w:rsid w:val="6DB27CCC"/>
    <w:rsid w:val="6DBC567B"/>
    <w:rsid w:val="6DFD7802"/>
    <w:rsid w:val="6E06488E"/>
    <w:rsid w:val="6E28169D"/>
    <w:rsid w:val="6E2E40FA"/>
    <w:rsid w:val="6E505F87"/>
    <w:rsid w:val="6E563961"/>
    <w:rsid w:val="6E5E65A2"/>
    <w:rsid w:val="6E9228E8"/>
    <w:rsid w:val="6EAE3DA2"/>
    <w:rsid w:val="6EB8110E"/>
    <w:rsid w:val="6EB91D5A"/>
    <w:rsid w:val="6EDC6E70"/>
    <w:rsid w:val="6EE00400"/>
    <w:rsid w:val="6EEA1231"/>
    <w:rsid w:val="6F0270B0"/>
    <w:rsid w:val="6F4451CC"/>
    <w:rsid w:val="6F532332"/>
    <w:rsid w:val="6F5747E5"/>
    <w:rsid w:val="6F5A7D34"/>
    <w:rsid w:val="6F624B4B"/>
    <w:rsid w:val="6F7118E2"/>
    <w:rsid w:val="6F7E6E13"/>
    <w:rsid w:val="6F8A4A0A"/>
    <w:rsid w:val="6FBE4A81"/>
    <w:rsid w:val="6FC04EE4"/>
    <w:rsid w:val="6FC9200A"/>
    <w:rsid w:val="6FD00A02"/>
    <w:rsid w:val="6FD83C85"/>
    <w:rsid w:val="70415471"/>
    <w:rsid w:val="704D384F"/>
    <w:rsid w:val="7055110F"/>
    <w:rsid w:val="70792114"/>
    <w:rsid w:val="70913F59"/>
    <w:rsid w:val="70A84AA8"/>
    <w:rsid w:val="70CA32D0"/>
    <w:rsid w:val="70D31529"/>
    <w:rsid w:val="71156B50"/>
    <w:rsid w:val="715D5C0A"/>
    <w:rsid w:val="71637D20"/>
    <w:rsid w:val="716C08A9"/>
    <w:rsid w:val="71862A82"/>
    <w:rsid w:val="719E6674"/>
    <w:rsid w:val="71A74D85"/>
    <w:rsid w:val="71BA345B"/>
    <w:rsid w:val="71D222E4"/>
    <w:rsid w:val="71D85676"/>
    <w:rsid w:val="71EB51AF"/>
    <w:rsid w:val="720A37A4"/>
    <w:rsid w:val="723971EE"/>
    <w:rsid w:val="723F64EF"/>
    <w:rsid w:val="7254564A"/>
    <w:rsid w:val="726376B6"/>
    <w:rsid w:val="726B148A"/>
    <w:rsid w:val="726B2544"/>
    <w:rsid w:val="7276255F"/>
    <w:rsid w:val="728D1CC4"/>
    <w:rsid w:val="7296248F"/>
    <w:rsid w:val="729A7092"/>
    <w:rsid w:val="729D6597"/>
    <w:rsid w:val="72B079F7"/>
    <w:rsid w:val="72B55A60"/>
    <w:rsid w:val="72B76C1B"/>
    <w:rsid w:val="72CA035F"/>
    <w:rsid w:val="72D072EE"/>
    <w:rsid w:val="72D749DC"/>
    <w:rsid w:val="72F90EAF"/>
    <w:rsid w:val="72FE1E68"/>
    <w:rsid w:val="73023D3C"/>
    <w:rsid w:val="731F3EA0"/>
    <w:rsid w:val="732035E5"/>
    <w:rsid w:val="732C2764"/>
    <w:rsid w:val="73382400"/>
    <w:rsid w:val="73445AAB"/>
    <w:rsid w:val="73460D36"/>
    <w:rsid w:val="73502E11"/>
    <w:rsid w:val="73707BF4"/>
    <w:rsid w:val="737B5F85"/>
    <w:rsid w:val="739F10FA"/>
    <w:rsid w:val="73C91402"/>
    <w:rsid w:val="73E9403A"/>
    <w:rsid w:val="73F5149C"/>
    <w:rsid w:val="740C3AB1"/>
    <w:rsid w:val="74265B24"/>
    <w:rsid w:val="74335733"/>
    <w:rsid w:val="74547E66"/>
    <w:rsid w:val="745D6577"/>
    <w:rsid w:val="746074FC"/>
    <w:rsid w:val="746D4567"/>
    <w:rsid w:val="747E17AF"/>
    <w:rsid w:val="748D63DF"/>
    <w:rsid w:val="74982CC5"/>
    <w:rsid w:val="749B14F6"/>
    <w:rsid w:val="74E16EDA"/>
    <w:rsid w:val="7507318D"/>
    <w:rsid w:val="751D3847"/>
    <w:rsid w:val="75225756"/>
    <w:rsid w:val="75242192"/>
    <w:rsid w:val="75396C82"/>
    <w:rsid w:val="753D1ACC"/>
    <w:rsid w:val="754334CE"/>
    <w:rsid w:val="7546345D"/>
    <w:rsid w:val="756E4D3F"/>
    <w:rsid w:val="75721694"/>
    <w:rsid w:val="7578734F"/>
    <w:rsid w:val="758614DD"/>
    <w:rsid w:val="758876FA"/>
    <w:rsid w:val="758F436B"/>
    <w:rsid w:val="759E36D6"/>
    <w:rsid w:val="75C46DC3"/>
    <w:rsid w:val="75E1379F"/>
    <w:rsid w:val="75FD5D15"/>
    <w:rsid w:val="76025666"/>
    <w:rsid w:val="760C58B2"/>
    <w:rsid w:val="761B75DB"/>
    <w:rsid w:val="76333343"/>
    <w:rsid w:val="76517F38"/>
    <w:rsid w:val="76767CB1"/>
    <w:rsid w:val="768E2260"/>
    <w:rsid w:val="769A421F"/>
    <w:rsid w:val="76A922CF"/>
    <w:rsid w:val="76AA7E41"/>
    <w:rsid w:val="76C66276"/>
    <w:rsid w:val="76CF7196"/>
    <w:rsid w:val="76D739FF"/>
    <w:rsid w:val="76E31E0A"/>
    <w:rsid w:val="76EC7EE8"/>
    <w:rsid w:val="7702424C"/>
    <w:rsid w:val="77162EED"/>
    <w:rsid w:val="7741267D"/>
    <w:rsid w:val="776564EF"/>
    <w:rsid w:val="77712302"/>
    <w:rsid w:val="778238A1"/>
    <w:rsid w:val="778F6D7C"/>
    <w:rsid w:val="77977FC3"/>
    <w:rsid w:val="77A108D3"/>
    <w:rsid w:val="77AA6805"/>
    <w:rsid w:val="77B64FF5"/>
    <w:rsid w:val="77BE6B53"/>
    <w:rsid w:val="77E05253"/>
    <w:rsid w:val="77F96D63"/>
    <w:rsid w:val="77FD7967"/>
    <w:rsid w:val="782B6A6B"/>
    <w:rsid w:val="78337CC2"/>
    <w:rsid w:val="784F3EEE"/>
    <w:rsid w:val="78A87723"/>
    <w:rsid w:val="78BD4522"/>
    <w:rsid w:val="78CB12BA"/>
    <w:rsid w:val="78D31F49"/>
    <w:rsid w:val="78F419F5"/>
    <w:rsid w:val="79003525"/>
    <w:rsid w:val="79134111"/>
    <w:rsid w:val="792D5BC0"/>
    <w:rsid w:val="7934405D"/>
    <w:rsid w:val="79427FFF"/>
    <w:rsid w:val="794B58B7"/>
    <w:rsid w:val="79630533"/>
    <w:rsid w:val="79653A37"/>
    <w:rsid w:val="79754C80"/>
    <w:rsid w:val="79757554"/>
    <w:rsid w:val="7995689E"/>
    <w:rsid w:val="79A3096D"/>
    <w:rsid w:val="79CC7F63"/>
    <w:rsid w:val="79E14685"/>
    <w:rsid w:val="79E35C2B"/>
    <w:rsid w:val="7A0A0877"/>
    <w:rsid w:val="7A0B3D91"/>
    <w:rsid w:val="7A293A42"/>
    <w:rsid w:val="7A2B3132"/>
    <w:rsid w:val="7A48532E"/>
    <w:rsid w:val="7A4A7616"/>
    <w:rsid w:val="7A5170CB"/>
    <w:rsid w:val="7A541141"/>
    <w:rsid w:val="7A5A304A"/>
    <w:rsid w:val="7A715034"/>
    <w:rsid w:val="7A82178C"/>
    <w:rsid w:val="7A8F5AA2"/>
    <w:rsid w:val="7ABE2A52"/>
    <w:rsid w:val="7AC371F6"/>
    <w:rsid w:val="7B1227F8"/>
    <w:rsid w:val="7B2D5CF0"/>
    <w:rsid w:val="7B2E7A15"/>
    <w:rsid w:val="7B4407B1"/>
    <w:rsid w:val="7B681A59"/>
    <w:rsid w:val="7B6F2B92"/>
    <w:rsid w:val="7B943CCB"/>
    <w:rsid w:val="7BAE7879"/>
    <w:rsid w:val="7BB5477A"/>
    <w:rsid w:val="7BC243BB"/>
    <w:rsid w:val="7BC80CA2"/>
    <w:rsid w:val="7BD13EAF"/>
    <w:rsid w:val="7BDC50C2"/>
    <w:rsid w:val="7BDF338E"/>
    <w:rsid w:val="7BE7171D"/>
    <w:rsid w:val="7BEF72F9"/>
    <w:rsid w:val="7BF14A56"/>
    <w:rsid w:val="7BF53DDC"/>
    <w:rsid w:val="7BFB7CB5"/>
    <w:rsid w:val="7C0E7410"/>
    <w:rsid w:val="7C63309F"/>
    <w:rsid w:val="7C6B5E78"/>
    <w:rsid w:val="7C6C5F2D"/>
    <w:rsid w:val="7C7236B9"/>
    <w:rsid w:val="7C8E7766"/>
    <w:rsid w:val="7CEF2C2C"/>
    <w:rsid w:val="7CF964EE"/>
    <w:rsid w:val="7D1144BC"/>
    <w:rsid w:val="7D17078C"/>
    <w:rsid w:val="7D1B284D"/>
    <w:rsid w:val="7D1F7055"/>
    <w:rsid w:val="7D465C85"/>
    <w:rsid w:val="7D492C8D"/>
    <w:rsid w:val="7D6464C5"/>
    <w:rsid w:val="7D66524B"/>
    <w:rsid w:val="7D696C24"/>
    <w:rsid w:val="7D7B6ED1"/>
    <w:rsid w:val="7D90280C"/>
    <w:rsid w:val="7DAC1853"/>
    <w:rsid w:val="7DC06BDF"/>
    <w:rsid w:val="7DCF1FAB"/>
    <w:rsid w:val="7DD518F5"/>
    <w:rsid w:val="7DD53CF8"/>
    <w:rsid w:val="7DD62F81"/>
    <w:rsid w:val="7DE24E39"/>
    <w:rsid w:val="7DFF32EE"/>
    <w:rsid w:val="7E116654"/>
    <w:rsid w:val="7E1562E9"/>
    <w:rsid w:val="7E1930B5"/>
    <w:rsid w:val="7E1E0CC6"/>
    <w:rsid w:val="7E20467A"/>
    <w:rsid w:val="7E2554B6"/>
    <w:rsid w:val="7E2E690D"/>
    <w:rsid w:val="7E3852B0"/>
    <w:rsid w:val="7E496AC0"/>
    <w:rsid w:val="7E4F5EEF"/>
    <w:rsid w:val="7E5C5EB6"/>
    <w:rsid w:val="7EB42162"/>
    <w:rsid w:val="7EB550E4"/>
    <w:rsid w:val="7EB83F06"/>
    <w:rsid w:val="7EDB477C"/>
    <w:rsid w:val="7EE46227"/>
    <w:rsid w:val="7EED3DCE"/>
    <w:rsid w:val="7EF32918"/>
    <w:rsid w:val="7EF768DB"/>
    <w:rsid w:val="7EFD07E5"/>
    <w:rsid w:val="7F080F24"/>
    <w:rsid w:val="7F1F20DA"/>
    <w:rsid w:val="7F2917B2"/>
    <w:rsid w:val="7F690F5F"/>
    <w:rsid w:val="7F6D6F7D"/>
    <w:rsid w:val="7F855246"/>
    <w:rsid w:val="7F9C15E8"/>
    <w:rsid w:val="7F9F4B7F"/>
    <w:rsid w:val="7F9F7CC7"/>
    <w:rsid w:val="7FB34A90"/>
    <w:rsid w:val="7FD562CA"/>
    <w:rsid w:val="7FF51A85"/>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f">
      <v:fill on="t" focussize="0,0"/>
      <v:stroke on="f"/>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99"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49"/>
    <w:autoRedefine/>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31"/>
    <w:autoRedefine/>
    <w:qFormat/>
    <w:uiPriority w:val="0"/>
    <w:pPr>
      <w:keepNext/>
      <w:keepLines/>
      <w:spacing w:before="260" w:after="260" w:line="416" w:lineRule="auto"/>
      <w:outlineLvl w:val="1"/>
    </w:pPr>
    <w:rPr>
      <w:rFonts w:ascii="Cambria" w:hAnsi="Cambria"/>
      <w:b/>
      <w:bCs/>
      <w:sz w:val="32"/>
      <w:szCs w:val="32"/>
    </w:rPr>
  </w:style>
  <w:style w:type="paragraph" w:styleId="4">
    <w:name w:val="heading 3"/>
    <w:basedOn w:val="1"/>
    <w:next w:val="1"/>
    <w:link w:val="54"/>
    <w:autoRedefine/>
    <w:qFormat/>
    <w:uiPriority w:val="99"/>
    <w:pPr>
      <w:keepNext/>
      <w:keepLines/>
      <w:spacing w:before="260" w:after="260"/>
      <w:outlineLvl w:val="2"/>
    </w:pPr>
    <w:rPr>
      <w:kern w:val="0"/>
      <w:sz w:val="28"/>
      <w:szCs w:val="20"/>
    </w:rPr>
  </w:style>
  <w:style w:type="paragraph" w:styleId="5">
    <w:name w:val="heading 4"/>
    <w:basedOn w:val="1"/>
    <w:next w:val="1"/>
    <w:link w:val="32"/>
    <w:autoRedefine/>
    <w:qFormat/>
    <w:uiPriority w:val="0"/>
    <w:pPr>
      <w:keepNext/>
      <w:keepLines/>
      <w:tabs>
        <w:tab w:val="left" w:pos="420"/>
      </w:tabs>
      <w:spacing w:before="280" w:after="290" w:line="376" w:lineRule="auto"/>
      <w:ind w:left="425" w:firstLine="200" w:firstLineChars="200"/>
      <w:outlineLvl w:val="3"/>
    </w:pPr>
    <w:rPr>
      <w:rFonts w:ascii="Cambria" w:hAnsi="Cambria"/>
      <w:b/>
      <w:bCs/>
      <w:sz w:val="28"/>
      <w:szCs w:val="28"/>
    </w:rPr>
  </w:style>
  <w:style w:type="paragraph" w:styleId="6">
    <w:name w:val="heading 5"/>
    <w:basedOn w:val="1"/>
    <w:next w:val="1"/>
    <w:link w:val="43"/>
    <w:autoRedefine/>
    <w:qFormat/>
    <w:uiPriority w:val="0"/>
    <w:pPr>
      <w:keepNext/>
      <w:keepLines/>
      <w:tabs>
        <w:tab w:val="left" w:pos="420"/>
      </w:tabs>
      <w:spacing w:before="280" w:after="290" w:line="376" w:lineRule="auto"/>
      <w:ind w:left="425" w:firstLine="200" w:firstLineChars="200"/>
      <w:outlineLvl w:val="4"/>
    </w:pPr>
    <w:rPr>
      <w:rFonts w:ascii="Calibri" w:hAnsi="Calibri"/>
      <w:b/>
      <w:bCs/>
      <w:sz w:val="28"/>
      <w:szCs w:val="28"/>
    </w:rPr>
  </w:style>
  <w:style w:type="paragraph" w:styleId="7">
    <w:name w:val="heading 6"/>
    <w:basedOn w:val="1"/>
    <w:next w:val="1"/>
    <w:link w:val="42"/>
    <w:autoRedefine/>
    <w:qFormat/>
    <w:uiPriority w:val="0"/>
    <w:pPr>
      <w:keepNext/>
      <w:keepLines/>
      <w:tabs>
        <w:tab w:val="left" w:pos="420"/>
      </w:tabs>
      <w:spacing w:before="240" w:after="64" w:line="320" w:lineRule="auto"/>
      <w:ind w:left="425" w:firstLine="200" w:firstLineChars="200"/>
      <w:outlineLvl w:val="5"/>
    </w:pPr>
    <w:rPr>
      <w:rFonts w:ascii="Cambria" w:hAnsi="Cambria"/>
      <w:b/>
      <w:bCs/>
      <w:sz w:val="24"/>
    </w:rPr>
  </w:style>
  <w:style w:type="paragraph" w:styleId="8">
    <w:name w:val="heading 7"/>
    <w:basedOn w:val="1"/>
    <w:next w:val="1"/>
    <w:link w:val="37"/>
    <w:autoRedefine/>
    <w:qFormat/>
    <w:uiPriority w:val="0"/>
    <w:pPr>
      <w:keepNext/>
      <w:keepLines/>
      <w:tabs>
        <w:tab w:val="left" w:pos="420"/>
      </w:tabs>
      <w:spacing w:before="240" w:after="64" w:line="320" w:lineRule="auto"/>
      <w:ind w:left="425" w:firstLine="200" w:firstLineChars="200"/>
      <w:outlineLvl w:val="6"/>
    </w:pPr>
    <w:rPr>
      <w:rFonts w:ascii="Calibri" w:hAnsi="Calibri"/>
      <w:b/>
      <w:bCs/>
      <w:sz w:val="24"/>
    </w:rPr>
  </w:style>
  <w:style w:type="paragraph" w:styleId="9">
    <w:name w:val="heading 8"/>
    <w:basedOn w:val="1"/>
    <w:next w:val="1"/>
    <w:link w:val="30"/>
    <w:autoRedefine/>
    <w:qFormat/>
    <w:uiPriority w:val="0"/>
    <w:pPr>
      <w:keepNext/>
      <w:keepLines/>
      <w:tabs>
        <w:tab w:val="left" w:pos="420"/>
      </w:tabs>
      <w:spacing w:before="240" w:after="64" w:line="320" w:lineRule="auto"/>
      <w:ind w:left="425" w:firstLine="200" w:firstLineChars="200"/>
      <w:outlineLvl w:val="7"/>
    </w:pPr>
    <w:rPr>
      <w:rFonts w:ascii="Cambria" w:hAnsi="Cambria"/>
      <w:sz w:val="24"/>
    </w:rPr>
  </w:style>
  <w:style w:type="paragraph" w:styleId="10">
    <w:name w:val="heading 9"/>
    <w:basedOn w:val="1"/>
    <w:next w:val="1"/>
    <w:link w:val="46"/>
    <w:autoRedefine/>
    <w:qFormat/>
    <w:uiPriority w:val="0"/>
    <w:pPr>
      <w:keepNext/>
      <w:keepLines/>
      <w:tabs>
        <w:tab w:val="left" w:pos="420"/>
      </w:tabs>
      <w:spacing w:before="240" w:after="64" w:line="320" w:lineRule="auto"/>
      <w:ind w:left="425" w:firstLine="200" w:firstLineChars="200"/>
      <w:outlineLvl w:val="8"/>
    </w:pPr>
    <w:rPr>
      <w:rFonts w:ascii="Cambria" w:hAnsi="Cambria"/>
      <w:szCs w:val="21"/>
    </w:rPr>
  </w:style>
  <w:style w:type="character" w:default="1" w:styleId="26">
    <w:name w:val="Default Paragraph Font"/>
    <w:autoRedefine/>
    <w:semiHidden/>
    <w:unhideWhenUsed/>
    <w:qFormat/>
    <w:uiPriority w:val="1"/>
  </w:style>
  <w:style w:type="table" w:default="1" w:styleId="24">
    <w:name w:val="Normal Table"/>
    <w:autoRedefine/>
    <w:semiHidden/>
    <w:unhideWhenUsed/>
    <w:qFormat/>
    <w:uiPriority w:val="99"/>
    <w:tblPr>
      <w:tblCellMar>
        <w:top w:w="0" w:type="dxa"/>
        <w:left w:w="108" w:type="dxa"/>
        <w:bottom w:w="0" w:type="dxa"/>
        <w:right w:w="108" w:type="dxa"/>
      </w:tblCellMar>
    </w:tblPr>
  </w:style>
  <w:style w:type="paragraph" w:styleId="11">
    <w:name w:val="Document Map"/>
    <w:basedOn w:val="1"/>
    <w:link w:val="48"/>
    <w:autoRedefine/>
    <w:qFormat/>
    <w:uiPriority w:val="0"/>
    <w:rPr>
      <w:rFonts w:ascii="宋体"/>
      <w:sz w:val="18"/>
      <w:szCs w:val="18"/>
    </w:rPr>
  </w:style>
  <w:style w:type="paragraph" w:styleId="12">
    <w:name w:val="Body Text Indent"/>
    <w:basedOn w:val="1"/>
    <w:link w:val="35"/>
    <w:autoRedefine/>
    <w:qFormat/>
    <w:uiPriority w:val="0"/>
    <w:pPr>
      <w:spacing w:after="120"/>
      <w:ind w:left="420" w:leftChars="200"/>
    </w:pPr>
    <w:rPr>
      <w:sz w:val="24"/>
    </w:rPr>
  </w:style>
  <w:style w:type="paragraph" w:styleId="13">
    <w:name w:val="Body Text Indent 2"/>
    <w:basedOn w:val="1"/>
    <w:link w:val="36"/>
    <w:autoRedefine/>
    <w:qFormat/>
    <w:uiPriority w:val="0"/>
    <w:pPr>
      <w:spacing w:line="520" w:lineRule="exact"/>
      <w:ind w:firstLine="480" w:firstLineChars="200"/>
    </w:pPr>
    <w:rPr>
      <w:rFonts w:ascii="宋体" w:hAnsi="宋体"/>
      <w:sz w:val="24"/>
    </w:rPr>
  </w:style>
  <w:style w:type="paragraph" w:styleId="14">
    <w:name w:val="Balloon Text"/>
    <w:basedOn w:val="1"/>
    <w:link w:val="39"/>
    <w:autoRedefine/>
    <w:qFormat/>
    <w:uiPriority w:val="0"/>
    <w:pPr>
      <w:spacing w:line="300" w:lineRule="auto"/>
      <w:ind w:firstLine="200" w:firstLineChars="200"/>
    </w:pPr>
    <w:rPr>
      <w:rFonts w:ascii="Calibri" w:hAnsi="Calibri"/>
      <w:sz w:val="18"/>
      <w:szCs w:val="18"/>
    </w:rPr>
  </w:style>
  <w:style w:type="paragraph" w:styleId="15">
    <w:name w:val="footer"/>
    <w:basedOn w:val="1"/>
    <w:link w:val="44"/>
    <w:autoRedefine/>
    <w:qFormat/>
    <w:uiPriority w:val="0"/>
    <w:pPr>
      <w:tabs>
        <w:tab w:val="center" w:pos="4153"/>
        <w:tab w:val="right" w:pos="8306"/>
      </w:tabs>
      <w:snapToGrid w:val="0"/>
      <w:jc w:val="left"/>
    </w:pPr>
    <w:rPr>
      <w:sz w:val="18"/>
      <w:szCs w:val="18"/>
    </w:rPr>
  </w:style>
  <w:style w:type="paragraph" w:styleId="16">
    <w:name w:val="header"/>
    <w:basedOn w:val="1"/>
    <w:link w:val="38"/>
    <w:autoRedefine/>
    <w:qFormat/>
    <w:uiPriority w:val="0"/>
    <w:pPr>
      <w:pBdr>
        <w:bottom w:val="single" w:color="auto" w:sz="6" w:space="1"/>
      </w:pBdr>
      <w:tabs>
        <w:tab w:val="center" w:pos="4153"/>
        <w:tab w:val="right" w:pos="8306"/>
      </w:tabs>
      <w:snapToGrid w:val="0"/>
      <w:jc w:val="center"/>
    </w:pPr>
    <w:rPr>
      <w:sz w:val="18"/>
      <w:szCs w:val="18"/>
    </w:rPr>
  </w:style>
  <w:style w:type="paragraph" w:styleId="17">
    <w:name w:val="toc 1"/>
    <w:basedOn w:val="1"/>
    <w:next w:val="1"/>
    <w:autoRedefine/>
    <w:qFormat/>
    <w:uiPriority w:val="39"/>
  </w:style>
  <w:style w:type="paragraph" w:styleId="18">
    <w:name w:val="Subtitle"/>
    <w:basedOn w:val="1"/>
    <w:next w:val="1"/>
    <w:link w:val="45"/>
    <w:autoRedefine/>
    <w:qFormat/>
    <w:uiPriority w:val="0"/>
    <w:pPr>
      <w:spacing w:before="240" w:after="60" w:line="312" w:lineRule="auto"/>
      <w:jc w:val="center"/>
      <w:outlineLvl w:val="1"/>
    </w:pPr>
    <w:rPr>
      <w:rFonts w:ascii="Cambria" w:hAnsi="Cambria"/>
      <w:b/>
      <w:bCs/>
      <w:kern w:val="28"/>
      <w:sz w:val="32"/>
      <w:szCs w:val="32"/>
    </w:rPr>
  </w:style>
  <w:style w:type="paragraph" w:styleId="19">
    <w:name w:val="toc 2"/>
    <w:basedOn w:val="1"/>
    <w:next w:val="1"/>
    <w:autoRedefine/>
    <w:qFormat/>
    <w:uiPriority w:val="39"/>
    <w:pPr>
      <w:ind w:left="420" w:leftChars="200"/>
    </w:pPr>
  </w:style>
  <w:style w:type="paragraph" w:styleId="20">
    <w:name w:val="HTML Preformatted"/>
    <w:basedOn w:val="1"/>
    <w:link w:val="33"/>
    <w:autoRedefine/>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kern w:val="0"/>
      <w:sz w:val="24"/>
    </w:rPr>
  </w:style>
  <w:style w:type="paragraph" w:styleId="21">
    <w:name w:val="Normal (Web)"/>
    <w:basedOn w:val="1"/>
    <w:autoRedefine/>
    <w:qFormat/>
    <w:uiPriority w:val="0"/>
    <w:pPr>
      <w:widowControl/>
      <w:spacing w:before="100" w:beforeAutospacing="1" w:after="100" w:afterAutospacing="1"/>
      <w:jc w:val="left"/>
    </w:pPr>
    <w:rPr>
      <w:rFonts w:ascii="宋体" w:hAnsi="宋体"/>
      <w:kern w:val="0"/>
      <w:sz w:val="24"/>
    </w:rPr>
  </w:style>
  <w:style w:type="paragraph" w:styleId="22">
    <w:name w:val="Title"/>
    <w:basedOn w:val="1"/>
    <w:next w:val="1"/>
    <w:link w:val="47"/>
    <w:autoRedefine/>
    <w:qFormat/>
    <w:uiPriority w:val="0"/>
    <w:pPr>
      <w:spacing w:before="120" w:line="300" w:lineRule="auto"/>
      <w:ind w:firstLine="200" w:firstLineChars="200"/>
      <w:jc w:val="center"/>
      <w:outlineLvl w:val="0"/>
    </w:pPr>
    <w:rPr>
      <w:rFonts w:ascii="Cambria" w:hAnsi="Cambria"/>
      <w:b/>
      <w:bCs/>
      <w:sz w:val="30"/>
      <w:szCs w:val="32"/>
    </w:rPr>
  </w:style>
  <w:style w:type="paragraph" w:styleId="23">
    <w:name w:val="Body Text First Indent 2"/>
    <w:basedOn w:val="12"/>
    <w:autoRedefine/>
    <w:unhideWhenUsed/>
    <w:qFormat/>
    <w:uiPriority w:val="99"/>
    <w:pPr>
      <w:ind w:firstLine="420"/>
    </w:pPr>
  </w:style>
  <w:style w:type="table" w:styleId="25">
    <w:name w:val="Table Grid"/>
    <w:basedOn w:val="24"/>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7">
    <w:name w:val="page number"/>
    <w:basedOn w:val="26"/>
    <w:autoRedefine/>
    <w:qFormat/>
    <w:uiPriority w:val="0"/>
  </w:style>
  <w:style w:type="character" w:styleId="28">
    <w:name w:val="FollowedHyperlink"/>
    <w:basedOn w:val="26"/>
    <w:autoRedefine/>
    <w:qFormat/>
    <w:uiPriority w:val="0"/>
    <w:rPr>
      <w:color w:val="0065CF"/>
      <w:u w:val="none"/>
    </w:rPr>
  </w:style>
  <w:style w:type="character" w:styleId="29">
    <w:name w:val="Hyperlink"/>
    <w:basedOn w:val="26"/>
    <w:autoRedefine/>
    <w:qFormat/>
    <w:uiPriority w:val="99"/>
    <w:rPr>
      <w:color w:val="0065CF"/>
      <w:u w:val="none"/>
    </w:rPr>
  </w:style>
  <w:style w:type="character" w:customStyle="1" w:styleId="30">
    <w:name w:val="标题 8 Char"/>
    <w:link w:val="9"/>
    <w:autoRedefine/>
    <w:qFormat/>
    <w:uiPriority w:val="0"/>
    <w:rPr>
      <w:rFonts w:ascii="Cambria" w:hAnsi="Cambria"/>
      <w:kern w:val="2"/>
      <w:sz w:val="24"/>
      <w:szCs w:val="24"/>
    </w:rPr>
  </w:style>
  <w:style w:type="character" w:customStyle="1" w:styleId="31">
    <w:name w:val="标题 2 Char"/>
    <w:basedOn w:val="26"/>
    <w:link w:val="3"/>
    <w:autoRedefine/>
    <w:semiHidden/>
    <w:qFormat/>
    <w:uiPriority w:val="0"/>
    <w:rPr>
      <w:rFonts w:ascii="Cambria" w:hAnsi="Cambria" w:eastAsia="宋体" w:cs="Times New Roman"/>
      <w:b/>
      <w:bCs/>
      <w:kern w:val="2"/>
      <w:sz w:val="32"/>
      <w:szCs w:val="32"/>
    </w:rPr>
  </w:style>
  <w:style w:type="character" w:customStyle="1" w:styleId="32">
    <w:name w:val="标题 4 Char"/>
    <w:link w:val="5"/>
    <w:autoRedefine/>
    <w:qFormat/>
    <w:uiPriority w:val="0"/>
    <w:rPr>
      <w:rFonts w:ascii="Cambria" w:hAnsi="Cambria"/>
      <w:b/>
      <w:bCs/>
      <w:kern w:val="2"/>
      <w:sz w:val="28"/>
      <w:szCs w:val="28"/>
    </w:rPr>
  </w:style>
  <w:style w:type="character" w:customStyle="1" w:styleId="33">
    <w:name w:val="HTML 预设格式 Char"/>
    <w:link w:val="20"/>
    <w:autoRedefine/>
    <w:qFormat/>
    <w:uiPriority w:val="0"/>
    <w:rPr>
      <w:rFonts w:ascii="Arial" w:hAnsi="Arial"/>
      <w:sz w:val="24"/>
      <w:szCs w:val="24"/>
      <w:lang w:bidi="ar-SA"/>
    </w:rPr>
  </w:style>
  <w:style w:type="character" w:customStyle="1" w:styleId="34">
    <w:name w:val="font01"/>
    <w:basedOn w:val="26"/>
    <w:autoRedefine/>
    <w:qFormat/>
    <w:uiPriority w:val="0"/>
    <w:rPr>
      <w:rFonts w:hint="eastAsia" w:ascii="宋体" w:hAnsi="宋体" w:eastAsia="宋体" w:cs="宋体"/>
      <w:color w:val="000000"/>
      <w:sz w:val="24"/>
      <w:szCs w:val="24"/>
      <w:u w:val="none"/>
    </w:rPr>
  </w:style>
  <w:style w:type="character" w:customStyle="1" w:styleId="35">
    <w:name w:val="正文文本缩进 Char"/>
    <w:link w:val="12"/>
    <w:autoRedefine/>
    <w:qFormat/>
    <w:uiPriority w:val="0"/>
    <w:rPr>
      <w:rFonts w:eastAsia="宋体"/>
      <w:kern w:val="2"/>
      <w:sz w:val="24"/>
      <w:szCs w:val="24"/>
      <w:lang w:val="en-US" w:eastAsia="zh-CN" w:bidi="ar-SA"/>
    </w:rPr>
  </w:style>
  <w:style w:type="character" w:customStyle="1" w:styleId="36">
    <w:name w:val="正文文本缩进 2 Char"/>
    <w:link w:val="13"/>
    <w:autoRedefine/>
    <w:qFormat/>
    <w:uiPriority w:val="0"/>
    <w:rPr>
      <w:rFonts w:ascii="宋体" w:hAnsi="宋体"/>
      <w:kern w:val="2"/>
      <w:sz w:val="24"/>
      <w:szCs w:val="24"/>
      <w:lang w:bidi="ar-SA"/>
    </w:rPr>
  </w:style>
  <w:style w:type="character" w:customStyle="1" w:styleId="37">
    <w:name w:val="标题 7 Char"/>
    <w:link w:val="8"/>
    <w:autoRedefine/>
    <w:qFormat/>
    <w:uiPriority w:val="0"/>
    <w:rPr>
      <w:rFonts w:ascii="Calibri" w:hAnsi="Calibri"/>
      <w:b/>
      <w:bCs/>
      <w:kern w:val="2"/>
      <w:sz w:val="24"/>
      <w:szCs w:val="24"/>
    </w:rPr>
  </w:style>
  <w:style w:type="character" w:customStyle="1" w:styleId="38">
    <w:name w:val="页眉 Char"/>
    <w:link w:val="16"/>
    <w:autoRedefine/>
    <w:qFormat/>
    <w:uiPriority w:val="0"/>
    <w:rPr>
      <w:rFonts w:eastAsia="宋体"/>
      <w:kern w:val="2"/>
      <w:sz w:val="18"/>
      <w:szCs w:val="18"/>
      <w:lang w:val="en-US" w:eastAsia="zh-CN" w:bidi="ar-SA"/>
    </w:rPr>
  </w:style>
  <w:style w:type="character" w:customStyle="1" w:styleId="39">
    <w:name w:val="批注框文本 Char"/>
    <w:link w:val="14"/>
    <w:autoRedefine/>
    <w:qFormat/>
    <w:uiPriority w:val="0"/>
    <w:rPr>
      <w:rFonts w:ascii="Calibri" w:hAnsi="Calibri"/>
      <w:kern w:val="2"/>
      <w:sz w:val="18"/>
      <w:szCs w:val="18"/>
      <w:lang w:bidi="ar-SA"/>
    </w:rPr>
  </w:style>
  <w:style w:type="character" w:customStyle="1" w:styleId="40">
    <w:name w:val="无间隔 Char"/>
    <w:link w:val="41"/>
    <w:autoRedefine/>
    <w:qFormat/>
    <w:uiPriority w:val="0"/>
    <w:rPr>
      <w:kern w:val="2"/>
      <w:sz w:val="21"/>
      <w:szCs w:val="24"/>
      <w:lang w:val="en-US" w:eastAsia="zh-CN" w:bidi="ar-SA"/>
    </w:rPr>
  </w:style>
  <w:style w:type="paragraph" w:styleId="41">
    <w:name w:val="No Spacing"/>
    <w:link w:val="40"/>
    <w:autoRedefine/>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42">
    <w:name w:val="标题 6 Char"/>
    <w:link w:val="7"/>
    <w:autoRedefine/>
    <w:qFormat/>
    <w:uiPriority w:val="0"/>
    <w:rPr>
      <w:rFonts w:ascii="Cambria" w:hAnsi="Cambria"/>
      <w:b/>
      <w:bCs/>
      <w:kern w:val="2"/>
      <w:sz w:val="24"/>
      <w:szCs w:val="24"/>
    </w:rPr>
  </w:style>
  <w:style w:type="character" w:customStyle="1" w:styleId="43">
    <w:name w:val="标题 5 Char"/>
    <w:link w:val="6"/>
    <w:autoRedefine/>
    <w:qFormat/>
    <w:uiPriority w:val="0"/>
    <w:rPr>
      <w:rFonts w:ascii="Calibri" w:hAnsi="Calibri"/>
      <w:b/>
      <w:bCs/>
      <w:kern w:val="2"/>
      <w:sz w:val="28"/>
      <w:szCs w:val="28"/>
    </w:rPr>
  </w:style>
  <w:style w:type="character" w:customStyle="1" w:styleId="44">
    <w:name w:val="页脚 Char"/>
    <w:link w:val="15"/>
    <w:autoRedefine/>
    <w:qFormat/>
    <w:uiPriority w:val="0"/>
    <w:rPr>
      <w:rFonts w:eastAsia="宋体"/>
      <w:kern w:val="2"/>
      <w:sz w:val="18"/>
      <w:szCs w:val="18"/>
      <w:lang w:val="en-US" w:eastAsia="zh-CN" w:bidi="ar-SA"/>
    </w:rPr>
  </w:style>
  <w:style w:type="character" w:customStyle="1" w:styleId="45">
    <w:name w:val="副标题 Char"/>
    <w:basedOn w:val="26"/>
    <w:link w:val="18"/>
    <w:autoRedefine/>
    <w:qFormat/>
    <w:uiPriority w:val="0"/>
    <w:rPr>
      <w:rFonts w:ascii="Cambria" w:hAnsi="Cambria" w:cs="Times New Roman"/>
      <w:b/>
      <w:bCs/>
      <w:kern w:val="28"/>
      <w:sz w:val="32"/>
      <w:szCs w:val="32"/>
    </w:rPr>
  </w:style>
  <w:style w:type="character" w:customStyle="1" w:styleId="46">
    <w:name w:val="标题 9 Char"/>
    <w:link w:val="10"/>
    <w:autoRedefine/>
    <w:qFormat/>
    <w:uiPriority w:val="0"/>
    <w:rPr>
      <w:rFonts w:ascii="Cambria" w:hAnsi="Cambria"/>
      <w:kern w:val="2"/>
      <w:sz w:val="21"/>
      <w:szCs w:val="21"/>
    </w:rPr>
  </w:style>
  <w:style w:type="character" w:customStyle="1" w:styleId="47">
    <w:name w:val="标题 Char"/>
    <w:link w:val="22"/>
    <w:autoRedefine/>
    <w:qFormat/>
    <w:uiPriority w:val="0"/>
    <w:rPr>
      <w:rFonts w:ascii="Cambria" w:hAnsi="Cambria"/>
      <w:b/>
      <w:bCs/>
      <w:kern w:val="2"/>
      <w:sz w:val="30"/>
      <w:szCs w:val="32"/>
      <w:lang w:bidi="ar-SA"/>
    </w:rPr>
  </w:style>
  <w:style w:type="character" w:customStyle="1" w:styleId="48">
    <w:name w:val="文档结构图 Char"/>
    <w:basedOn w:val="26"/>
    <w:link w:val="11"/>
    <w:autoRedefine/>
    <w:qFormat/>
    <w:uiPriority w:val="0"/>
    <w:rPr>
      <w:rFonts w:ascii="宋体"/>
      <w:kern w:val="2"/>
      <w:sz w:val="18"/>
      <w:szCs w:val="18"/>
    </w:rPr>
  </w:style>
  <w:style w:type="character" w:customStyle="1" w:styleId="49">
    <w:name w:val="标题 1 Char"/>
    <w:link w:val="2"/>
    <w:autoRedefine/>
    <w:qFormat/>
    <w:uiPriority w:val="0"/>
    <w:rPr>
      <w:rFonts w:eastAsia="宋体"/>
      <w:b/>
      <w:bCs/>
      <w:kern w:val="44"/>
      <w:sz w:val="44"/>
      <w:szCs w:val="44"/>
      <w:lang w:val="en-US" w:eastAsia="zh-CN" w:bidi="ar-SA"/>
    </w:rPr>
  </w:style>
  <w:style w:type="paragraph" w:customStyle="1" w:styleId="50">
    <w:name w:val="p0"/>
    <w:basedOn w:val="1"/>
    <w:autoRedefine/>
    <w:qFormat/>
    <w:uiPriority w:val="0"/>
    <w:pPr>
      <w:widowControl/>
    </w:pPr>
    <w:rPr>
      <w:kern w:val="0"/>
      <w:szCs w:val="21"/>
    </w:rPr>
  </w:style>
  <w:style w:type="paragraph" w:customStyle="1" w:styleId="51">
    <w:name w:val="段"/>
    <w:autoRedefine/>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52">
    <w:name w:val="TOC 标题1"/>
    <w:basedOn w:val="2"/>
    <w:next w:val="1"/>
    <w:autoRedefine/>
    <w:qFormat/>
    <w:uiPriority w:val="39"/>
    <w:pPr>
      <w:widowControl/>
      <w:spacing w:before="480" w:after="0" w:line="276" w:lineRule="auto"/>
      <w:jc w:val="left"/>
      <w:outlineLvl w:val="9"/>
    </w:pPr>
    <w:rPr>
      <w:rFonts w:ascii="Cambria" w:hAnsi="Cambria"/>
      <w:color w:val="365F91"/>
      <w:kern w:val="0"/>
      <w:sz w:val="28"/>
      <w:szCs w:val="28"/>
    </w:rPr>
  </w:style>
  <w:style w:type="paragraph" w:customStyle="1" w:styleId="53">
    <w:name w:val="二级条标题"/>
    <w:basedOn w:val="1"/>
    <w:next w:val="1"/>
    <w:autoRedefine/>
    <w:qFormat/>
    <w:uiPriority w:val="0"/>
    <w:pPr>
      <w:widowControl/>
      <w:ind w:left="735"/>
      <w:outlineLvl w:val="3"/>
    </w:pPr>
    <w:rPr>
      <w:rFonts w:ascii="黑体" w:eastAsia="黑体"/>
      <w:kern w:val="0"/>
      <w:szCs w:val="20"/>
    </w:rPr>
  </w:style>
  <w:style w:type="character" w:customStyle="1" w:styleId="54">
    <w:name w:val="标题 3 Char"/>
    <w:basedOn w:val="26"/>
    <w:link w:val="4"/>
    <w:autoRedefine/>
    <w:qFormat/>
    <w:locked/>
    <w:uiPriority w:val="99"/>
    <w:rPr>
      <w:kern w:val="0"/>
      <w:sz w:val="28"/>
      <w:szCs w:val="20"/>
    </w:rPr>
  </w:style>
  <w:style w:type="character" w:customStyle="1" w:styleId="55">
    <w:name w:val="font51"/>
    <w:basedOn w:val="26"/>
    <w:autoRedefine/>
    <w:qFormat/>
    <w:uiPriority w:val="0"/>
    <w:rPr>
      <w:rFonts w:hint="default" w:ascii="Times New Roman" w:hAnsi="Times New Roman" w:cs="Times New Roman"/>
      <w:color w:val="000000"/>
      <w:sz w:val="21"/>
      <w:szCs w:val="21"/>
      <w:u w:val="none"/>
    </w:rPr>
  </w:style>
  <w:style w:type="character" w:customStyle="1" w:styleId="56">
    <w:name w:val="font61"/>
    <w:basedOn w:val="26"/>
    <w:autoRedefine/>
    <w:qFormat/>
    <w:uiPriority w:val="0"/>
    <w:rPr>
      <w:rFonts w:hint="eastAsia" w:ascii="宋体" w:hAnsi="宋体" w:eastAsia="宋体" w:cs="宋体"/>
      <w:color w:val="000000"/>
      <w:sz w:val="21"/>
      <w:szCs w:val="21"/>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footer" Target="footer2.xml"/><Relationship Id="rId38" Type="http://schemas.openxmlformats.org/officeDocument/2006/relationships/fontTable" Target="fontTable.xml"/><Relationship Id="rId37" Type="http://schemas.openxmlformats.org/officeDocument/2006/relationships/numbering" Target="numbering.xml"/><Relationship Id="rId36" Type="http://schemas.openxmlformats.org/officeDocument/2006/relationships/customXml" Target="../customXml/item1.xml"/><Relationship Id="rId35" Type="http://schemas.openxmlformats.org/officeDocument/2006/relationships/image" Target="media/image25.jpeg"/><Relationship Id="rId34" Type="http://schemas.openxmlformats.org/officeDocument/2006/relationships/image" Target="media/image24.jpeg"/><Relationship Id="rId33" Type="http://schemas.openxmlformats.org/officeDocument/2006/relationships/image" Target="media/image23.jpeg"/><Relationship Id="rId32" Type="http://schemas.openxmlformats.org/officeDocument/2006/relationships/image" Target="media/image22.jpeg"/><Relationship Id="rId31" Type="http://schemas.openxmlformats.org/officeDocument/2006/relationships/image" Target="media/image21.jpeg"/><Relationship Id="rId30" Type="http://schemas.openxmlformats.org/officeDocument/2006/relationships/image" Target="media/image20.jpeg"/><Relationship Id="rId3" Type="http://schemas.openxmlformats.org/officeDocument/2006/relationships/footer" Target="footer1.xml"/><Relationship Id="rId29" Type="http://schemas.openxmlformats.org/officeDocument/2006/relationships/image" Target="media/image19.jpeg"/><Relationship Id="rId28" Type="http://schemas.openxmlformats.org/officeDocument/2006/relationships/image" Target="media/image18.jpeg"/><Relationship Id="rId27" Type="http://schemas.openxmlformats.org/officeDocument/2006/relationships/image" Target="media/image17.jpeg"/><Relationship Id="rId26" Type="http://schemas.openxmlformats.org/officeDocument/2006/relationships/image" Target="media/image16.jpeg"/><Relationship Id="rId25" Type="http://schemas.openxmlformats.org/officeDocument/2006/relationships/image" Target="media/image15.jpeg"/><Relationship Id="rId24" Type="http://schemas.openxmlformats.org/officeDocument/2006/relationships/image" Target="media/image14.jpeg"/><Relationship Id="rId23" Type="http://schemas.openxmlformats.org/officeDocument/2006/relationships/image" Target="media/image13.jpeg"/><Relationship Id="rId22" Type="http://schemas.openxmlformats.org/officeDocument/2006/relationships/image" Target="media/image12.jpeg"/><Relationship Id="rId21" Type="http://schemas.openxmlformats.org/officeDocument/2006/relationships/image" Target="media/image11.jpeg"/><Relationship Id="rId20" Type="http://schemas.openxmlformats.org/officeDocument/2006/relationships/image" Target="media/image10.jpeg"/><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media/image8.png"/><Relationship Id="rId17" Type="http://schemas.openxmlformats.org/officeDocument/2006/relationships/image" Target="media/image7.jpeg"/><Relationship Id="rId16" Type="http://schemas.openxmlformats.org/officeDocument/2006/relationships/image" Target="media/image6.jpeg"/><Relationship Id="rId15" Type="http://schemas.openxmlformats.org/officeDocument/2006/relationships/image" Target="media/image5.jpeg"/><Relationship Id="rId14" Type="http://schemas.openxmlformats.org/officeDocument/2006/relationships/image" Target="media/image4.jpeg"/><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image" Target="media/image1.jpe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襄阳市小雨点安全技术有限公司</Company>
  <Pages>129</Pages>
  <Words>12642</Words>
  <Characters>72066</Characters>
  <Lines>600</Lines>
  <Paragraphs>169</Paragraphs>
  <TotalTime>10</TotalTime>
  <ScaleCrop>false</ScaleCrop>
  <LinksUpToDate>false</LinksUpToDate>
  <CharactersWithSpaces>84539</CharactersWithSpaces>
  <Application>WPS Office_12.1.0.16250_F1E327BC-269C-435d-A152-05C5408002CA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2021-12-14T13:19:00Z</dcterms:created>
  <dc:creator>黄绍波17786773339</dc:creator>
  <cp:lastModifiedBy>Administrator</cp:lastModifiedBy>
  <cp:lastPrinted>2024-01-11T02:58:00Z</cp:lastPrinted>
  <dcterms:modified xsi:type="dcterms:W3CDTF">2024-01-22T03:13:49Z</dcterms:modified>
  <dc:title>自评报告模版</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2052-12.1.0.16250</vt:lpwstr>
  </property>
  <property fmtid="{D5CDD505-2E9C-101B-9397-08002B2CF9AE}" pid="3" name="ICV">
    <vt:lpwstr>E4A265F351F84D719763CBC3AB327F80</vt:lpwstr>
  </property>
</Properties>
</file>